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xst-20260630.htm"/>
      <w:bookmarkStart w:id="1" w:name="ksrxst20260630"/>
      <w:bookmarkEnd w:id="0"/>
      <w:bookmarkEnd w:id="1"/>
      <w:r>
        <w:rPr/>
        <w:t> </w:t>
      </w:r>
    </w:p>
    <w:p>
      <w:pPr>
        <w:pStyle w:val="TextBody"/>
        <w:pBdr>
          <w:top w:val="double" w:sz="6"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001-40690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94-3268801</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120" w:after="15"/>
              <w:jc w:val="center"/>
              <w:rPr>
                <w:rFonts w:ascii="Times New Roman" w:hAnsi="Times New Roman"/>
                <w:b/>
                <w:color w:val="000000"/>
                <w:sz w:val="16"/>
              </w:rPr>
            </w:pPr>
            <w:r>
              <w:rPr>
                <w:rFonts w:ascii="Times New Roman" w:hAnsi="Times New Roman"/>
                <w:b/>
                <w:color w:val="000000"/>
                <w:sz w:val="16"/>
              </w:rPr>
              <w:t>100 Columbia</w:t>
            </w:r>
          </w:p>
          <w:p>
            <w:pPr>
              <w:pStyle w:val="TableContents"/>
              <w:bidi w:val="0"/>
              <w:spacing w:before="0" w:after="283"/>
              <w:jc w:val="center"/>
              <w:rPr>
                <w:rFonts w:ascii="Times New Roman" w:hAnsi="Times New Roman"/>
                <w:sz w:val="16"/>
              </w:rPr>
            </w:pPr>
            <w:r>
              <w:rPr>
                <w:rFonts w:ascii="Times New Roman" w:hAnsi="Times New Roman"/>
                <w:b/>
                <w:color w:val="000000"/>
                <w:sz w:val="16"/>
              </w:rPr>
              <w:t>Aliso Viejo, CA</w:t>
            </w:r>
            <w:r>
              <w:rPr>
                <w:rFonts w:ascii="Times New Roman" w:hAnsi="Times New Roman"/>
                <w:color w:val="000000"/>
                <w:sz w:val="16"/>
              </w:rPr>
              <w:t xml:space="preserve"> </w:t>
            </w:r>
          </w:p>
        </w:tc>
        <w:tc>
          <w:tcPr>
            <w:tcW w:w="148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92656</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(949) 521-7830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Common Stock, par value $0.001 per share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RXST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July 31, 2026, the registrant had</w:t>
      </w:r>
      <w:r>
        <w:rPr>
          <w:rFonts w:ascii="Times New Roman" w:hAnsi="Times New Roman"/>
          <w:color w:val="000000"/>
          <w:sz w:val="20"/>
        </w:rPr>
        <w:t xml:space="preserve"> </w:t>
      </w:r>
      <w:r>
        <w:rPr>
          <w:rFonts w:ascii="Times New Roman" w:hAnsi="Times New Roman"/>
          <w:color w:val="000000"/>
          <w:sz w:val="18"/>
        </w:rPr>
        <w:t>41,593,256</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both"/>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right"/>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Times New Roman" w:hAnsi="Times New Roman"/>
                  <w:color w:val="0000FF"/>
                  <w:sz w:val="20"/>
                  <w:u w:val="single"/>
                </w:rPr>
                <w:t>Financial Statements (Unaudited)</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Consolidated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Condensed Consolidated Statements of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Consolidated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Unaudited Condensed Consolidated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bookmarkStart w:id="2" w:name="toc_page"/>
              <w:bookmarkEnd w:id="2"/>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defaults">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concerning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profitability from operations, provided that we may opportunistically seek to raise capital under advantageous circumstances from time to time in order to support the expansion of our sales and operations in the United States (“U.S.”) and internationally and to pursue other business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our current cash, cash equivalents and short-term investments through the date of filing of this report will be sufficient to fund our operations for at least the next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that revenue will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selectively increasing the number of sales representatives, practice development personnel and clinical trainers will help facilitate further adoptions of our products among existing customer accounts as well as broaden awareness of our products to new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grow our business primarily by driving increased utilization of our LAL through heightened awareness of the superior clinical outcomes that our RxSight system provides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that recent commercial realignment initiatives will position us for revenue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drive continued expansion by supporting existing practices and strategically expanding our LDD installed base and helping new adopters in achieving early success and sustained long-term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expenses, ongoing losses, future revenue, capital requirements and our need for, or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for the growth of our business and our organization, including with respect to new geographic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cash payments, including milestone payments and royalties, that we may be entitled to receive pursuant to our collaboration with Alcon Pharmaceuticals (“Alcon”) in connection with the development of the Collaboration Products (defined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over time, our adjustable lens solution can be used to address a broad range of cataract surgery patients, including those that would otherwise elect for a conventional cataract procedure today;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there is an opportunity to gain market share in the premium intraocular lens (“IOL”) market segment and also increase the penetration of premium IOLs in the broader market by converting doctors and patients currently electing for conventional cataract surgery;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belief that the premium cataract surgery market remains underpenetrated due to both doctors’ reluctance to recommend premium IOL offerings to the full universe of eligible patients and patients’ </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confusion in assessing the trade-offs associated with the wide range of commercially available premium IOL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belief that current non-adjustable premium IOL offerings often cannot deliver on patient expectations regarding their desire to see at near, intermediate and far distances without reliance on glasses and to avoid troubling side effects such as glare, halos and loss of contrast sensitivity;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intentions regarding investment in our business as we pursue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expected timelines related to our products, or developing new products, to address additional indications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expand regulatory clearances for our products and any new products we create;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uses of our existing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our current manufacturing capacity is sufficient to meet our current expected demand for at least the next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we have sufficiently trained personnel and processes to manufacture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 that our existing facilities are adequate for our near-term needs, and that suitable additional or alternative space would be available in the future as required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government and third-party payer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supply of materials and components for our products from our third-party suppliers, including single and sole source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products and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further clinical trials and any expectations related to the timing or outcomes of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existing and future government laws, rules and regulations both in the U.S.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develop new and planned products and/or acquire new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and projections relating to our competitors or our industry, including anticipated growth rates for the conventional and premium IOL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INDUSTRY, BUSINESS AND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TRADEMARKS, SERVICE MARKS AND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2"/>
        </w:rPr>
      </w:pPr>
      <w:bookmarkStart w:id="3" w:name="item_1_fs"/>
      <w:bookmarkEnd w:id="3"/>
      <w:r>
        <w:rPr>
          <w:rFonts w:ascii="Times New Roman" w:hAnsi="Times New Roman"/>
          <w:b/>
          <w:color w:val="000000"/>
          <w:sz w:val="22"/>
        </w:rPr>
        <w:t>Item 1. Financial Statements (Unaudited)</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CONSOLIDATED BALANCE SHEETS</w:t>
      </w:r>
    </w:p>
    <w:p>
      <w:pPr>
        <w:pStyle w:val="TextBody"/>
        <w:pBdr>
          <w:bottom w:val="single" w:sz="12" w:space="1" w:color="000000"/>
        </w:pBdr>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9"/>
        <w:gridCol w:w="146"/>
        <w:gridCol w:w="212"/>
        <w:gridCol w:w="849"/>
        <w:gridCol w:w="166"/>
        <w:gridCol w:w="146"/>
        <w:gridCol w:w="225"/>
        <w:gridCol w:w="899"/>
        <w:gridCol w:w="613"/>
      </w:tblGrid>
      <w:tr>
        <w:trPr/>
        <w:tc>
          <w:tcPr>
            <w:tcW w:w="6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 from collaboration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287,459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311,814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Refund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900,000,000 shares authorized, 41,585,381 shares issued and outstanding as of June 30, 2026 and 41,242,005 shares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100,000,000 shares authorized,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936,628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(661,039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275,683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311,814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LOSS (UNAUDITED)</w:t>
      </w:r>
    </w:p>
    <w:p>
      <w:pPr>
        <w:pStyle w:val="TextBody"/>
        <w:pBdr>
          <w:bottom w:val="single" w:sz="12" w:space="1" w:color="000000"/>
        </w:pBdr>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4"/>
        <w:gridCol w:w="746"/>
        <w:gridCol w:w="211"/>
        <w:gridCol w:w="1036"/>
        <w:gridCol w:w="166"/>
        <w:gridCol w:w="146"/>
        <w:gridCol w:w="211"/>
        <w:gridCol w:w="1036"/>
        <w:gridCol w:w="166"/>
        <w:gridCol w:w="146"/>
        <w:gridCol w:w="211"/>
        <w:gridCol w:w="1036"/>
        <w:gridCol w:w="166"/>
        <w:gridCol w:w="146"/>
        <w:gridCol w:w="211"/>
        <w:gridCol w:w="1036"/>
        <w:gridCol w:w="591"/>
      </w:tblGrid>
      <w:tr>
        <w:trPr/>
        <w:tc>
          <w:tcPr>
            <w:tcW w:w="29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costs and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other income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short-term investments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gain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gain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&amp;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net loss per share: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Attributable to common stock, basic &amp;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41,490,889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40,627,363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spacing w:before="200" w:after="283"/>
        <w:jc w:val="center"/>
        <w:rPr/>
      </w:pPr>
      <w:r>
        <w:rPr/>
        <w:t> </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6" w:name="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pBdr>
          <w:bottom w:val="single" w:sz="12" w:space="1" w:color="000000"/>
        </w:pBdr>
        <w:bidi w:val="0"/>
        <w:jc w:val="center"/>
        <w:rPr>
          <w:rFonts w:ascii="Times New Roman" w:hAnsi="Times New Roman"/>
          <w:color w:val="000000"/>
          <w:sz w:val="20"/>
        </w:rPr>
      </w:pPr>
      <w:r>
        <w:rPr>
          <w:rFonts w:ascii="Times New Roman" w:hAnsi="Times New Roman"/>
          <w:color w:val="000000"/>
          <w:sz w:val="20"/>
        </w:rPr>
        <w:t>(In thousands, except number of 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64"/>
        <w:gridCol w:w="146"/>
        <w:gridCol w:w="146"/>
        <w:gridCol w:w="1036"/>
        <w:gridCol w:w="166"/>
        <w:gridCol w:w="146"/>
        <w:gridCol w:w="295"/>
        <w:gridCol w:w="486"/>
        <w:gridCol w:w="146"/>
        <w:gridCol w:w="146"/>
        <w:gridCol w:w="222"/>
        <w:gridCol w:w="827"/>
        <w:gridCol w:w="166"/>
        <w:gridCol w:w="146"/>
        <w:gridCol w:w="520"/>
        <w:gridCol w:w="884"/>
        <w:gridCol w:w="166"/>
        <w:gridCol w:w="146"/>
        <w:gridCol w:w="243"/>
        <w:gridCol w:w="973"/>
        <w:gridCol w:w="166"/>
        <w:gridCol w:w="146"/>
        <w:gridCol w:w="257"/>
        <w:gridCol w:w="952"/>
        <w:gridCol w:w="214"/>
      </w:tblGrid>
      <w:tr>
        <w:trPr/>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41,242,005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275,683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exercise of stock options</w:t>
              <w:br/>
              <w:t>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redeemed for employee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short-term investments </w:t>
              <w:br/>
              <w:t>and cash equivalents,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41,384,120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(676,923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267,295</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exercise of stock options</w:t>
              <w:br/>
              <w:t>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short-term investments </w:t>
              <w:br/>
              <w:t>and cash equivalents,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41,585,381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263,340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STOCKHOLDERS’ EQUITY</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r>
        <w:rPr>
          <w:rFonts w:ascii="Times New Roman" w:hAnsi="Times New Roman"/>
          <w:b/>
          <w:caps/>
          <w:color w:val="000000"/>
          <w:sz w:val="20"/>
        </w:rPr>
        <w:t>(UNAUDITED)</w:t>
      </w:r>
    </w:p>
    <w:p>
      <w:pPr>
        <w:pStyle w:val="TextBody"/>
        <w:pBdr>
          <w:bottom w:val="single" w:sz="12" w:space="1" w:color="000000"/>
        </w:pBdr>
        <w:bidi w:val="0"/>
        <w:jc w:val="center"/>
        <w:rPr>
          <w:rFonts w:ascii="Times New Roman" w:hAnsi="Times New Roman"/>
          <w:color w:val="000000"/>
          <w:sz w:val="20"/>
        </w:rPr>
      </w:pPr>
      <w:r>
        <w:rPr>
          <w:rFonts w:ascii="Times New Roman" w:hAnsi="Times New Roman"/>
          <w:color w:val="000000"/>
          <w:sz w:val="20"/>
        </w:rPr>
        <w:t>(In thousands, except number of shares)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4"/>
        <w:gridCol w:w="146"/>
        <w:gridCol w:w="146"/>
        <w:gridCol w:w="1036"/>
        <w:gridCol w:w="166"/>
        <w:gridCol w:w="146"/>
        <w:gridCol w:w="295"/>
        <w:gridCol w:w="486"/>
        <w:gridCol w:w="146"/>
        <w:gridCol w:w="146"/>
        <w:gridCol w:w="222"/>
        <w:gridCol w:w="827"/>
        <w:gridCol w:w="166"/>
        <w:gridCol w:w="146"/>
        <w:gridCol w:w="520"/>
        <w:gridCol w:w="884"/>
        <w:gridCol w:w="166"/>
        <w:gridCol w:w="146"/>
        <w:gridCol w:w="243"/>
        <w:gridCol w:w="973"/>
        <w:gridCol w:w="166"/>
        <w:gridCol w:w="146"/>
        <w:gridCol w:w="257"/>
        <w:gridCol w:w="952"/>
        <w:gridCol w:w="214"/>
      </w:tblGrid>
      <w:tr>
        <w:trPr/>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40,428,220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281,238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exercise of stock options</w:t>
              <w:br/>
              <w:t>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redeemed for employee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short-term investments </w:t>
              <w:br/>
              <w:t> and cash equivalents,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40,588,540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279,316</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exercise of stock options</w:t>
              <w:br/>
              <w:t>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short-term investments </w:t>
              <w:br/>
              <w:t> and cash equivalents,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40,913,380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278,012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563" w:type="dxa"/>
        <w:jc w:val="left"/>
        <w:tblInd w:w="0" w:type="dxa"/>
        <w:tblLayout w:type="fixed"/>
        <w:tblCellMar>
          <w:top w:w="28" w:type="dxa"/>
          <w:left w:w="28" w:type="dxa"/>
          <w:bottom w:w="28" w:type="dxa"/>
          <w:right w:w="28" w:type="dxa"/>
        </w:tblCellMar>
      </w:tblPr>
      <w:tblGrid>
        <w:gridCol w:w="161"/>
        <w:gridCol w:w="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21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b/>
          <w:caps/>
          <w:color w:val="000000"/>
          <w:sz w:val="20"/>
        </w:rPr>
      </w:pPr>
      <w:bookmarkStart w:id="7" w:name="condensed_statements_cash_flows"/>
      <w:bookmarkEnd w:id="7"/>
      <w:r>
        <w:rPr>
          <w:rFonts w:ascii="Times New Roman" w:hAnsi="Times New Roman"/>
          <w:b/>
          <w:caps/>
          <w:color w:val="000000"/>
          <w:sz w:val="20"/>
        </w:rPr>
        <w:t>CONDENSED CONSOLIDATED STATEMENTS OF CASH FLOWS</w:t>
      </w:r>
    </w:p>
    <w:p>
      <w:pPr>
        <w:pStyle w:val="TextBody"/>
        <w:bidi w:val="0"/>
        <w:jc w:val="center"/>
        <w:rPr>
          <w:rFonts w:ascii="Times New Roman" w:hAnsi="Times New Roman"/>
          <w:b/>
          <w:caps/>
          <w:color w:val="000000"/>
          <w:sz w:val="20"/>
        </w:rPr>
      </w:pPr>
      <w:r>
        <w:rPr>
          <w:rFonts w:ascii="Times New Roman" w:hAnsi="Times New Roman"/>
          <w:b/>
          <w:caps/>
          <w:color w:val="000000"/>
          <w:sz w:val="20"/>
        </w:rPr>
        <w:t>(UNAUDITED)</w:t>
      </w:r>
    </w:p>
    <w:p>
      <w:pPr>
        <w:pStyle w:val="TextBody"/>
        <w:pBdr>
          <w:bottom w:val="single" w:sz="12" w:space="1" w:color="000000"/>
        </w:pBdr>
        <w:bidi w:val="0"/>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874"/>
        <w:gridCol w:w="146"/>
        <w:gridCol w:w="212"/>
        <w:gridCol w:w="847"/>
        <w:gridCol w:w="167"/>
        <w:gridCol w:w="146"/>
        <w:gridCol w:w="212"/>
        <w:gridCol w:w="786"/>
        <w:gridCol w:w="815"/>
      </w:tblGrid>
      <w:tr>
        <w:trPr/>
        <w:tc>
          <w:tcPr>
            <w:tcW w:w="6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 from collaboration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 - collaboration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(193,785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employee taxes related to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41,105</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obligations recorded for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 included in accounts payable and accrued expenses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8" w:name="notes_to_condensed_financial_statements"/>
      <w:bookmarkEnd w:id="8"/>
      <w:r>
        <w:rPr>
          <w:rFonts w:ascii="Times New Roman" w:hAnsi="Times New Roman"/>
          <w:b/>
          <w:color w:val="000000"/>
          <w:sz w:val="20"/>
        </w:rPr>
        <w:t>NOTES TO UNAUDITED CONDENSED CONSOLIDATED FINANCIAL STATEMENTS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1 - Organization and Basis of Presentation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RxSight®, Inc. (the “Company”) is a commercial stage technology company dedicated to providing high-quality customized vision to patients following cataract surgery. The Company's proprietary RxSight® Light Adjustable Lens system (“RxSight system”) is the first and only commercially available premium cataract technology that enables doctors to customize and optimize visual acuity for patients after surgery. The RxSight system is comprised of the Company's RxSight Light Adjustable Lens® (LAL®/LAL+®,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 The Company's products are approved by the U.S. Food and Drug Administration (“FDA”) primarily for sale in the U.S. and have regulatory approval in several foreign countries. The Company began marketing its products in 2019.</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a Delaware corporation headquartered in Aliso Viejo, California with two wholly owned subsidiaries located in Amsterdam, Netherlands (“RxSight, B.V.”) and Hong Kong (“RxSight, Limited”).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RxSight, Inc. and its wholly owned subsidiaries. All significant intercompany balances and transactions have been eliminated in consolidation.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Collaboration Agreement with Alcon Pharmaceuticals, Ltd.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30, 2026 (the “Effective Date”), the Company entered into a License, Collaboration and Development Agreement (the “RxSight-Alcon Collaboration Agreement”) with Alcon Pharmaceuticals, Ltd. (“Alcon”) pursuant to which the Company will collaborate with Alcon to develop and commercialize light-adjustable versions of certain Alcon simultaneous vision intraocular lenses (“SVIOLs”) by incorporating RxSight Light Adjustable Technology (the “Collaboration Products”). The Company granted Alcon a non-exclusive, worldwide, royalty-bearing license under its patents, know-how and trademarks that relate to the LAL technology or are otherwise necessary or reasonably useful to exploit the Collaboration Products for Alcon to commercialize the Collaboration Products: and, if applicable, to develop and manufacture the Collaboration Products. Alcon granted the Company a non-exclusive, worldwide, fully paid-up, royalty-free license under patents and know-how controlled by Alcon that relate to Alcon’s existing SVIOLs or are otherwise necessary or reasonably useful to develop and manufacture the Collaboration Products, for the Company to develop and manufacture, and upon the occurrence of certain triggering events, to conduct co-promotion activities for, the Collaboration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RxSight-Alcon Collaboration Agreement, Alcon paid the Company a $60 million upfront cash payment. The majority of the upfront payment is refundable if the agreement is terminated within the first 120 days of the effective date. Upon the completion of feasibility activities and achievement of specified technical criteria for the first Collaboration Product, Alcon has the right, at its option, to make a one-time $70 million milestone payment (the “Feasibility Milestone Payment”) to continue the RxSight-Alcon Collaboration Agreement. If the RxSight-Alcon Collaboration Agreement continues, the Company will be obligated to conduct further development and regulatory activities to obtain regulatory approval of the first Collaboration Product in the U.S., and Alcon is obligated to make a milestone payment of $30 million upon first submission to the FDA for regulatory approval of the first Collaboration Product. Upon regulatory approval of the first Collaboration Product, Alcon has the right, at its option, to make an additional one-time $40 million milestone payment (the “Approval Milestone Payment”) to continue the RxSight-Alcon Collaboration Agreement. In addition, on a Collaboration Product-by-Collaboration Product and country-by-country basis, Alcon will pay the Company royalties of 30% on net sales of all Collaboration Products, subject to certain pre-payment provisions, minimum royalty payments, and customary royalty adjustments. Alcon’s obligation to pay royalties will continue until the termination or expiration of the RxSight-Alcon Collaboration Agreement. </w:t>
      </w:r>
    </w:p>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the RxSight-Alcon Collaboration Agreement is terminated during the first 120 days following the effective date, the Company will forfeit a majority of the upfront payment. Unless terminated earlier, the RxSight-Alcon Collaboration Agreement will continue until the tenth anniversary of regulatory approval for the first Collaboration Product. The RxSight-Alcon Collaboration Agreement will terminate if Alcon elects to not pay the Feasibility Milestone Payment or the Approval Milestone Payment, but in either case, under certain conditions, the Company is entitled to certain reversionary rights with respect to the Collaboration Products. Either party may terminate the RxSight-Alcon Collaboration Agreement for material safety reasons, the other party’s insolvency or violation of applicable law, or material breach that remains uncured after a notice period.</w:t>
      </w:r>
    </w:p>
    <w:p>
      <w:pPr>
        <w:pStyle w:val="TextBody"/>
        <w:bidi w:val="0"/>
        <w:jc w:val="left"/>
        <w:rPr>
          <w:rFonts w:ascii="Times New Roman" w:hAnsi="Times New Roman"/>
          <w:i/>
          <w:color w:val="000000"/>
          <w:sz w:val="20"/>
        </w:rPr>
      </w:pPr>
      <w:r>
        <w:rPr>
          <w:rFonts w:ascii="Times New Roman" w:hAnsi="Times New Roman"/>
          <w:i/>
          <w:color w:val="000000"/>
          <w:sz w:val="20"/>
        </w:rPr>
        <w:t>Basis of Presentation and Principles of Consolidation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2025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2025 Annual Report on Form 10-K filed with the SEC on February 25, 2026. The operating results presented in these unaudited condensed consolidated financial statements are not necessarily indicative of the results that may be expected for any future periods.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Operating Segments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determined that it operates and manages its business (including its non-U.S. subsidiaries) in one reportable segment: the research and development, manufacture and sale of light adjustable lenses and related capital equipment. 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Asset information provided to the CODM is consistent with those reported on the Consolidated Balance Sheets and are primarily attributable to the U.S. The key measure of segment profit and loss that the CODM uses to allocate resources and assess performance is the Company’s consolidated net loss. The table below shows a reconciliation of the Company’s net loss, including the significant expense categories regularly provided to and reviewed by the CODM, as computed under U.S. GAAP to the Company’s total consolidated net loss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2741"/>
        <w:gridCol w:w="746"/>
        <w:gridCol w:w="286"/>
        <w:gridCol w:w="999"/>
        <w:gridCol w:w="225"/>
        <w:gridCol w:w="197"/>
        <w:gridCol w:w="286"/>
        <w:gridCol w:w="999"/>
        <w:gridCol w:w="166"/>
        <w:gridCol w:w="146"/>
        <w:gridCol w:w="269"/>
        <w:gridCol w:w="940"/>
        <w:gridCol w:w="212"/>
        <w:gridCol w:w="186"/>
        <w:gridCol w:w="269"/>
        <w:gridCol w:w="940"/>
        <w:gridCol w:w="598"/>
      </w:tblGrid>
      <w:tr>
        <w:trPr/>
        <w:tc>
          <w:tcPr>
            <w:tcW w:w="2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42,786</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17,921</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Clinical &amp; regulatory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costs and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47,511</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(24,677</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other income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Liquidity</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Company had cash, cash equivalents and short-term investments of $208.8 million and $228.1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began generating revenue from its principal operations in 2019. The Company has experienced recurring net losses and negative cash flows from operating activities since its inception. For the three months ended June 30, 2026 and 2025, the Company incurred losses from operations of $13.8 million and $14.0 million, respectively. For the six months ended June 30, 2026 and 2025, the Company incurred losses from operations of $31.6 million and $24.7 million, respectively. Based on the Company’s anticipated sales growth and collaboration efforts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consolidated financial statements. The Company plans to continue to fund its losses from operations using its cash, cash equivalents and short-term investments as of June 30, 2026 and meet its future capital funding needs, as needed,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equity or debt financings, other third-party funding, collaborations, strategic alliances and licensing arrangements or a combination of these.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condensed consolidated financial statements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condensed consolidated financial statements reflect the Company’s estimates of the impact of the macroeconomic environment, including the impact of inflation, varying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date of this filing.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the Company entered into a collaboration arrangement. The Company has updated its revenue recognition policy to include the accounting for collaboration arrangements. Additionally, during the second quarter of 2026, the Company began accounting for performance-based restricted stock units. The Company has updated its stock-based compensation policy to include the accounting for performance-based awards. For all other significant accounting policies, there have been no significant changes during the six months ended June 30, 2026, as compared to the significant accounting policies described in Note 2 of the “Notes to Consolidated Financial Statements” in the Company’s audited consolidated financial statements included in its Annual Report on Form 10-K filed with the SEC on February 25, 2026.</w:t>
      </w:r>
    </w:p>
    <w:p>
      <w:pPr>
        <w:pStyle w:val="TextBody"/>
        <w:bidi w:val="0"/>
        <w:spacing w:before="120" w:after="283"/>
        <w:jc w:val="left"/>
        <w:rPr>
          <w:rFonts w:ascii="Times New Roman" w:hAnsi="Times New Roman"/>
          <w:sz w:val="20"/>
        </w:rPr>
      </w:pPr>
      <w:r>
        <w:rPr>
          <w:rFonts w:ascii="Times New Roman" w:hAnsi="Times New Roman"/>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consist of investments in money market accounts. The Company considers all highly liquid investments with original maturities of three months or less at the date of purchase that can be liquidated without prior notice or penalty to be cash equivalents. Cash equivalents are recorded at face value or cost, which approximates fair market value.</w:t>
      </w:r>
    </w:p>
    <w:p>
      <w:pPr>
        <w:pStyle w:val="TextBody"/>
        <w:bidi w:val="0"/>
        <w:spacing w:before="120" w:after="283"/>
        <w:jc w:val="left"/>
        <w:rPr>
          <w:rFonts w:ascii="Times New Roman" w:hAnsi="Times New Roman"/>
          <w:sz w:val="20"/>
        </w:rPr>
      </w:pPr>
      <w:r>
        <w:rPr>
          <w:rFonts w:ascii="Times New Roman" w:hAnsi="Times New Roman"/>
          <w:i/>
          <w:color w:val="000000"/>
          <w:sz w:val="20"/>
        </w:rPr>
        <w:t>Short-term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1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carrying value of an asset may not be recoverable. In determining whether the carrying value is recoverable, management considers the following factors: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whether the investment has been in a continuous loss position for over 12 months;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to maturity of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intention and ability to hold the investment to maturity and if it is not more likely than not that the Company will be required to sell the investment before recovery of the amortized cost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rating, financial condition and near-term prospects of the issuer;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of investments made.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had $70,000 of net unrealized losses and $53,000 of net unrealized gains related to short-term investments as of June 30, 2026 and December 31, 2025, respectively. </w:t>
      </w:r>
    </w:p>
    <w:p>
      <w:pPr>
        <w:pStyle w:val="TextBody"/>
        <w:bidi w:val="0"/>
        <w:spacing w:before="0" w:after="120"/>
        <w:jc w:val="left"/>
        <w:rPr>
          <w:rFonts w:ascii="Times New Roman" w:hAnsi="Times New Roman"/>
          <w:sz w:val="20"/>
        </w:rPr>
      </w:pPr>
      <w:r>
        <w:rPr>
          <w:rFonts w:ascii="Times New Roman" w:hAnsi="Times New Roman"/>
          <w:i/>
          <w:color w:val="000000"/>
          <w:sz w:val="20"/>
        </w:rPr>
        <w:t>Concentration of Credit Risk and Other Risks and Uncertainties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is subject to risks from changes in U.S. trade policy. The imposition of retaliatory or new tariffs or increases in existing tariffs on goods imported from countries where we source our products could result in increased material costs for our products. The Company is also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pStyle w:val="TextBody"/>
        <w:bidi w:val="0"/>
        <w:jc w:val="left"/>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Accounts receivable pertain to contracts with customers who are granted credit by the Company in the ordinary course of business and are presented net of allowances for credit losses. The Company has a diverse customer base. As of June 30, 2026, the Company had one customer who individually accounted for greater than 10% of trade accounts receivable. As of December 31, 2025, the Company did not have any customers who individually accounted for greater than 10% of accounts receivable.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 current receivable composition, counterparty and specific risk and prevailing economic condition and supportable forecasted economic conditions. If a receivable is deemed uncollectible after collection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efforts have been exhausted, it is written off against the allowance for credit losses. The Company closely monitors the credit quality of its customers and has historically had minimal write-offs of receivables or uncollected receivables. The Company's allowance for credit losses was $0.3 million as of June 30, 2026 and $0.1 million as of December 31, 2025. The Company does not generally require collateral or other security on receivables.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Receivable from collaboration partner is due from one customer, Alcon, and relates to the RxSight-Alcon Collaboration Agreement and the amounts due for the initial payment.</w:t>
      </w:r>
    </w:p>
    <w:p>
      <w:pPr>
        <w:pStyle w:val="TextBody"/>
        <w:bidi w:val="0"/>
        <w:jc w:val="left"/>
        <w:rPr>
          <w:rFonts w:ascii="Times New Roman" w:hAnsi="Times New Roman"/>
          <w:i/>
          <w:color w:val="000000"/>
          <w:sz w:val="20"/>
        </w:rPr>
      </w:pPr>
      <w:r>
        <w:rPr>
          <w:rFonts w:ascii="Times New Roman" w:hAnsi="Times New Roman"/>
          <w:i/>
          <w:color w:val="000000"/>
          <w:sz w:val="20"/>
        </w:rPr>
        <w:t>Fair Value of Financial Instruments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Level 1—Observable inputs such as unadjusted quoted prices in active markets that are accessible at the measurement date for identical unrestricted assets or liabilities.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and Monte Carlo simulation model which use inputs such as expected volatility, risk-free interest rate and expected term to determine fair market valuation.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w:t>
      </w:r>
    </w:p>
    <w:p>
      <w:pPr>
        <w:pStyle w:val="TextBody"/>
        <w:bidi w:val="0"/>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net realizable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realizable value at the time such determinations are made. Net realizable value is determined using the estimated selling price, in the ordinary course of business, less estimated costs to complete and dispose.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Certain of the Company's LDD placements are accounted for as a sales-type lease. A net investment in sales-type lease is recognized if a lease meets specific criteria under Accounting Standards Codification (“ASC”) 842 at its inception. Upon commencement of the lease, the book value of the leased asset is de-recognized and a net investment in sales-type lease is recognized within other assets in the Company's Condensed Consolidated Balance Sheets based on the present value of fixed payments under the contract and the residual value of the underlying asset, discounted at the rate implicit in the lease. The Company recognized the difference between the book value of the LDD and the net investment in the lease in sales in its Condensed Consolidated Statement of Operations. Interest income on our net investment in sales-type leases is recognized over the lease term.</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Net Loss per Share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tbl>
      <w:tblPr>
        <w:tblW w:w="10205" w:type="dxa"/>
        <w:jc w:val="left"/>
        <w:tblInd w:w="0" w:type="dxa"/>
        <w:tblLayout w:type="fixed"/>
        <w:tblCellMar>
          <w:top w:w="28" w:type="dxa"/>
          <w:left w:w="28" w:type="dxa"/>
          <w:bottom w:w="28" w:type="dxa"/>
          <w:right w:w="28" w:type="dxa"/>
        </w:tblCellMar>
      </w:tblPr>
      <w:tblGrid>
        <w:gridCol w:w="4934"/>
        <w:gridCol w:w="155"/>
        <w:gridCol w:w="834"/>
        <w:gridCol w:w="155"/>
        <w:gridCol w:w="155"/>
        <w:gridCol w:w="155"/>
        <w:gridCol w:w="994"/>
        <w:gridCol w:w="146"/>
        <w:gridCol w:w="146"/>
        <w:gridCol w:w="148"/>
        <w:gridCol w:w="795"/>
        <w:gridCol w:w="148"/>
        <w:gridCol w:w="148"/>
        <w:gridCol w:w="148"/>
        <w:gridCol w:w="948"/>
        <w:gridCol w:w="196"/>
      </w:tblGrid>
      <w:tr>
        <w:trPr/>
        <w:tc>
          <w:tcPr>
            <w:tcW w:w="4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 under the 2015 Equity Incentive Plan and the 2021 Equity Incentive Plan</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85,886</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4,273,819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under the 2021 Equity Incentive Plan</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717,077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issuable in offering period under the 2021 Employee Stock Purchase Plan</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product revenue is generated from the sale of LALs used in cataract surgery along with a specifically designed machine for delivering light to the eye, the LDD, to adjust the lens post-surgery, as needed. Revenue is recognized from sales of products in the U.S. and several foreign countries. Customers are primarily comprised of ambulatory surgery centers, hospitals, and physician private practices in the U.S. and distributors internationally.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Revenue for the LDD capital asset is recognized at a point in time either at installation and customer acceptance or upon shipment to our international distributors. Revenue for training is also recorded at a point in time, generally 60 days after installation. Revenue for the device service is recognized ratably over time after installation, generally 12-36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LALs are generally held at customer sites on consignment. The single performance obligation is satisfied, and revenue from sales is recognized for LALs upon customer notification that the LALs have been implanted in a patient or when title transfers to the distributor. For the three and six months ended June 30, 2026 and 2025, credits related to returns and rebates on list prices were not significant.</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pStyle w:val="TextBody"/>
        <w:bidi w:val="0"/>
        <w:spacing w:before="12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the RxSight-Alcon Collaboration Agreement under ASC Topic 606 and ASC Topic 808. The Company identified the following performance obligations under the agreement; (a) a license of the Company's intellectual property; (b) Phase I Feasibility and Phase II Regulatory Activities required to achieve project milestones; and (c) material rights related to the commercial supply of Collaboration Products. The Company expects to satisfy the feasibility and regulatory performance obligations over an estimated development period of several years, and the material rights will be satisfied upon exercise or expiration.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inception, the transaction price was $10.0 million, consisting of the non-refundable portion of the $60.0 million upfront payment. The remaining $50.0 million of the upfront payment is refundable if the agreement is terminated within the first 120 days of the effective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excludes (i) potential milestone payments and (ii) sales- and usage-based royalties. The milestone payments represent variable consideration that the Company has fully constrained under ASC 606-10-32-11 through 32-13, because achievement of the underlying feasibility and regulatory milestones is contingent on factors outside the Company's control and it is not probable that a significant reversal of cumulative revenue would not occur. The royalties are excluded under the sales- and usage-based royalty exception in ASC 606-10-55-65 and will be recognized as the related sales or usage occur. The Company will reassess the estimate of constrained consideration at each reporting date, and amounts will be included in the transaction price when it becomes probable that a significant revenue reversal will not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$10.0 million transaction price to the identified performance obligations based on their relative standalone selling prices. The standalone selling price of the license was estimated using a discounted cash flow analysis reflecting forecasted revenues, development timelines and expenses, discount rates, and probabilities of feasibility and regulatory success. The standalone selling price of the Feasibility and Regulatory Activities was estimated based on forecasted costs over the expected development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Licensed Intellectual Property — </w:t>
      </w:r>
      <w:r>
        <w:rPr>
          <w:rFonts w:ascii="Times New Roman" w:hAnsi="Times New Roman"/>
          <w:color w:val="000000"/>
          <w:sz w:val="20"/>
        </w:rPr>
        <w:t>For licensed intellectual property that is distinct from other performance obligations, the Company recognizes the upfront license fee and any milestone payments allocated to the license when the license is transferred and the licensee is able to benefit from it. The Company determined that Alcon could benefit from the license at the time it was granted; accordingly, the related performance obligation was satisfied at a point in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Project Activities — </w:t>
      </w:r>
      <w:r>
        <w:rPr>
          <w:rFonts w:ascii="Times New Roman" w:hAnsi="Times New Roman"/>
          <w:color w:val="000000"/>
          <w:sz w:val="20"/>
        </w:rPr>
        <w:t xml:space="preserve">At inception of an arrangement that includes milestone-based payments, the Company evaluates whether each milestone is probable of being achieved and estimates the amount to include in the transaction price using the most-likely-amount method, subject to the constraint. Because achievement of the milestones is not within the Company's control, the Company recognizes the associated consideration when the milestone is probable of being achieved.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Material Rights to Product Supply — </w:t>
      </w:r>
      <w:r>
        <w:rPr>
          <w:rFonts w:ascii="Times New Roman" w:hAnsi="Times New Roman"/>
          <w:color w:val="000000"/>
          <w:sz w:val="20"/>
        </w:rPr>
        <w:t xml:space="preserve">When a contract grants the customer an option to acquire additional goods or services at a price other than their standalone selling price, the Company assesses whether the option represents a material right. Material rights are accounted for as separate performance obligations, with revenue recognized when the right is exercised or expires.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2026, the Company recorded a receivable for the full $60.0 million upfront payment (subsequently received on July 1, 2026). Of the $10.0 million initial transaction fee, $6.5 million was allocated to the license of intellectual property and recognized as revenue on the effective date of the agreement, and the remaining $3.5 million was allocated to the other performance obligations and recorded as deferred revenue in the Company's condensed consolidated balance sheet as of June 30, 2026. The remaining $50.0 million recorded as a refund liability and is not included in the transaction price.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three and six months ended June 30, 2026 and 2025, revenue from contracts with customers consisted of the following (in thousands):</w:t>
      </w:r>
    </w:p>
    <w:tbl>
      <w:tblPr>
        <w:tblW w:w="10205" w:type="dxa"/>
        <w:jc w:val="left"/>
        <w:tblInd w:w="0" w:type="dxa"/>
        <w:tblLayout w:type="fixed"/>
        <w:tblCellMar>
          <w:top w:w="28" w:type="dxa"/>
          <w:left w:w="28" w:type="dxa"/>
          <w:bottom w:w="28" w:type="dxa"/>
          <w:right w:w="28" w:type="dxa"/>
        </w:tblCellMar>
      </w:tblPr>
      <w:tblGrid>
        <w:gridCol w:w="4109"/>
        <w:gridCol w:w="146"/>
        <w:gridCol w:w="265"/>
        <w:gridCol w:w="850"/>
        <w:gridCol w:w="183"/>
        <w:gridCol w:w="183"/>
        <w:gridCol w:w="265"/>
        <w:gridCol w:w="850"/>
        <w:gridCol w:w="146"/>
        <w:gridCol w:w="146"/>
        <w:gridCol w:w="241"/>
        <w:gridCol w:w="775"/>
        <w:gridCol w:w="166"/>
        <w:gridCol w:w="166"/>
        <w:gridCol w:w="241"/>
        <w:gridCol w:w="775"/>
        <w:gridCol w:w="698"/>
      </w:tblGrid>
      <w:tr>
        <w:trPr/>
        <w:tc>
          <w:tcPr>
            <w:tcW w:w="4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14,524</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54,192</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the Company did not have any customers who individually accounted for greater than 10% of product revenue. Collaboration revenue is attributable to one customer.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represents the contract liabilities from sales activity for the six months ended June 30, 2026 and 2025, respectively (in thousands):</w:t>
      </w:r>
    </w:p>
    <w:tbl>
      <w:tblPr>
        <w:tblW w:w="6702" w:type="dxa"/>
        <w:jc w:val="left"/>
        <w:tblInd w:w="0" w:type="dxa"/>
        <w:tblLayout w:type="fixed"/>
        <w:tblCellMar>
          <w:top w:w="28" w:type="dxa"/>
          <w:left w:w="28" w:type="dxa"/>
          <w:bottom w:w="28" w:type="dxa"/>
          <w:right w:w="28" w:type="dxa"/>
        </w:tblCellMar>
      </w:tblPr>
      <w:tblGrid>
        <w:gridCol w:w="3241"/>
        <w:gridCol w:w="146"/>
        <w:gridCol w:w="252"/>
        <w:gridCol w:w="754"/>
        <w:gridCol w:w="198"/>
        <w:gridCol w:w="174"/>
        <w:gridCol w:w="252"/>
        <w:gridCol w:w="754"/>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800"/>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Balance at end of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6"/>
        </w:rPr>
      </w:pPr>
      <w:r>
        <w:rPr>
          <w:rFonts w:ascii="Times New Roman" w:hAnsi="Times New Roman"/>
          <w:color w:val="000000"/>
          <w:sz w:val="16"/>
        </w:rPr>
        <w:t>(1) The Company also defers revenue for training but those amounts are de minimis and excluded from the above table.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Company has two active equity incentive compensation plans: the Calhoun Vision, Inc. 2015 Equity Incentive Plan (“2015 Plan”) and the 2021 Equity Incentive Plan (“2021 Plan”), which are collectively referred to as the “Equity Plans”. The Company also has an employee stock purchase plan, the 2021 Employee Stock Purchase Plan (“2021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compensation expense for equity-based awards on the date of grant to employees, board of directors and consultants based on the estimated grant date fair value of the award's equity-based payments including stock options, restricted stock units (“RSUs”), performance-based restricted stock units (“PSUs”), and employee stock plan purchases (“ESPP”). The fair value of the option awards are estimated using the Black-Scholes option-pricing model and recognized as an expense over the requisite service period, which is generally three to four years. The fair value of RSUs is estimated based on the fair value of the Company's common stock on the grant date. </w:t>
      </w:r>
    </w:p>
    <w:p>
      <w:pPr>
        <w:pStyle w:val="TextBody"/>
        <w:bidi w:val="0"/>
        <w:jc w:val="left"/>
        <w:rPr>
          <w:rFonts w:ascii="Times New Roman" w:hAnsi="Times New Roman"/>
          <w:color w:val="000000"/>
          <w:sz w:val="20"/>
        </w:rPr>
      </w:pPr>
      <w:r>
        <w:rPr>
          <w:rFonts w:ascii="Times New Roman" w:hAnsi="Times New Roman"/>
          <w:color w:val="000000"/>
          <w:sz w:val="20"/>
        </w:rPr>
        <w:t>The Company amortizes the stock-based compensation for equity awards with service conditions on a straight-line basis over the vesting period of the awards. Forfeitures of unvested stock option awards are recognized as reductions of expense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2026, the Company began granting PSUs subject to performance, market and/or service conditions. The Company granted two types of PSUs: (i) PSUs subject to a performance condition based on the achievement of an annual sales target and a service condition, and (ii) PSUs granted to certain executives subject to a market condition based on a total share return growth (“TSR”) target measured over a three-year period against a designated market index and a service condition. The service condition requires employees to be active through the certification date to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earned. The fair value of the PSUs that do not include a TSR condition was determined based on the fair value of the Company's common stock on the grant date. Compensation expense for these awards is recognized over the requisite service period, which is approximately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PSUs that include a TSR condition was determined using the Monte Carlo simulation model on the grant date. Vesting of the TSR awards is contingent on the achievement of the Company's TSR growth relative to the Nasdaq Healthcare Index as measured over a three-year period. Compensation expense for these awards is recognized over the requisite service period regardless of the metric being achieved.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Black-Scholes option-pricing model requires the use of assumptions about a number of variables, such as the fair market value of the Company’s common stock, expected volatility, expected term, risk-free interest rate, and dividend yield as discussed below:</w:t>
      </w:r>
    </w:p>
    <w:p>
      <w:pPr>
        <w:pStyle w:val="TextBody"/>
        <w:bidi w:val="0"/>
        <w:spacing w:before="120" w:after="283"/>
        <w:jc w:val="left"/>
        <w:rPr>
          <w:rFonts w:ascii="Times New Roman" w:hAnsi="Times New Roman"/>
          <w:sz w:val="20"/>
        </w:rPr>
      </w:pPr>
      <w:r>
        <w:rPr>
          <w:rFonts w:ascii="Times New Roman" w:hAnsi="Times New Roman"/>
          <w:i/>
          <w:color w:val="000000"/>
          <w:sz w:val="20"/>
        </w:rPr>
        <w:t>Fair market value</w:t>
      </w:r>
      <w:r>
        <w:rPr>
          <w:rFonts w:ascii="Times New Roman" w:hAnsi="Times New Roman"/>
          <w:color w:val="000000"/>
          <w:sz w:val="20"/>
        </w:rPr>
        <w:t>—The fair value of common stock is determined by using the closing price per share of common stock as reported on the Nasdaq Global Market.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—The Company based the expected volatility on the historic volatility of its common stock. </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Company’s expected term represents the period that the Company’s stock-based awards are expected to be outstanding. The Company used the simplified method (based on the mid-point between the vesting date and the end of the contractual term) to determine the expected term.</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used is based on the published U.S. Department of Treasury interest rates in effect at the time of stock option grant for zero coupon U.S. Treasury notes with maturities approximating each grant’s expected term.</w:t>
      </w:r>
    </w:p>
    <w:p>
      <w:pPr>
        <w:pStyle w:val="TextBody"/>
        <w:bidi w:val="0"/>
        <w:spacing w:before="120" w:after="283"/>
        <w:jc w:val="left"/>
        <w:rPr>
          <w:rFonts w:ascii="Times New Roman" w:hAnsi="Times New Roman"/>
          <w:sz w:val="20"/>
        </w:rPr>
      </w:pPr>
      <w:r>
        <w:rPr>
          <w:rFonts w:ascii="Times New Roman" w:hAnsi="Times New Roman"/>
          <w:i/>
          <w:color w:val="000000"/>
          <w:sz w:val="20"/>
        </w:rPr>
        <w:t>Dividend yield</w:t>
      </w:r>
      <w:r>
        <w:rPr>
          <w:rFonts w:ascii="Times New Roman" w:hAnsi="Times New Roman"/>
          <w:color w:val="000000"/>
          <w:sz w:val="20"/>
        </w:rPr>
        <w:t>—The Company has never paid dividends on its common stock and has no plans to pay dividends on its common stock. Therefore, the Company used an expected dividend yield of zero.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GAAP are established by the Financial Accounting Standards Board (“FASB”) in the form of accounting standards updates (“ASU”).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Adopted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2025-07, "Derivatives and Hedging (Topic 815) and Revenue from Contracts with Customers (Topic 606) ("ASU 2025-07"). ASU 2025-07 refines the scope of Topic 815 by adding a scope exception from derivative accounting for contracts that are (1) non–exchange-traded and (2) have underlyings based on operations or activities specific to one of the parties to the contract. However, contracts based on certain underlyings would not qualify for the scope exception. ASU 2025-07 also clarifies that the revenue guidance in Topic 606 applies initially to share-based noncash consideration received from a customer for the transfer of goods or services. The guidance in other topics, including Topic 815, is not applied until the entity's right to receive or retain the share-based noncash consideration is unconditional under ASC Topic 606. ASU 2025-07 is effective for all entities for annual reporting periods beginning after December 15, 2026, and for interim reporting periods within those annual periods. Early adoption is permitted, with transition applied on either a prospective or modified retrospective basis. The Company early adopted ASU 2025-07 in 2026 and applied the scope exception to the RxSight-Alcon Collaboration Agreement. Accordingly, none of the components were accounted for as an embedded derivative.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(Subtopic 350-40) Targeted Improvements to the Accounting for Internal-Use Software.” ASU 2025-06 amends the guidance in Accounting Standards Codification (“ASC”) 350-40 by modernizing the recognition and disclosure framework, removing the previous “development stage” model and introducing a more judgment-based approach. ASU 2025-06 also applies to ASC 350-50, “Intangibles-Goodwill and Other -Website Development Costs,” and is effective for fiscal years beginning after December 15, 2027. Early adoption is permitted. The Company has not yet completed its assessment of the impact of ASU 2025-06 on the Company’s consolidated financial statements.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The update requires the disclosure of specific information related to certain costs and expenses, including amounts for inventory purchases, employee compensation, and depreciation and amortization included in each relevant expense caption presented on the face of the income statement. ASU 2024-03 is effective for annual reporting periods beginning after December 15, 2026, and interim reporting periods beginning after December 15, 2027. Early adoption is permitted. The Company has not yet completed its assessment of the impact of ASU 2024-03 on the Company’s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 Short-Term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Short-term investments, principally U.S. Treasury bills, are available-for-sale and consisted of the following (in thousands):</w:t>
      </w:r>
    </w:p>
    <w:tbl>
      <w:tblPr>
        <w:tblW w:w="814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662"/>
        <w:gridCol w:w="1183"/>
        <w:gridCol w:w="16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5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749"/>
        <w:gridCol w:w="1126"/>
        <w:gridCol w:w="14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available-for-sale securities held as of June 30, 2026 and December 31, 2025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 – Inventories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Inventories consisted of the following (in thousands):</w:t>
      </w:r>
    </w:p>
    <w:tbl>
      <w:tblPr>
        <w:tblW w:w="6932" w:type="dxa"/>
        <w:jc w:val="left"/>
        <w:tblInd w:w="0" w:type="dxa"/>
        <w:tblLayout w:type="fixed"/>
        <w:tblCellMar>
          <w:top w:w="28" w:type="dxa"/>
          <w:left w:w="28" w:type="dxa"/>
          <w:bottom w:w="28" w:type="dxa"/>
          <w:right w:w="28" w:type="dxa"/>
        </w:tblCellMar>
      </w:tblPr>
      <w:tblGrid>
        <w:gridCol w:w="3916"/>
        <w:gridCol w:w="146"/>
        <w:gridCol w:w="211"/>
        <w:gridCol w:w="676"/>
        <w:gridCol w:w="166"/>
        <w:gridCol w:w="146"/>
        <w:gridCol w:w="299"/>
        <w:gridCol w:w="961"/>
        <w:gridCol w:w="4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reserve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and December 31, 2025, finished goods included $7.6 million and $6.9 million of inventory held on consignment at customer sites, respectively.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5 – Fair Value Measurements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(in thousands) presents information about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Money market funds and U.S. Treasury securities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w:t>
      </w:r>
    </w:p>
    <w:tbl>
      <w:tblPr>
        <w:tblW w:w="5352" w:type="dxa"/>
        <w:jc w:val="left"/>
        <w:tblInd w:w="0" w:type="dxa"/>
        <w:tblLayout w:type="fixed"/>
        <w:tblCellMar>
          <w:top w:w="28" w:type="dxa"/>
          <w:left w:w="28" w:type="dxa"/>
          <w:bottom w:w="28" w:type="dxa"/>
          <w:right w:w="28" w:type="dxa"/>
        </w:tblCellMar>
      </w:tblPr>
      <w:tblGrid>
        <w:gridCol w:w="2271"/>
        <w:gridCol w:w="146"/>
        <w:gridCol w:w="211"/>
        <w:gridCol w:w="781"/>
        <w:gridCol w:w="146"/>
        <w:gridCol w:w="146"/>
        <w:gridCol w:w="268"/>
        <w:gridCol w:w="992"/>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6 – Stock-Based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two equity incentive compensation plans: the 2015 Plan and the 2021 Plan.</w:t>
      </w:r>
    </w:p>
    <w:p>
      <w:pPr>
        <w:pStyle w:val="TextBody"/>
        <w:bidi w:val="0"/>
        <w:jc w:val="left"/>
        <w:rPr>
          <w:rFonts w:ascii="Times New Roman" w:hAnsi="Times New Roman"/>
          <w:b/>
          <w:i/>
          <w:color w:val="000000"/>
          <w:sz w:val="20"/>
        </w:rPr>
      </w:pPr>
      <w:r>
        <w:rPr>
          <w:rFonts w:ascii="Times New Roman" w:hAnsi="Times New Roman"/>
          <w:b/>
          <w:i/>
          <w:color w:val="000000"/>
          <w:sz w:val="20"/>
        </w:rPr>
        <w:t>2015 Plan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2015 Plan was originally adopted by the Board and approved by the Company’s stockholders in 2015. In connection with the Company’s initial public offering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bidi w:val="0"/>
        <w:jc w:val="left"/>
        <w:rPr>
          <w:rFonts w:ascii="Times New Roman" w:hAnsi="Times New Roman"/>
          <w:b/>
          <w:i/>
          <w:color w:val="000000"/>
          <w:sz w:val="20"/>
        </w:rPr>
      </w:pPr>
      <w:r>
        <w:rPr>
          <w:rFonts w:ascii="Times New Roman" w:hAnsi="Times New Roman"/>
          <w:b/>
          <w:i/>
          <w:color w:val="000000"/>
          <w:sz w:val="20"/>
        </w:rPr>
        <w:t>2021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July 28, 2021, the 2021 Plan was adopted and approved by the Board and stockholders. The 2021 Plan provides for the grant of incentive stock options to employees and any subsidiary corporations’ employees, and for the grant of nonstatutory stock options, stock appreciation rights, restricted stock, RSUs, and PSUs to employees, directors, and consultants and subsidiary corporations’ employees and consultants. The number of shares of the Company’s common stock originally available for issuance under the 2021 Plan was equal to 6,989,665 shares of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lesser of: (i) 7,260,406 shares of the Company's common stock; (ii) 4% of the outstanding shares of the Company's common stock on the last day of the immediately preceding fiscal year; or (iii) such other amount as the administrator may determine. The 2021 Plan is administered by the Board, or a duly authorized committee thereof. On January 1, 2026 and 2025, the number of shares available under the 2021 Plan increased by 1,649,680 and 1,617,128 shares of common stock, respectively, pursuant to this feature. As of June 30, 2026, the number of shares of the Company’s common stock available for future issuance and not subject to outstanding awards under the 2021 Plan was equal to 346,566 shares of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2021 ESPP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July 28, 2021, the Board and stockholders adopted and approved the 2021 ESPP. As of June 30, 2026, the number of shares of the Company’s common stock available for future issuance under the 2021 ESPP was equal to 292,112 shares of common stock. The initial purchase period began on November 1, 2021.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common shares reserved for issuance under the 2021 ESPP will be increased automatically on the first day of each fiscal year beginning with the 2022 fiscal year, by a number equal to the lesser of: (i) 1,452,081 shares; (ii) 1% of the outstanding shares of the Company's common stock on the last day of the immediately preceding fiscal year; or (iii) such other amount as the administrator may determine. The 2021 ESPP is administered by the Board. The Board determined that no additional shares were reserved for issuance on January 1, 2026 and 2025 pursuant to this feature.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Each share of common stock is entitled to one vote. Total shares of common stock reserved for future issuance consisted of the following: </w:t>
      </w:r>
    </w:p>
    <w:tbl>
      <w:tblPr>
        <w:tblW w:w="9392" w:type="dxa"/>
        <w:jc w:val="left"/>
        <w:tblInd w:w="0" w:type="dxa"/>
        <w:tblLayout w:type="fixed"/>
        <w:tblCellMar>
          <w:top w:w="28" w:type="dxa"/>
          <w:left w:w="28" w:type="dxa"/>
          <w:bottom w:w="28" w:type="dxa"/>
          <w:right w:w="28" w:type="dxa"/>
        </w:tblCellMar>
      </w:tblPr>
      <w:tblGrid>
        <w:gridCol w:w="6226"/>
        <w:gridCol w:w="146"/>
        <w:gridCol w:w="146"/>
        <w:gridCol w:w="931"/>
        <w:gridCol w:w="146"/>
        <w:gridCol w:w="146"/>
        <w:gridCol w:w="170"/>
        <w:gridCol w:w="1090"/>
        <w:gridCol w:w="39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stock options issued and outstanding under the 2021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6,556,728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under the 2021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2021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8,378,005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Stock-based compensation expense related to awards issued under the Company's incentive compensation plans was classified in the accompanying condensed consolidated statements of operations and comprehensive (loss) as follows (in thousands):</w:t>
      </w:r>
    </w:p>
    <w:tbl>
      <w:tblPr>
        <w:tblW w:w="8789" w:type="dxa"/>
        <w:jc w:val="left"/>
        <w:tblInd w:w="0" w:type="dxa"/>
        <w:tblLayout w:type="fixed"/>
        <w:tblCellMar>
          <w:top w:w="28" w:type="dxa"/>
          <w:left w:w="28" w:type="dxa"/>
          <w:bottom w:w="28" w:type="dxa"/>
          <w:right w:w="28" w:type="dxa"/>
        </w:tblCellMar>
      </w:tblPr>
      <w:tblGrid>
        <w:gridCol w:w="2956"/>
        <w:gridCol w:w="146"/>
        <w:gridCol w:w="298"/>
        <w:gridCol w:w="807"/>
        <w:gridCol w:w="206"/>
        <w:gridCol w:w="206"/>
        <w:gridCol w:w="298"/>
        <w:gridCol w:w="807"/>
        <w:gridCol w:w="146"/>
        <w:gridCol w:w="146"/>
        <w:gridCol w:w="243"/>
        <w:gridCol w:w="780"/>
        <w:gridCol w:w="168"/>
        <w:gridCol w:w="168"/>
        <w:gridCol w:w="243"/>
        <w:gridCol w:w="780"/>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Stock-Based Award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 option awards are granted with an exercise price of no less than 100% of estimated fair market value on the date of grant. Time based option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summary of the stock option activities for the six months ended June 30, 2026 is presented below:</w:t>
      </w:r>
    </w:p>
    <w:tbl>
      <w:tblPr>
        <w:tblW w:w="10205" w:type="dxa"/>
        <w:jc w:val="left"/>
        <w:tblInd w:w="0" w:type="dxa"/>
        <w:tblLayout w:type="fixed"/>
        <w:tblCellMar>
          <w:top w:w="28" w:type="dxa"/>
          <w:left w:w="28" w:type="dxa"/>
          <w:bottom w:w="28" w:type="dxa"/>
          <w:right w:w="28" w:type="dxa"/>
        </w:tblCellMar>
      </w:tblPr>
      <w:tblGrid>
        <w:gridCol w:w="3326"/>
        <w:gridCol w:w="246"/>
        <w:gridCol w:w="212"/>
        <w:gridCol w:w="1358"/>
        <w:gridCol w:w="166"/>
        <w:gridCol w:w="146"/>
        <w:gridCol w:w="676"/>
        <w:gridCol w:w="1831"/>
        <w:gridCol w:w="146"/>
        <w:gridCol w:w="146"/>
        <w:gridCol w:w="371"/>
        <w:gridCol w:w="1187"/>
        <w:gridCol w:w="394"/>
      </w:tblGrid>
      <w:tr>
        <w:trPr/>
        <w:tc>
          <w:tcPr>
            <w:tcW w:w="33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Remaining</w:t>
              <w:br/>
              <w:t>Contractual Life</w:t>
              <w:br/>
              <w:t>(Years)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outstanding as of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and December 31, 2025, there were 2,109,621 and 2,307,812 unvested options, respectively. As of June 30, 2026 and December 31, 2025, total unrecognized expense related to unvested stock options was approximately $29.4 million and $43.5 million, respectively. Both amounts are expected to be recognized over a weighted average period of approximately 2.4 and 2.5 years,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and December 31, 2025 the intrinsic value of options vested was less than $0.1 million and $0.8 million, respectively, and of all options outstanding was less than $0.1 million and $1.2 million, respectively. During the six months ended June 30, 2026 and 2025, the total cash received from the exercise of stock options was $0.2 million and $2.1 million, respectively. During the six months ended June 30, 2026 and 2025, the total fair value less strike price of these options was $0.2 million and $4.2 million, respectively.</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RSUs and PSUs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summary of RSU and PSU activities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3318"/>
        <w:gridCol w:w="246"/>
        <w:gridCol w:w="182"/>
        <w:gridCol w:w="1163"/>
        <w:gridCol w:w="166"/>
        <w:gridCol w:w="146"/>
        <w:gridCol w:w="201"/>
        <w:gridCol w:w="1079"/>
        <w:gridCol w:w="166"/>
        <w:gridCol w:w="146"/>
        <w:gridCol w:w="146"/>
        <w:gridCol w:w="931"/>
        <w:gridCol w:w="166"/>
        <w:gridCol w:w="146"/>
        <w:gridCol w:w="326"/>
        <w:gridCol w:w="1283"/>
        <w:gridCol w:w="394"/>
      </w:tblGrid>
      <w:tr>
        <w:trPr/>
        <w:tc>
          <w:tcPr>
            <w:tcW w:w="33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PSUs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and PSUs outstanding as of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 outstanding as of June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and December 31, 2025, total unrecognized expense related to non-vested RSUs and PSUs was approximately $20.3 million and $17.8 million, respectively. The unrecognized compensation cost is expected to be recognized over a weighted average period of 1.5 years and 2.1 years, respectively.</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granted PSUs under the plan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PSUs to certain executive officers that vest contingent upon achievement of certain TSR growth targets. The PSUs will vest in three years from the award date, subject to the achievement of market conditions during the three-year performance measurement period. The number of shares that may be earned can range from 0% to 200% of the target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PSUs to certain executive officers and other employees that vest contingent upon achievement of certain revenue targets in FY 2026. The PSUs will vest following FY 2026, subject to the achievement of the revenue targets during the one-year performance measurement period. The number of shares that may be earned can range from 0% to 100% of the target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PSUs to certain sales-based employees that vest contingent upon achievement of certain sales quota targets in FY 2026. The PSUs will vest following FY 2026, subject to the achievement of the sales quota targets during the one-year performance measurement period. The number of shares that may be earned can range from 0% to 100% of the target amount.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Fair Value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range and weighted-average assumptions, used in the Black-Scholes option pricing model to determine the fair value of stock options:</w:t>
      </w:r>
    </w:p>
    <w:tbl>
      <w:tblPr>
        <w:tblW w:w="9034" w:type="dxa"/>
        <w:jc w:val="left"/>
        <w:tblInd w:w="0" w:type="dxa"/>
        <w:tblLayout w:type="fixed"/>
        <w:tblCellMar>
          <w:top w:w="28" w:type="dxa"/>
          <w:left w:w="28" w:type="dxa"/>
          <w:bottom w:w="28" w:type="dxa"/>
          <w:right w:w="28" w:type="dxa"/>
        </w:tblCellMar>
      </w:tblPr>
      <w:tblGrid>
        <w:gridCol w:w="2131"/>
        <w:gridCol w:w="146"/>
        <w:gridCol w:w="1411"/>
        <w:gridCol w:w="146"/>
        <w:gridCol w:w="1681"/>
        <w:gridCol w:w="146"/>
        <w:gridCol w:w="1501"/>
        <w:gridCol w:w="146"/>
        <w:gridCol w:w="172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72.0% to 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 to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to 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to 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to 6.1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to 6.1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$3.90 to $6.77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$13.23 to $33.87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$28.12</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assumptions used in the Monte Carlo simulation model to determine the grant-date fair value of the 2026 PSU awards with a market condition:</w:t>
      </w:r>
    </w:p>
    <w:tbl>
      <w:tblPr>
        <w:tblW w:w="4423" w:type="dxa"/>
        <w:jc w:val="left"/>
        <w:tblInd w:w="0" w:type="dxa"/>
        <w:tblLayout w:type="fixed"/>
        <w:tblCellMar>
          <w:top w:w="28" w:type="dxa"/>
          <w:left w:w="28" w:type="dxa"/>
          <w:bottom w:w="28" w:type="dxa"/>
          <w:right w:w="28" w:type="dxa"/>
        </w:tblCellMar>
      </w:tblPr>
      <w:tblGrid>
        <w:gridCol w:w="1846"/>
        <w:gridCol w:w="146"/>
        <w:gridCol w:w="24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w:t>
            </w:r>
          </w:p>
        </w:tc>
      </w:tr>
    </w:tbl>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7 –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Company held five leases for office, manufacturing and warehouse facilities in Aliso Viejo, California. The five leases are for approximately 150,000 square feet in the aggregate and expire January 31, 2031. For one such operating lease, the lessor provided $1.1 million in tenant allowances.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lease balances within the Condensed Consolidated Balance Sheets as of June 30, 2026 and December 31, 2025 (in thousands):</w:t>
      </w:r>
    </w:p>
    <w:tbl>
      <w:tblPr>
        <w:tblW w:w="7894" w:type="dxa"/>
        <w:jc w:val="left"/>
        <w:tblInd w:w="0" w:type="dxa"/>
        <w:tblLayout w:type="fixed"/>
        <w:tblCellMar>
          <w:top w:w="28" w:type="dxa"/>
          <w:left w:w="28" w:type="dxa"/>
          <w:bottom w:w="28" w:type="dxa"/>
          <w:right w:w="28" w:type="dxa"/>
        </w:tblCellMar>
      </w:tblPr>
      <w:tblGrid>
        <w:gridCol w:w="1831"/>
        <w:gridCol w:w="146"/>
        <w:gridCol w:w="2941"/>
        <w:gridCol w:w="146"/>
        <w:gridCol w:w="211"/>
        <w:gridCol w:w="676"/>
        <w:gridCol w:w="146"/>
        <w:gridCol w:w="146"/>
        <w:gridCol w:w="299"/>
        <w:gridCol w:w="96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Maturities of the Company’s operating and finance lease liabilities as of June 30, 2026 were as follows (in thousands):</w:t>
      </w:r>
    </w:p>
    <w:tbl>
      <w:tblPr>
        <w:tblW w:w="4932" w:type="dxa"/>
        <w:jc w:val="left"/>
        <w:tblInd w:w="0" w:type="dxa"/>
        <w:tblLayout w:type="fixed"/>
        <w:tblCellMar>
          <w:top w:w="28" w:type="dxa"/>
          <w:left w:w="28" w:type="dxa"/>
          <w:bottom w:w="28" w:type="dxa"/>
          <w:right w:w="28" w:type="dxa"/>
        </w:tblCellMar>
      </w:tblPr>
      <w:tblGrid>
        <w:gridCol w:w="2326"/>
        <w:gridCol w:w="146"/>
        <w:gridCol w:w="232"/>
        <w:gridCol w:w="744"/>
        <w:gridCol w:w="166"/>
        <w:gridCol w:w="146"/>
        <w:gridCol w:w="280"/>
        <w:gridCol w:w="501"/>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 average remaining lease term and weighted average discount rate used to determine lease liabilities related to the Company’s operating and finance leases as of June 30, 2026 and December 31, 2025 were:</w:t>
      </w:r>
    </w:p>
    <w:tbl>
      <w:tblPr>
        <w:tblW w:w="7050" w:type="dxa"/>
        <w:jc w:val="left"/>
        <w:tblInd w:w="0" w:type="dxa"/>
        <w:tblLayout w:type="fixed"/>
        <w:tblCellMar>
          <w:top w:w="28" w:type="dxa"/>
          <w:left w:w="28" w:type="dxa"/>
          <w:bottom w:w="28" w:type="dxa"/>
          <w:right w:w="28" w:type="dxa"/>
        </w:tblCellMar>
      </w:tblPr>
      <w:tblGrid>
        <w:gridCol w:w="3901"/>
        <w:gridCol w:w="146"/>
        <w:gridCol w:w="193"/>
        <w:gridCol w:w="617"/>
        <w:gridCol w:w="271"/>
        <w:gridCol w:w="146"/>
        <w:gridCol w:w="300"/>
        <w:gridCol w:w="960"/>
        <w:gridCol w:w="5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spacing w:before="120" w:after="283"/>
        <w:jc w:val="left"/>
        <w:rPr>
          <w:rFonts w:ascii="Times New Roman" w:hAnsi="Times New Roman"/>
          <w:sz w:val="20"/>
        </w:rPr>
      </w:pPr>
      <w:r>
        <w:rPr>
          <w:rFonts w:ascii="Times New Roman" w:hAnsi="Times New Roman"/>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occasionally becomes involved in litigation arising in the normal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condensed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June 30, 2026 and December 31, 2025,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 See “Legal Proceedings” in Part II, Item I of this Quarterly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 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13, 2026, the Company's Board of Directors (“Board”) appointed Aziz Mottiwala as President and Chief Executive Officer, effective as of his start date, July 20, 2026, succeeding Ron Kurtz, M.D., who had served in these roles since 2016. Effective upon Mr. Mottiwala's appointment, Dr. Kurtz transitioned to the role of Chief Medical Officer, and resigned from the Board; the Board appointed Mr. Mottiwala to fill the resulting vacancy as a Class II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his appointment, the Company entered into an employment agreement with Mr. Mottiwala providing for an annual base salary of $750,000, a target annual bonus of up to 90% of base salary (with a guaranteed 2026 bonus of $337,500), and new-hire equity awards with an aggregate grant-date value of $14.0 million, consisting of stock options valued at $2.0 million and restricted stock units valued at $12.0 million, issued under the Company's newly adopted 2026 Inducement Equity Incentive Plan. Mr. Mottiwala also entered into a Change in Control Severance Agreement providing for cash severance and equity acceleration upon a qualifying termination, with enhanced benefits if the termination occurs in connection with a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his transition to Chief Medical Officer, the Company entered into a Transition Agreement with Dr. Kurtz providing for continuation of his $740,000 annual base salary, a target bonus of up to 100% of base salary, retention bonus payments totaling up to $1,480,000 through mid-2028, and a future restricted stock unit award covering 500,000 shares, together with an amended Change in Control and Severance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 2026, the Company received the $60.0 million upfront cash payment from Alcon pursuant to the RxSight-Alcon Collaboration Agreement entered into on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these events occurred subsequent to June 30, 2026, no related compensation charges have been reflected in the Company's condensed consolidated financial statements for the period then ended. The Company has evaluated subsequent events through the date these condensed consolidated financial statements were issued.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2025, included in our Annual Report on Form 10-K filed with the U.S. Securities and Exchange Commission on February 25, 2026.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w:t>
      </w:r>
      <w:r>
        <w:rPr>
          <w:rFonts w:ascii="Times New Roman" w:hAnsi="Times New Roman"/>
          <w:color w:val="000000"/>
          <w:sz w:val="20"/>
        </w:rPr>
        <w:t>”</w:t>
      </w:r>
      <w:r>
        <w:rPr>
          <w:rFonts w:ascii="Times New Roman" w:hAnsi="Times New Roman"/>
          <w:i/>
          <w:color w:val="000000"/>
          <w:sz w:val="20"/>
        </w:rPr>
        <w:t>, and elsewhere in, this report. See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medical technology company dedicated to providing high quality customized vision to patients following cataract surgery. Our proprietary RxSight</w:t>
      </w:r>
      <w:r>
        <w:rPr>
          <w:rFonts w:ascii="Times New Roman" w:hAnsi="Times New Roman"/>
          <w:color w:val="000000"/>
          <w:sz w:val="13"/>
        </w:rPr>
        <w:t>®</w:t>
      </w:r>
      <w:r>
        <w:rPr>
          <w:rFonts w:ascii="Times New Roman" w:hAnsi="Times New Roman"/>
          <w:color w:val="000000"/>
          <w:sz w:val="20"/>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hAnsi="Times New Roman"/>
          <w:color w:val="000000"/>
          <w:sz w:val="13"/>
        </w:rPr>
        <w:t>®</w:t>
      </w:r>
      <w:r>
        <w:rPr>
          <w:rFonts w:ascii="Times New Roman" w:hAnsi="Times New Roman"/>
          <w:color w:val="000000"/>
          <w:sz w:val="20"/>
        </w:rPr>
        <w:t xml:space="preserve"> (“LAL</w:t>
      </w:r>
      <w:r>
        <w:rPr>
          <w:rFonts w:ascii="Times New Roman" w:hAnsi="Times New Roman"/>
          <w:color w:val="000000"/>
          <w:sz w:val="13"/>
        </w:rPr>
        <w:t>®</w:t>
      </w:r>
      <w:r>
        <w:rPr>
          <w:rFonts w:ascii="Times New Roman" w:hAnsi="Times New Roman"/>
          <w:color w:val="000000"/>
          <w:sz w:val="20"/>
        </w:rPr>
        <w:t>” and “LAL+</w:t>
      </w:r>
      <w:r>
        <w:rPr>
          <w:rFonts w:ascii="Times New Roman" w:hAnsi="Times New Roman"/>
          <w:color w:val="000000"/>
          <w:sz w:val="13"/>
        </w:rPr>
        <w:t>®</w:t>
      </w:r>
      <w:r>
        <w:rPr>
          <w:rFonts w:ascii="Times New Roman" w:hAnsi="Times New Roman"/>
          <w:color w:val="000000"/>
          <w:sz w:val="20"/>
        </w:rPr>
        <w:t>”,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designed our RxSight system to address limitations of conventional premium IOL technologies by providing doctors with a more precise and adaptable method for achieving desired visual outcomes for their patients. Conventional premium IOLs require patients to select their visual priorities before surgery and accept the optical trade-offs inherent in those choices. Surgeons must rely on a series of preoperative measurements and predictive formulae to determine the appropriate lens power. If the selected power is not optimal, the patient may experience less-than-ideal results that could require a subsequent corneal refractive procedure or other corrective measures to achieve intended vision targets.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with increased confidence and peace of mind by eliminating the high-stakes preoperative guesswork common to conventional premium IOLs and allowing patients to iterate their final vision characteristics with customized post-surgical adjustments. Currently, we primarily compete in the IOL market in the U.S. The LAL is a premium IOL which is partially reimbursable under Medicare, and in some cases by private payors. Premium IOLs are sold at a higher price point than conventional IOLs as they provide refractive vision correction, whereas conventional IOLs simply replace the natural lens with a clear lens (which is the standard for Medicare reimbursement). Our RxSight system is approved in the U.S. and in several foreign countries for improving uncorrected visual acuity by adjusting the LAL power to correct residual postoperative refractive error. We intend to seek additional approvals in the future to broaden our international presence. While we are growing our presence outside the U.S., we do not anticipate sales from these non-U.S. regions to be material to our consolidated results of operations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Delaware corporation headquartered in Aliso Viejo, California with two wholly owned subsidiaries located in Hong Kong (“RxSight, Hong Kong”) and in Amsterdam, Netherlands (“RxSight, Netherlands”). RxSight, Netherlands has a registered branch in the United Kingdom and a wholly owned subsidiary located in Germany (“RxSight, Germany”).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efforts began in 2019, and have been primarily focused in the U.S., where we are building a “razor and razor blade” business model to drive new customer adoption and ongoing LAL volume growth. Our sales efforts are concentrated on the approximately 4,000 U.S. cataract surgeons that perform approximately 60% of all premium IOL procedures. As of June 30, 2026, we have established a global installed base of 1,166 LDDs in ophthalmology practices and, since our inception through June 30, 2026, surgeons have implanted approximately 357,000 LALs.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this business model provides an attractive and concentrated market opportunity addressable with a focused sales force. We intend to continue to make significant investments in our commercial organization. We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driving increased utilization of our LAL through heightened awareness of the superior clinical outcomes that our RxSight system provides patients. To continue strengthening our competitive position in the premium IOL market, our research and development activities are focused on programs that improve clinical outcomes, improve customer experience, expand our indications for use, reduce manufacturing costs and support lifecycle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near-term research and development activities are focused on enhancements to the RxSight system to improve clinical outcomes, enhance customer experience, expand our indications for use, reduce manufacturing costs and support lifecycle management. We believe our adjustable lens solution can be used to address a broad range of cataract surgery patients, including those that would otherwise elect for a conventional cataract procedure today. We will undertake additional clinical studies to expand the existing body of evidence related to the safety and effectiveness of our current and future generations of products. Finally, we may in the future seek to acquire or invest in additional businesses, products or technologies that we believe could complement or expand our portfolio, enhance our technical capabilities or otherwise offer growth opportunities. While we continue to make investments in our sales and marketing organization, including personnel in clinical applications, practice development, sales and technical service personnel, we also intend to expand our marketing efforts through additional print and digital, social media, education and other customer tools to drive further adoption of the RxSight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have incurred and expect to continue to incur costs related to operating as a public company, such as director and officer insurance premiums, audit fees, costs for compliance with Section 404(b) of the Sarbanes-Oxley Act, legal fees, investor relations fees, fees to members of our Board of Directors, and expenses for compliance with public-company reporting requirements. Because of our ongoing investment in our business and products and these and other factors, we expect to continue to incur net losses and negative cash flows from operations for the near future.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Leadership Transition and Board Appointment.</w:t>
      </w:r>
      <w:r>
        <w:rPr>
          <w:color w:val="000000"/>
        </w:rPr>
        <w:t xml:space="preserve"> </w:t>
      </w:r>
      <w:r>
        <w:rPr>
          <w:rFonts w:ascii="Times New Roman" w:hAnsi="Times New Roman"/>
          <w:color w:val="000000"/>
          <w:sz w:val="20"/>
        </w:rPr>
        <w:t>On July 13, 2026, our Board appointed Aziz Mottiwala as President and Chief Executive Officer, effective as of his start date of July 20, 2026, succeeding Ron Kurtz, M.D., who had served in these roles since 2016. Effective upon Mr. Mottiwala's appointment, Dr. Kurtz transitioned to the role of Chief Medical Officer and resigned from the Board. In addition, effective July 20, 2026, Mr. Mottiwala was appointed to the Board as a Class II director and his term of office will expire at our 2029 annual meeting of stockholders or until his successor is duly elected and qualified.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Adoption of the RxSight, Inc. 2026 Inducement Equity Incentive Plan.</w:t>
      </w:r>
      <w:r>
        <w:rPr>
          <w:color w:val="000000"/>
        </w:rPr>
        <w:t xml:space="preserve"> </w:t>
      </w:r>
      <w:r>
        <w:rPr>
          <w:rFonts w:ascii="Times New Roman" w:hAnsi="Times New Roman"/>
          <w:color w:val="000000"/>
          <w:sz w:val="20"/>
        </w:rPr>
        <w:t>On July 13, 2026, the Board adopted the RxSight, Inc. 2026 Inducement Equity Incentive Plan (the “Inducement Plan”), pursuant to which we may from time to time make equity grants to new employees as a material inducement to their employment. The Board reserved 3,500,000 shares of our common stock for issuance under the Inducement Plan. The Inducement Plan was adopted without stockholder approval pursuant to Nasdaq Listing Rule 5635(c)(4) and will be administered by the Compensation Committee of the Board.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Updated Product Pipeline</w:t>
      </w:r>
      <w:r>
        <w:rPr>
          <w:rFonts w:ascii="Times New Roman" w:hAnsi="Times New Roman"/>
          <w:color w:val="000000"/>
          <w:sz w:val="20"/>
        </w:rPr>
        <w:t>. On July 6, 2026, we announced certain product pipeline updates, including the following:</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Next-generation LAL, designed to deliver best-in-class visual quality and optical clarity, with post-operative refractive optimization to consistently achieve targeted visual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Next-generation LAL+, designed to improve intermediate vision for everyday activities while preserving high-quality optical performance, with adjustability enabling precise refractive targeting;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LAL Toric, designed with built-in astigmatism correction, while still enabling post-operative refinement of residual sphere and cylinder to maximize uncorrected visual acuity.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RxSight-Alcon Collaboration Agreement. </w:t>
      </w:r>
      <w:r>
        <w:rPr>
          <w:rFonts w:ascii="Times New Roman" w:hAnsi="Times New Roman"/>
          <w:color w:val="000000"/>
          <w:sz w:val="20"/>
        </w:rPr>
        <w:t xml:space="preserve">On June 30, 2026, we entered into a License, Collaboration and Development Agreement (the “RxSight-Alcon Collaboration Agreement”) with Alcon Pharmaceuticals, Ltd (“Alcon”), pursuant to which we will collaborate with Alcon to develop and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commercialize light-adjustable versions of certain Alcon simultaneous vision intraocular lenses (“SVIOLs”) by incorporating RxSight Light Adjustable Technology. For more information regarding the RxSight-Alcon Collaboration Agreement, see (i) Note 1 to our unaudited condensed consolidated financial statements and the related notes to those statements included elsewhere in this report and (ii) Item 1.01 of our Current Report on Form 8-K filed with the SEC on July 6, 2026, which is incorporated herein by reference.</w:t>
      </w:r>
    </w:p>
    <w:p>
      <w:pPr>
        <w:pStyle w:val="TextBody"/>
        <w:bidi w:val="0"/>
        <w:spacing w:before="12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review several operating and financial metrics to evaluate our business, measure our performance, identify trends affecting our business, formulate our business plan and make strategic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are influenced by several key factors, including: (i) our LDD installed base; (ii) the utilization of that installed base for LAL procedures, measured by the number of LALs implanted per installed LDD; (iii) product mix between LALs and LDDs, which affects our overall gross margins; (iv) manufacturing cost trends; and (v) seasonal and external factors that may affect cataract surgery volumes, including, among other things, competition (including the effect of recent competitive trialing activity associated with new product launches), physician reimbursement trends, and consumer sentiment which affects procedure timing. We believe the number of LDDs installed and LALs implanted are the strongest indicators of the adoption of our technology and our ability to generate revenue. We monitor average monthly utilization, which we define as the number of LALs implanted during a quarter divided by the LDD installed base at the end of the prior quarter. This fluctuates due to seasonality, practice ramp, and external disruptions (including severe weather events).</w:t>
      </w:r>
    </w:p>
    <w:tbl>
      <w:tblPr>
        <w:tblW w:w="8920" w:type="dxa"/>
        <w:jc w:val="left"/>
        <w:tblInd w:w="0" w:type="dxa"/>
        <w:tblLayout w:type="fixed"/>
        <w:tblCellMar>
          <w:top w:w="28" w:type="dxa"/>
          <w:left w:w="28" w:type="dxa"/>
          <w:bottom w:w="28" w:type="dxa"/>
          <w:right w:w="28" w:type="dxa"/>
        </w:tblCellMar>
      </w:tblPr>
      <w:tblGrid>
        <w:gridCol w:w="2821"/>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Installed Base at End of Period </w:t>
            </w:r>
            <w:r>
              <w:rPr>
                <w:rFonts w:ascii="Times New Roman" w:hAnsi="Times New Roman"/>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6"/>
        </w:rPr>
      </w:pPr>
      <w:r>
        <w:rPr>
          <w:rFonts w:ascii="Times New Roman" w:hAnsi="Times New Roman"/>
          <w:color w:val="000000"/>
          <w:sz w:val="16"/>
        </w:rPr>
        <w:t>(1) Installed base at end of period includes LDDs placed with customers under rental arrangements.</w:t>
      </w:r>
    </w:p>
    <w:tbl>
      <w:tblPr>
        <w:tblW w:w="7720" w:type="dxa"/>
        <w:jc w:val="left"/>
        <w:tblInd w:w="0" w:type="dxa"/>
        <w:tblLayout w:type="fixed"/>
        <w:tblCellMar>
          <w:top w:w="28" w:type="dxa"/>
          <w:left w:w="28" w:type="dxa"/>
          <w:bottom w:w="28" w:type="dxa"/>
          <w:right w:w="28" w:type="dxa"/>
        </w:tblCellMar>
      </w:tblPr>
      <w:tblGrid>
        <w:gridCol w:w="991"/>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we sold 11 LDDs and placed 1 LDD on rental, a decrease of 28 units from 40 LDDs sold during the quarter ended June 30, 2025, due to slower LDD placements. LAL sales decreased by 2,463 when compared to the quarter ended June 30, 2025, primarily driven by fewer LALs being used in cataract surgeries.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financial results may fluctuate as a result of a variety of factors, many of which are outside our control. Seasonality may cause fluctuations in our operating results and financial metrics and make forecasting our future operating results and financial metrics more difficult.</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consist of LALs used in cataract surgeries, the LDDs for delivering light to the LALs to adjust the lens post-surgery, as needed, and service and accessories. Revenue is derived from sales of products mainly in the U.S. and select international markets. Customers are primarily comprised of ophthalmic practices (LDD sales) and ambulatory surgery centers (LAL sales). Following several years of rapid growth, sales moderated in 2025 and continued to decline through the second quarter of 2026, however, we expect our commercial realignment initiatives to position the company for renewed revenue growth. We plan to drive continued expansion by supporting existing practices and strategically expanding our LDD installed base and helping new adopters in achieving early success and sustained long-term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LALs are held at customer sites on consignment. Revenue is recognized for LALs upon customer notification that the LALs have been implanted in a patient. Outside the U.S., generally, LALs are held at distributor sites and distributor customer locations, with revenue recognized for LALs upon the distributor notification that the LALs have been implanted in a patient or upon shipment to the distributor.</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LDD contracts contain multiple performance obligations bundled into one transaction price, with all obligations generally satisfied within one year. Revenue for the LDD capital asset is recognized at a point in time either at installation and acceptance or upon shipment to our international distributors. Revenue for training is also recorded at a point in time, generally 60 days after installation. Revenue for the device service is recognized ratably over time after installation, generally 12-36 months. After the first year, service contracts can be purchased separately on a standalone basis. Revenue for such service agreements will be recognized ratably over the term of each contract.</w:t>
      </w:r>
    </w:p>
    <w:p>
      <w:pPr>
        <w:pStyle w:val="TextBody"/>
        <w:bidi w:val="0"/>
        <w:spacing w:before="120" w:after="283"/>
        <w:jc w:val="left"/>
        <w:rPr>
          <w:rFonts w:ascii="Times New Roman" w:hAnsi="Times New Roman"/>
          <w:sz w:val="20"/>
        </w:rPr>
      </w:pPr>
      <w:r>
        <w:rPr>
          <w:rFonts w:ascii="Times New Roman" w:hAnsi="Times New Roman"/>
          <w:b/>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RxSight-Alcon Collaboration Agreement under ASC Topic 606 and ASC Topic 808. We identified the following performance obligations under the agreement; (a) a license of our intellectual property; (b) Phase I Feasibility and Phase II Regulatory Activities required to achieve project milestones; and (c) material rights related to the commercial supply of Collaboration Products. We expect to satisfy the feasibility and regulatory performance obligations over an estimated development period of several years, and the material rights will be satisfied upon exercise or expiration.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inception, the transaction price was $10.0 million, consisting of the non-refundable portion of the $60.0 million upfront payment. The remaining $50.0 million of the upfront payment is refundable if the agreement is terminated within the first 120 days of the effective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excludes (i) potential milestone payments and (ii) sales-and usage-based royalties. The milestone payments represent variable consideration that is fully constrained under ASC 606-10-32-11 through 32-13, because achievement of the underlying feasibility and regulatory milestones is contingent on factors outside our control and it is not probable that a significant reversal of cumulative revenue would not occur. The royalties are excluded under the sales-and usage-based royalty exception in ASC 606-10-55-65 and will be recognized as the related sales or usage occur. We will reassess the estimate of constrained consideration at each reporting date, and amounts will be included in the transaction price when it becomes probable that a significant revenue reversal will not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the optional exemptions in ASC 606-10-50-14 and 50-14A and therefore does not disclose the value of the remaining performance obligations for (i) variable consideration allocated to wholly unsatisfied performance obligations and (ii) consideration in the form of sales- and usage-based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allocated the $10.0 million transaction price to the identified performance obligations based on their relative standalone selling prices. The standalone selling price of the license was estimated using a discounted cash flow analysis reflecting forecasted revenues, development timelines and expenses, discount rates, and probabilities of feasibility and regulatory success. The standalone selling price of the Feasibility and Regulatory Activities was estimated based on forecasted costs over the expected development period.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Licensed Intellectual Property</w:t>
      </w:r>
      <w:r>
        <w:rPr>
          <w:rFonts w:ascii="Times New Roman" w:hAnsi="Times New Roman"/>
          <w:color w:val="000000"/>
          <w:sz w:val="20"/>
        </w:rPr>
        <w:t xml:space="preserve"> — For licensed intellectual property that is distinct from other performance obligations, We recognize the upfront license fee and any milestone payments allocated to the license when the license is transferred and the licensee is able to benefit from it. We determined that Alcon could benefit from the license at the time it was granted; accordingly, the related performance obligation was satisfied at a point in time.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Project Activities </w:t>
      </w:r>
      <w:r>
        <w:rPr>
          <w:rFonts w:ascii="Times New Roman" w:hAnsi="Times New Roman"/>
          <w:color w:val="000000"/>
          <w:sz w:val="20"/>
        </w:rPr>
        <w:t xml:space="preserve">— At inception of an arrangement that includes milestone-based payments, We evaluated whether each milestone is probable of being achieved and estimates the amount to include in the transaction price using the most-likely-amount method, subject to the constraint. Because achievement of the milestones is not within our control, we recognize the associated consideration when the milestone is probable of being achieved.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Material Rights to Product Supply</w:t>
      </w:r>
      <w:r>
        <w:rPr>
          <w:rFonts w:ascii="Times New Roman" w:hAnsi="Times New Roman"/>
          <w:color w:val="000000"/>
          <w:sz w:val="20"/>
        </w:rPr>
        <w:t xml:space="preserve"> — When a contract grants the customer an option to acquire additional goods or services at a price other than their standalone selling price, We assesses whether the option represents a material right. Material rights are accounted for as separate performance obligations, with revenue recognized when the right is exercised or expires.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2026, we recorded a receivable for the full $60.0 million upfront payment (subsequently received on July 1, 2026). Of the $10.0 million initial transaction fee, $6.5 million was allocated to the license of intellectual property and recognized as revenue on the effective date of the agreement, and the remaining $3.5 million was allocated to the other performance obligations and recorded as deferred revenue in our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condensed consolidated balance sheet as of June 30, 2026. The remaining $50.0 million is recorded as a refund liability and is not included in the transaction price.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three and six months ended June 30, 2026 and 2025, revenue from contracts with customers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9"/>
        <w:gridCol w:w="146"/>
        <w:gridCol w:w="265"/>
        <w:gridCol w:w="850"/>
        <w:gridCol w:w="183"/>
        <w:gridCol w:w="183"/>
        <w:gridCol w:w="265"/>
        <w:gridCol w:w="850"/>
        <w:gridCol w:w="146"/>
        <w:gridCol w:w="146"/>
        <w:gridCol w:w="241"/>
        <w:gridCol w:w="775"/>
        <w:gridCol w:w="166"/>
        <w:gridCol w:w="166"/>
        <w:gridCol w:w="241"/>
        <w:gridCol w:w="775"/>
        <w:gridCol w:w="698"/>
      </w:tblGrid>
      <w:tr>
        <w:trPr/>
        <w:tc>
          <w:tcPr>
            <w:tcW w:w="4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14,524</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54,192</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Product 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cost of sales consist of materials, labor and manufacturing overhead internally to produce our products as well as the cost of shipping and handling. Overhead costs include the cost of quality assurance, material procurement, inventory control, facilities, equipment and operations management and stock-based compensation. Product cost of sales also includes depreciation expense for production equipment and certain direct costs such as shipping costs. Shipping costs billed to customers are included in sales. As we grow our revenue, we expect product cost of sales to increase in absolute dollars reflecting the higher volume of products sold.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product gross margin as product gross profit divided by product sales. Product gross profit represents product revenue less product cost of sales. Our product gross margin has been and will continue to be affected by a variety of factors, including average selling prices, product sales mix, production and ordering volumes, manufacturing costs, product yields, headcount and cost-reduction strategies. Our product gross margin could fluctuate from quarter to quarter as we introduce new products, increase or decrease units of production for both the LDD and LAL and as we adopt new manufacturing processes and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LDD, as is typical of many medical device capital equipment products, has a lower gross margin, as the material cost of the LDD is a significant portion of the total cost to manufacture. In addition, we do not mark up our LDD substantially because LDDs, once sold, can generate LAL procedures. Our LAL gross margin is higher, with low material cost but high fixed overhead costs.</w:t>
      </w:r>
    </w:p>
    <w:p>
      <w:pPr>
        <w:pStyle w:val="TextBody"/>
        <w:bidi w:val="0"/>
        <w:spacing w:before="16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international sales and marketing organization and infrastructure.</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to increase substantially in future periods as we incur additional costs associated with the development of the Collaboration Products under the RxSight-Alcon Collaboration Agreement. We expect research and development expenses as a percentage of revenue to vary over time depending on the level and timing of our new product development efforts, as well as our clinical development, clinical trials and registries and other related activities.</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incurred on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consists primarily of interest income earned on our short-term investments and cash equivalents.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together with the dollar increase or decrease and percentage change in those items.</w:t>
      </w:r>
    </w:p>
    <w:tbl>
      <w:tblPr>
        <w:tblW w:w="9535" w:type="dxa"/>
        <w:jc w:val="left"/>
        <w:tblInd w:w="0" w:type="dxa"/>
        <w:tblLayout w:type="fixed"/>
        <w:tblCellMar>
          <w:top w:w="28" w:type="dxa"/>
          <w:left w:w="28" w:type="dxa"/>
          <w:bottom w:w="28" w:type="dxa"/>
          <w:right w:w="28" w:type="dxa"/>
        </w:tblCellMar>
      </w:tblPr>
      <w:tblGrid>
        <w:gridCol w:w="3711"/>
        <w:gridCol w:w="346"/>
        <w:gridCol w:w="251"/>
        <w:gridCol w:w="876"/>
        <w:gridCol w:w="197"/>
        <w:gridCol w:w="173"/>
        <w:gridCol w:w="251"/>
        <w:gridCol w:w="876"/>
        <w:gridCol w:w="166"/>
        <w:gridCol w:w="146"/>
        <w:gridCol w:w="211"/>
        <w:gridCol w:w="631"/>
        <w:gridCol w:w="166"/>
        <w:gridCol w:w="146"/>
        <w:gridCol w:w="146"/>
        <w:gridCol w:w="631"/>
        <w:gridCol w:w="611"/>
      </w:tblGrid>
      <w:tr>
        <w:trPr/>
        <w:tc>
          <w:tcPr>
            <w:tcW w:w="3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for the three months ended June 30, 2026, was $33.7 million, an increase of $0.1 million, or 0.3%, compared to $33.6 million for the three months ended June 30, 2025. Product sales decreased by $6.4 million, or 19.0%, to $27.2 million for the three months ended June 30, 2026, from $33.6 million for the three months ended June 30, 2025. The decrease in product sales was primarily due to lower unit sales of both LDDs and LALs, reflecting, among other things, increased competition in the IOL market, including recent widespread competitive trialing activity for new product launches. Collaboration revenue was $6.5 million for the three months ended June 30, 2026, which relates to the upfront licensing fee for our LAL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decreased by $0.6 million, or 7.0%, to $7.9 million for the three months ended June 30, 2026, from $8.4 million for the three months ended June 30, 2025, primarily due to the decreased number of LDDs and LALs sold during the period as compared to the same period in the prior year. Product gross margin decreased to 71.2% in the three months ended June 30, 2026, from 74.9% for the three months ended June 30, 2025. The decrease is primarily due to higher-cost inventory and higher inventory-related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SG&amp;A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by $1.4 million, or 5.0%, to $30.4 million for the three months ended June 30, 2026, from $29.0 million for the three months ended June 30, 2025. This increase was primarily attributable to higher professional services fees of approximately $3.3 million, partially offset by lower clinical and regulatory expenses of $1.2 million as a significant number of projects concluded in late 2025, and lower stock based compensation expense of approximately $1.0 million primarily driven by the recent departures of certain company executives.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$1.0 million, or 9.6%, to $9.2 million for the three months ended June 30, 2026, from $10.2 million for the three months ended June 30, 2025. This decrease was primarily attributable to lower compensation and other employee-related costs of approximately $0.9 million primarily driven by reduced headcount as well as allocations of certain employees to manufacturing during the second quarter of 2025.</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decreased by $0.5 million to income of $1.8 million for the three months ended June 30, 2026, compared to income of $2.3 million for the three months ended June 30, 2025. The decrease was primarily due to lower cash and short-term investment balances.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together with the dollar increase or decrease and percentage change in those items:</w:t>
      </w:r>
    </w:p>
    <w:tbl>
      <w:tblPr>
        <w:tblW w:w="9340" w:type="dxa"/>
        <w:jc w:val="left"/>
        <w:tblInd w:w="0" w:type="dxa"/>
        <w:tblLayout w:type="fixed"/>
        <w:tblCellMar>
          <w:top w:w="28" w:type="dxa"/>
          <w:left w:w="28" w:type="dxa"/>
          <w:bottom w:w="28" w:type="dxa"/>
          <w:right w:w="28" w:type="dxa"/>
        </w:tblCellMar>
      </w:tblPr>
      <w:tblGrid>
        <w:gridCol w:w="3711"/>
        <w:gridCol w:w="346"/>
        <w:gridCol w:w="228"/>
        <w:gridCol w:w="796"/>
        <w:gridCol w:w="179"/>
        <w:gridCol w:w="157"/>
        <w:gridCol w:w="228"/>
        <w:gridCol w:w="796"/>
        <w:gridCol w:w="166"/>
        <w:gridCol w:w="146"/>
        <w:gridCol w:w="211"/>
        <w:gridCol w:w="736"/>
        <w:gridCol w:w="166"/>
        <w:gridCol w:w="146"/>
        <w:gridCol w:w="146"/>
        <w:gridCol w:w="571"/>
        <w:gridCol w:w="611"/>
      </w:tblGrid>
      <w:tr>
        <w:trPr/>
        <w:tc>
          <w:tcPr>
            <w:tcW w:w="3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(28,093</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for the six months ended June 30, 2026, was $64.6 million, a decrease of $6.9 million, or 9.6%, compared to $71.5 million for the six months ended June 30, 2025. The decrease was primarily driven by reduced product sales of $13.4 million, or 18.7%, to $58.1 million for the six months ended June 30, 2026, from $71.5 million for the six months ended June 30, 2025. The decrease in product sales was primarily due to lower unit sales of both LDDs and LALs, reflecting, among other things, increased competition in the IOL market, including recent widespread competitive trialing activity for new product launches. The overall decrease in total revenue was partially offset by contract revenues from the RxSight-Alcon Collaboration Agreement of $6.5 million, which relate to the upfront licensing fee for our LAL intellectual property.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decreased by $2.8 million, or 15.3%, to $15.3 million for the six months ended June 30, 2026 from $18.0 million for the six months ended June 30, 2025, primarily due to the decrease in the number of units sold during the period as compared to the same period in the prior year. Product gross margin decreased to 73.8% in the six months ended June 30, 2026, from 74.8% for the six months ended June 30, 2025, primarily due to higher-cost inventory and higher inventory-related costs.</w:t>
      </w:r>
    </w:p>
    <w:p>
      <w:pPr>
        <w:pStyle w:val="TextBody"/>
        <w:bidi w:val="0"/>
        <w:spacing w:before="120" w:after="283"/>
        <w:jc w:val="left"/>
        <w:rPr>
          <w:rFonts w:ascii="Times New Roman" w:hAnsi="Times New Roman"/>
          <w:sz w:val="20"/>
        </w:rPr>
      </w:pPr>
      <w:r>
        <w:rPr>
          <w:rFonts w:ascii="Times New Roman" w:hAnsi="Times New Roman"/>
          <w:b/>
          <w:i/>
          <w:color w:val="000000"/>
          <w:sz w:val="20"/>
        </w:rPr>
        <w:t>SG&amp;A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by $4.7 million, or 8.1%, to $62.3 million for the six months ended June 30, 2026, from $57.6 million for the six months ended June 30, 2025. This increase was primarily attributable to higher professional services fees of $6.7 million. Additional increases were due to higher compensation and other employee-related costs of $1.7 million and higher office and other expenses of $0.2 million. These increases were partially offset by lower clinical and regulatory expenses of $3.1 million as most projects concluded in late 2025 and lower marketing and customer acquisition expenses of $0.5 million.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$1.9 million, or 9.1%, to $18.7 million for the six months ended June 30, 2026, from $20.6 million for the six months ended June 30, 2025. This decrease was primarily due to lower compensation and other employee-related costs of $3.2 million, primarily driven by reduced headcount and allocations of certain employees to manufacturing during the second quarter of 2025, which were partially offset by higher professional services fees of $0.3 million and higher research and development project expenses of $0.9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decreased by $1.0 million to income of $3.7 million for the six months ended June 30, 2026, as compared to income of $4.7 million for the six months ended June 30, 2025. The decrease was primarily due to lower cash and short-term investment balances.</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and negative cash flows from operations since our inception, and we anticipate that we will incur significant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short-term investments of $208.8 million. For the six months ended June 30, 2026, and 2025, our losses from operations were $31.6 million and $24.7 million,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liquidity and capital funding requirements will depend on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levels and our sales and marketing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collaborative, licensing or other arrangements that we have or may establish, including the RxSight-Alcon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or borrow to finance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any clinical trial results for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and effect of competing or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our current employees and the need and ability to hire additional management, sales, research and development, scientific and customer support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we may be required to raise additional capital through public or private equity offerings or debt financings, credit or loan facilities or by entering into partnerships or a combination of one or more of these funding sources in order to meet our liquidity requirements. If we determine that we need to raise additional funds, such capital may not be available to us when needed or on terms that we deem to be favorable. To the extent that we raise additional capital through the sale of equity or convertible debt securities, the ownership interests of our stockholders will be diluted, and the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Part II, Item 1A (“Risk Factors”) of this report for additional risks associated with our substantial capital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Summary statement of cash flows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cash equivalents, and restricted cash for each of the periods presented below (in thousands): </w:t>
      </w:r>
    </w:p>
    <w:tbl>
      <w:tblPr>
        <w:tblW w:w="9167" w:type="dxa"/>
        <w:jc w:val="left"/>
        <w:tblInd w:w="0" w:type="dxa"/>
        <w:tblLayout w:type="fixed"/>
        <w:tblCellMar>
          <w:top w:w="28" w:type="dxa"/>
          <w:left w:w="28" w:type="dxa"/>
          <w:bottom w:w="28" w:type="dxa"/>
          <w:right w:w="28" w:type="dxa"/>
        </w:tblCellMar>
      </w:tblPr>
      <w:tblGrid>
        <w:gridCol w:w="5566"/>
        <w:gridCol w:w="146"/>
        <w:gridCol w:w="291"/>
        <w:gridCol w:w="1016"/>
        <w:gridCol w:w="229"/>
        <w:gridCol w:w="201"/>
        <w:gridCol w:w="291"/>
        <w:gridCol w:w="1016"/>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 on cash, cash equivalents</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$20.4 million, consisting primarily of a net loss of $28.0 million and a change in operating assets and liabilities of $7.4 million, partially offset by non-cash stock-based compensation of $15.4 million and depreciation and amortization of $1.8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$13.2 million, consisting primarily of a net loss of $20.0 million and a change in operating assets and liabilities of $7.2 million, partially offset by non-cash stock-based compensation of $15.7 million and depreciation and amortization of $1.6 million.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provided by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six months ended June 30, 2026, was $13.5 million, consisting of net maturities of short-term investments of $16.2 million and was partially offset by purchases of property and equipment of $2.7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six months ended June 30, 2025, was $35.5 million, consisting of net maturities of short-term investments of $37.6 million and was partially offset by purchases of property and equipment of $2.1 million. </w:t>
      </w:r>
    </w:p>
    <w:p>
      <w:pPr>
        <w:pStyle w:val="TextBody"/>
        <w:bidi w:val="0"/>
        <w:spacing w:before="120" w:after="283"/>
        <w:jc w:val="left"/>
        <w:rPr>
          <w:rFonts w:ascii="Times New Roman" w:hAnsi="Times New Roman"/>
          <w:sz w:val="20"/>
        </w:rPr>
      </w:pPr>
      <w:r>
        <w:rPr>
          <w:rFonts w:ascii="Times New Roman" w:hAnsi="Times New Roman"/>
          <w:b/>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2026, was $0.3 million, consisting of proceeds from issuance of common stock from stock option exercises of $0.8 million, partially offset by tax payments for employee stock compensation of $0.5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2025, was $1.3 million, consisting of proceeds from issuance of common stock from stock option exercises of $2.7 million, partially offset by tax payments for employee stock compensation of $1.4 million.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financial statements, which have been prepared in accordance with accounting principles generally accepted in the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25, 2026. We believe that the accounting policies we use are critical to the process of making significant judgments and estimates in the preparation of our financial statements and understanding and evaluating our reported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summary of our critical accounting policies and estimates, refer to “Management's Discussion and Analysis of Financial Condition and Results of Operations” included in our Annual Report on Form 10-K filed with the SEC on February 25, 2026. Other than as set forth below, there have been no material changes to our critical accounting policies and estimates during the three months ended June 30, 2026.</w:t>
      </w:r>
    </w:p>
    <w:p>
      <w:pPr>
        <w:pStyle w:val="TextBody"/>
        <w:bidi w:val="0"/>
        <w:spacing w:before="12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our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12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Policies—Recent Accounting Pronouncements” in Note 2 to our financial statements included elsewhere in this report for additional information.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Supply chain constraints and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would limit our ability to manufacture our current and new products and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Uncertain macroeconomic conditions including recent inflationary pressures and tariffs have created significant uncertainty in the U.S. economy and capital markets, which may continue through the remainder of 2026 and beyond and could negatively impact our financial results and liquidity.</w:t>
      </w:r>
    </w:p>
    <w:p>
      <w:pPr>
        <w:pStyle w:val="TextBody"/>
        <w:bidi w:val="0"/>
        <w:spacing w:before="4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w:t>
      </w:r>
      <w:r>
        <w:rPr>
          <w:rFonts w:ascii="Times New Roman" w:hAnsi="Times New Roman"/>
          <w:color w:val="222222"/>
          <w:sz w:val="20"/>
        </w:rPr>
        <w:t xml:space="preserve"> </w:t>
      </w: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is the potential loss arising from the adverse changes in market rates and prices.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Fluctuation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cash and cash equivalents and short-term investments of $208.8 million as of June 30, 2026, which consisted of $195.4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change in interest rates would not have materially impacted the fair value of our marketable securities as of June 30, 2026 and December 31, 2025. If overall interest rates had increased or decreased by 1.00% (100 basis points), our interest income would not have been materially affected during the quarter ended June 30, 2026 or June 30, 2025. </w:t>
      </w:r>
    </w:p>
    <w:p>
      <w:pPr>
        <w:pStyle w:val="TextBody"/>
        <w:bidi w:val="0"/>
        <w:spacing w:before="12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have de minimis amounts of revenue and expenses that are denominated in currencies other than U.S. dollars.</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w:t>
      </w:r>
      <w:r>
        <w:rPr>
          <w:rFonts w:ascii="Times New Roman" w:hAnsi="Times New Roman"/>
          <w:color w:val="222222"/>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 systems, no matter how well conceived and operated, are designed to provide a reasonable, but not an absolute, level of assurance that the objectives of the control system are met. Further, the design of a control system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160" w:after="283"/>
        <w:jc w:val="center"/>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Class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2025, a putative securities class action complaint was filed in the U.S. District Court for the Central District of California against the Company and certain of its officers, captioned Makaveev v. RxSight, Inc., et al., No. 8:25-cv-01596. The lawsuit asserts claims under Sections 10(b) and 20(a) of the Securities Exchange Act of 1934 and SEC Rule 10b-5, alleging that the defendants made materially false and misleading statements and omitted material adverse facts regarding demand for our products and financial guidance. On September 16, 2025, a related putative securities class action complaint was filed in the U.S. District Court for the Central District of California against us and certain of our officers, captioned Gémesi v. RxSight, Inc., et al., No. 25-cv-02093. On October 6, 2025, the court entered an order consolidating the Makaveev and Gémesi actions, appointing a lead plaintiff and approving selection of lead counsel, and re-captioning the case as In re RxSight Securities Litigation, No. 8:25-cv-01596-FWS-KES. A consolidated, amended complaint was filed on December 12, 2025. Defendants’ motion to dismiss was filed on February 13, 2026. On May 21, 2026, the Court issued an order denying Defendants' motion to dismiss. On June 9, 2026, Defendants filed their answer to the amended complaint. The plaintiffs seek unspecified compensatory and punitive damages, and reasonable costs and expenses, including attorneys’ fees.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Shareholder Derivative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18, 2025, a shareholder derivative action was filed in the U.S. District Court for the Central District of California against certain of our officers and directors, captioned Swift v. Kurtz, et al., Case No. 8:25-cv-01820-FWS-KES. The plaintiff purports to bring the action derivatively on behalf of us, and we are named as a nominal defendant. The complaint generally alleges that the defendants made false and misleading statements and omitted material adverse facts regarding declining sales, demand for our products, and financial guidance, and we lacked internal controls. The complaint asserts claims for alleged violations of Section 14(a) of the Exchange Act, as well as claims for alleged breaches of fiduciary duties, aiding and abetting, unjust enrichment, and waste of corporate assets. The complaint seeks unspecified damages on behalf of the Company, declaratory relief, a constructive trust, punitive damages, and an award of costs and expenses, including attorneys’ fees. On October 2, 2025, the court entered an order staying proceedings in the Swift action until a final resolution of the Securities Class Actions, including the exhaustion of any appeals.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10, 2025, a related shareholder derivative action was filed in the U.S. District Court for the Central District of California against certain of our officers and directors, captioned Yost v. Kurtz, et al., Case No. 8:25-cv-2295. The complaint asserts claims for alleged breaches of fiduciary duties, gross mismanagement, waste of corporate assets, unjust enrichment, aiding and abetting, insider trading, and alleged violations of Section 14(a) of the Exchange Act and seeks unspecified damages on behalf of us, declaratory relief, disgorgement, corporate governance reforms, and an award of costs and expenses, including attorneys’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2025, the Court entered an order consolidating the Swift and Yost actions and staying the consolidated derivative action until the final resolution of the Securities Class Actions, including the exhaustion of any appeals.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our business, results of operations and financial condition.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i/>
          <w:color w:val="000000"/>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effectively train our sales force, increase our sales and marketing capabilities, or develop broad brand awareness in a cost-effective manner, our growth will be impeded, and our business will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net losses, and we expect to continue to incur losses in the future. If we ever achieve profitability, we may not be able to sustain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support our continued operations and the growth of our business, we may seek to raise additional capital, which may not be available to us on acceptable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commenced and intend to expand in the future, sales of our products internationally, but we may experience difficulties in obtaining regulatory clearance or approval or in successfully marketing our products internationally even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variety of risks associated with marketing our products internationally could materially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RxSight-Alcon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collaboration with Alcon for the development and commercialization of products under the RxSight-Alcon Collaboration Agreement, and we have limited control over Alcon’s performance under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portion of the payments contemplated by the RxSight-Alcon Collaboration Agreement is contingent, and the agreement may be terminated before we realize its anticipated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RxSight-Alcon Collaboration Agreement requires us to prioritize the collaboration and development contemplated by the RxSight-Alcon Collaboration Agreement and restricts our ability to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commercialize certain competing products and may require us to repay a portion of the amounts we receive from Alcon.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protect the confidentiality of our trade secrets and other proprietary information, our business and competitive position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 which could impair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recruit, retain, manage and motivate qualified executives as we build out the management team, and we are highly dependent on our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and future litigation proceedings could adversely affect our business, including the putative securities class action complaint filed in July 2025 in the U.S. District Court for the Central District of California which is pending.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effectively train our sales force, increase our sales and marketing capabilities or develop broad brand awareness in a cost-effective manner, our growth will be impeded, and our business will suffer.</w:t>
      </w:r>
    </w:p>
    <w:p>
      <w:pPr>
        <w:pStyle w:val="TextBody"/>
        <w:bidi w:val="0"/>
        <w:jc w:val="left"/>
        <w:rPr>
          <w:rFonts w:ascii="Times New Roman" w:hAnsi="Times New Roman"/>
          <w:color w:val="000000"/>
          <w:sz w:val="20"/>
        </w:rPr>
      </w:pPr>
      <w:r>
        <w:rPr>
          <w:rFonts w:ascii="Times New Roman" w:hAnsi="Times New Roman"/>
          <w:color w:val="000000"/>
          <w:sz w:val="20"/>
        </w:rPr>
        <w:t>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expertise and qualifications, or if we are unable to successfully instill technical expertise in replacement personnel, our revenue and results of operations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sales declined in 2025 and in the first half of 2026 following several years of rapid growth, we have implemented changes in our sales organization in an effort to return to revenue growth in absolute dollars. In order to increase LAL use at our current customers, we recently realigned our commercial structure by unifying our LAL sales and clinical support personnel into a single Customer Success Organization. Each team within the Customer Success Organization is responsible for a defined group of doctors and practices, overseeing customer experience from initial onboarding through ongoing efforts to drive long-term utilization growth. Our LDD sales team remains focused on acquiring new high-potential accounts, which are subsequently transitioned to the Customer Success Organization for clinical support, education, and to maximize long-term utilization and growth and LAL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(“PMA”), to successfully commercialize, market and sell, our planned or future products in the U.S.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have a history of net losses, and we expect to continue to incur losses in the future. If we ever achieve profitability, we may not be able to sustain it.</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incurred losses from operations since our inception and expect to continue to incur losses from operations in the future. We reported losses from operations of $48.2 million and $36.9 million for the years ended December 31, 2025 and 2024, respectively, and $31.6 million for the six months ended June 30, 2026. As a result of these losses, as of June 30, 2026, we had an accumulated deficit of $689.0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 order to support our continued operations and the growth of our business, we may seek to raise additional capital, which may not be available to us on acceptable terms, or at all.</w:t>
      </w:r>
    </w:p>
    <w:p>
      <w:pPr>
        <w:pStyle w:val="TextBody"/>
        <w:bidi w:val="0"/>
        <w:jc w:val="left"/>
        <w:rPr>
          <w:rFonts w:ascii="Times New Roman" w:hAnsi="Times New Roman"/>
          <w:color w:val="000000"/>
          <w:sz w:val="20"/>
        </w:rPr>
      </w:pPr>
      <w:r>
        <w:rPr>
          <w:rFonts w:ascii="Times New Roman" w:hAnsi="Times New Roman"/>
          <w:color w:val="000000"/>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leveraging future strategic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borrow or raise additional funds through future debt or equity offerings to finance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any clinical trial results for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and effect of competing or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amount of reimbursement for procedures using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collaborative, licensing or other arrangements that we have or may establish;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U.S. and worldwide resulting from the conflicts in Eastern Europe, the Middle East and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we had $208.8 million and $228.1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there is no assurance you that we will be able to generate sufficient liquidity as and when needed. Further, although we do not anticipate the need to raise additional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or incur additional debt in order to reach profit from operations,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There is no assurance you that we will be able to generate sufficient liquidity as and when needed.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are dependent on our collaboration with Alcon for the development and commercialization of the Collaboration Products, and we have limited control over Alcon’s performance under the collaboration.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2026, we entered into a License, Collaboration and Development Agreement (the “RxSight-Alcon Collaboration Agreement”) with Alcon Pharmaceuticals, Ltd (“Alcon”), pursuant to which we agreed to collaborate with Alcon to develop and commercialize light-adjustable versions of certain Alcon simultaneous vision intraocular lenses that incorporate our Light Adjustable Technology (the “Collaboration Products”). Under the RxSight-Alcon Collaboration Agreement, Alcon is responsible for commercializing the Collaboration Products, subject to our right to co-promote upon the occurrence of certain triggering events, and following regulatory approval and payment of the applicable milestone, Alcon has agreed to use commercially reasonable efforts to launch each Collaboration Product in the U.S. within a specified period. As a result, the commercial success of the Collaboration Products will depend to a significant extent on Alcon rather than on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efforts and resources that Alcon devotes to the collaboration are largely outside of our control, and Alcon’s obligations may be difficult for us to monitor or enforce. Alcon is a large, diversified ophthalmic company with a broad portfolio of intraocular lenses, including products that may compete with the Collaboration Products, and Alcon may have strategic, financial, or commercial priorities that differ from ours. Alcon may determine the pricing, positioning, promotion, timing, and scope of any launch or commercialization of the Collaboration Products in ways that do not maximize, or that reduce, the royalties and other payments we may receive. In addition, Alcon could undergo a change of control, business combination, or shift in strategic focus that diverts resources away from the collaboration or creates competing priorities.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Alcon does not perform its obligations as we expect, does not devote sufficient resources to the development or commercialization of the Collaboration Products, elects not to continue the collaboration at the points at which it has discretion to do so, or if a dispute arises between us and Alcon regarding our respective rights and obligations, the anticipated benefits of the collaboration may not be realized, may be delayed, or may cost more than we expect. Any of the foregoing could have a material adverse effect on our business, financial condition and results of operations.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 substantial portion of the payments contemplated by the RxSight-Alcon Collaboration Agreement is contingent, and the agreement may be terminated before we realize its anticipated benefits.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Alcon paid us a $60 million upfront payment in connection with executing the RxSight-Alcon Collaboration Agreement, a significant portion of the additional consideration contemplated by the agreement is contingent on future events, and certain of the most significant payments are payable only at Alcon’s election. Alcon has the option, but is not obligated, to make a $70 million Feasibility Milestone Payment upon completion of feasibility activities and achievement of specified technical criteria for the first Collaboration Product, and a $40 million Approval Milestone Payment upon regulatory approval of the first Collaboration Product. If Alcon elects not to make either payment, the RxSight-Alcon Collaboration Agreement will terminate, subject to our retaining certain reversionary rights with respect to the Collaboration Products under specified conditions. The remaining $30 million milestone is payable only upon our first submission to the FDA for regulatory approval of the first Collaboration Product, which is itself subject to substantial development and regulatory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RxSight-Alcon Collaboration Agreement is also subject to termination in a number of circumstances that could prevent us from realizing its anticipated value. The agreement may be terminated by mutual agreement of the parties, and if a mutual termination occurs within the first 120 days following the effective date, we would forfeit a majority or all of the upfront payment. Either party may terminate the agreement for material safety reasons, the other party’s insolvency or violation of applicable law, or an uncured material breach. Following an initial term measured from regulatory approval of the first Collaboration Product, the agreement is subject to automatic renewal, but Alcon may elect not to renew for any reason, whereas our right to decline renewal is limited to circumstances in which Alcon fails to meet specified sales volumes during a defined period.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result of the contingent nature of these payments and the termination and non-renewal provisions described above, we may never receive a substantial portion of the payments contemplated by the RxSight-Alcon Collaboration Agreement, and the payments we do receive may be materially lower, or realized materially later, than we currently anticipate. Any of the foregoing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RxSight-Alcon Collaboration Agreement restricts our ability to develop and commercialize certain competing products and may require us to repay a portion of the amounts we receive from Alcon.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RxSight-Alcon Collaboration Agreement imposes restrictions on our ability to pursue certain products that we might otherwise choose to develop, manufacture, or commercialize. During the development phase of the Collaboration Products, we are obligated to prioritize the collaboration and development activities contemplated by the agreement, and we are restricted from developing, manufacturing, or commercializing certain defined types of hybrid-material simultaneous vision intraocular lenses that may compete with the Collaboration Products. These restrictions could prevent or delay us from pursuing independent product opportunities, including opportunities that could be more profitable to us than the collaboration or that could better position us against competitors, and could divert our research, development, and manufacturing resources toward the collaboration and away from other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the development phase, if we elect, in our discretion, to develop or manufacture certain defined types of competing hybrid-material simultaneous vision intraocular lenses, we would become subject to adverse economic consequences under the agreement. These consequences include a reduction in the royalties payable to us by 60% or more, a suspension of Alcon’s minimum royalty obligations upon commercialization of such products, and, under certain circumstances, an obligation to reimburse Alcon for a portion of the upfront and milestone payments previously received, ranging from a low double-digit to a high double-digit percentage depending on the timing of our commercial release of such products.</w:t>
      </w:r>
    </w:p>
    <w:p>
      <w:pPr>
        <w:pStyle w:val="TextBody"/>
        <w:bidi w:val="0"/>
        <w:jc w:val="left"/>
        <w:rPr>
          <w:rFonts w:ascii="Times New Roman" w:hAnsi="Times New Roman"/>
          <w:color w:val="000000"/>
          <w:sz w:val="20"/>
        </w:rPr>
      </w:pPr>
      <w:r>
        <w:rPr>
          <w:rFonts w:ascii="Times New Roman" w:hAnsi="Times New Roman"/>
          <w:color w:val="000000"/>
          <w:sz w:val="20"/>
        </w:rPr>
        <w:t>The prospect of these consequences may effectively deter us from developing or commercializing competing products even in circumstances where doing so would otherwise be in our commercial interest, and any obligation to reimburse Alcon for previously received payments could arise at a time when we have already deployed those funds, which could have a material adverse effect on our liquidity,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Global economic, political and market conditions, including downgrades of the U.S. credit rating, and inflation may adversely affect our business, results of operations and financial condition, including our revenue growth and profitability.</w:t>
      </w:r>
    </w:p>
    <w:p>
      <w:pPr>
        <w:pStyle w:val="TextBody"/>
        <w:bidi w:val="0"/>
        <w:jc w:val="left"/>
        <w:rPr>
          <w:rFonts w:ascii="Times New Roman" w:hAnsi="Times New Roman"/>
          <w:color w:val="000000"/>
          <w:sz w:val="20"/>
        </w:rPr>
      </w:pPr>
      <w:r>
        <w:rPr>
          <w:rFonts w:ascii="Times New Roman" w:hAnsi="Times New Roman"/>
          <w:color w:val="000000"/>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Deterioration in the economic conditions globally has resulted in instability in global financial markets, including: inflation and rising interest rates and instability in the capital markets.</w:t>
      </w:r>
    </w:p>
    <w:p>
      <w:pPr>
        <w:pStyle w:val="TextBody"/>
        <w:bidi w:val="0"/>
        <w:jc w:val="left"/>
        <w:rPr>
          <w:rFonts w:ascii="Times New Roman" w:hAnsi="Times New Roman"/>
          <w:color w:val="000000"/>
          <w:sz w:val="20"/>
        </w:rPr>
      </w:pPr>
      <w:r>
        <w:rPr>
          <w:rFonts w:ascii="Times New Roman" w:hAnsi="Times New Roman"/>
          <w:color w:val="000000"/>
          <w:sz w:val="20"/>
        </w:rPr>
        <w:t>Various social and political circumstances in the U.S. and around the world (including wars and other forms of conflict, terrorist acts, security operations and catastrophic events such as fires, floods, earthquakes, tornadoes, hurricanes and global health pandemics) may also contribute to increased market volatility and economic uncertainties or deterioration in the U.S. and worldwide and have a material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current inflationary environment may materially affect our business and operating results by increasing the costs of our supplies and may drive the U.S. Federal Reserve system to increase interest rates, which in turn may increase our overhead costs. Rising interest rates could make it more difficult to obtain traditional financing on acceptable terms, if at all. Furthermore, such economic conditions have produced downward pressure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share prices. Although we do not believe that inflation has had a material impact on our financial positions or results of operations to date, additional high inflation could increase our operating costs, including our labor costs and research and development costs. These costs may also be negatively impacted due to supply chain constraints, global geopolitical tensions, worsening macroeconomic conditions and employee availability and wage increases, which may result in additional stress on our working capital. We import from China certain materials and other components for use in our products, and such goods are subject to tariffs. Increases in tariffs could result in increased costs.</w:t>
      </w:r>
    </w:p>
    <w:p>
      <w:pPr>
        <w:pStyle w:val="TextBody"/>
        <w:bidi w:val="0"/>
        <w:spacing w:before="120" w:after="120"/>
        <w:jc w:val="left"/>
        <w:rPr>
          <w:rFonts w:ascii="Times New Roman" w:hAnsi="Times New Roman"/>
          <w:sz w:val="20"/>
        </w:rPr>
      </w:pPr>
      <w:r>
        <w:rPr>
          <w:rFonts w:ascii="Times New Roman" w:hAnsi="Times New Roman"/>
          <w:b/>
          <w:i/>
          <w:color w:val="000000"/>
          <w:sz w:val="20"/>
        </w:rPr>
        <w:t>Changes in U.S. trade policy, including tariffs, could have a material adverse impact on our business,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U.S. trade policy, including tariffs, could have a material adverse impact on our business, financial condition, and results of operations. The imposition of retaliatory or new tariffs or increases in existing tariffs on goods imported from countries where we source our products could result in increased material costs for our products. If we are unable to mitigate these risks through supply chain adjustments, such as changing vendors, pricing strategies, or other measures could adversely affect our gross margins, business, financial condition and results of operations.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jc w:val="left"/>
        <w:rPr>
          <w:rFonts w:ascii="Times New Roman" w:hAnsi="Times New Roman"/>
          <w:color w:val="000000"/>
          <w:sz w:val="20"/>
        </w:rPr>
      </w:pPr>
      <w:r>
        <w:rPr>
          <w:rFonts w:ascii="Times New Roman" w:hAnsi="Times New Roman"/>
          <w:color w:val="000000"/>
          <w:sz w:val="20"/>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jc w:val="left"/>
        <w:rPr>
          <w:rFonts w:ascii="Times New Roman" w:hAnsi="Times New Roman"/>
          <w:color w:val="000000"/>
          <w:sz w:val="20"/>
        </w:rPr>
      </w:pPr>
      <w:r>
        <w:rPr>
          <w:rFonts w:ascii="Times New Roman" w:hAnsi="Times New Roman"/>
          <w:color w:val="000000"/>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and perceived effectiveness and reliability of our RxSight system, especially relative to alternative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patient events involving our RxSight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studies and trials relating to our RxSight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meaningful clinical benefits for our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 to market our planned or future products for use in the U.S. or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relative cost and perceived advantages and disadvantages of alternative technologies or treatment methods for conditions treated by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patient willingness to pay for the additional costs associated with our premium intraocular lens out of pocket or return for an additional two to three clinic visits compared to traditional cataract surgery;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doctors adopt our RxSight system;</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 and to our RxSight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patients value the customized vision delivered by the RxSight system and are satisfied with their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and maintaining compliance with regulatory requirements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are successful in educating doctors about IOLs in general, and the benefits of our RxSight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among doctors, patients, and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our marketing, clinical support, and commercial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marketing and sales efforts in the U.S., including our efforts to build out our sales and clinical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the commercialization of our products into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develop, validate and maintain a commercially viable manufacturing process that is compliant with the QMSR, which went into effect in February 2026, and other applicable foreign, federal and state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ongoing or future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required by the FDA or comparable non-U.S. regulatory authorities to conduct additional clinical trials for current or future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Adoption of our products depends upon appropriate training for doctors, and inadequate training may lead to negative patient outcomes, affect adoption of our products and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may negatively impact the perception of patient benefit and safety and limit adoption of our products, which would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our RxSight system will depend upon attaining significant market acceptance of these products among patients and doctors.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current customers that have adopted our RxSight system. Our future growth and profitability largely depend on our ability to increase other doctors’ awareness of our RxSight system and our products and on the willingness of doctors and patients to adopt them. These parties may not adopt our products like our current customers have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long-standing relationships with competing companies and distributors that sell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response and negative selling efforts from providers of alternative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experience with our products and concerns that we are relatively new to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or perceived lack of sufficient clinical evidence, including long-term data, supporting safety or clinical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 commitment and skill development that may be required to gain familiarity and proficiency with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confusion regarding the wide range of commercially available premium IOL offerings and their ability to deliver promised results at near, middle and far distances without reliance on glasses;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reticence to select a premium IOL due to nonperformance and adverse side effects associated with competing products in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generate patient referral due to dissatisfaction with results obtained through treatment with our products, the out-of-pocket cost of treatments using our products or otherwise.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order for doctors to use our RxSight system, they often must make a significant up-front investment to purchase the LDD. This can result in a lengthy sales cycle and require extensive negotiations and management time. If we are unsuccessful in placing LDDs with providers, our sales growth may stall and our sales may decrease, and our operating results may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There is no assurance that we will achieve broad market acceptance among doctors.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RxSight system involves surgical risks and is contraindicated in certain patients, which may limit adoption.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IOL market is intensely competitive, subject to rapid change and is constantly impacted by new product introductions and other market activities of industry participants. We compete with manufacturers and distributors of premium and conventional IOLs. Our most significant competitors in the IOL field include Alcon, Johnson &amp; Johnson and Bausch + Lomb, which all continue to develop and release new IOL products and technologies. Most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quality of patient outcomes, oftentimes measured by visual acuity, and adverse event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experience, including patient recovery time and level of discomfort;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treating doctors and referral 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Doctor learning curves and willingness to adopt new technologies, particularly during competitive launch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Ease-of-use and reliability;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benefits and cost savings to physicians and patients, including those resulting from free or inexpensive products distributed as part of competitive trialing, even if temporary;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 of clinical evidence;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distribution and marketing to surgeons and potential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price and qualification for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primarily on the basis that our products are designed to enable more doctors to treat more patients more efficiently and effectively. Our continued success depends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innovative, proprietary products that address significant clinical needs in a manner that is safe and effective for patients and easy-to-use for doctors;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regulatory clearances 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safety and effectiveness in our sponsored and third-party clinical trials;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sales and clinical teams across key markets to increase doctors’ awareness;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coverage and adequate reimbursement for procedures using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and retain skilled research, development, sales and clinical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cost-effectively manufacture, market and sell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doctors with a sufficient return on investment as compared to alternative premium IOL procedures that justifies the upfront cost of our LDD;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enforce and defend our intellectual property rights and operate our business without infringing, misappropriating or otherwise violating the intellectual property rights of others.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is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collaboration with Alcon, and any collaboration or partnership arrangements that we may enter into in the future, may not be successful, which could adversely affect our ability to develop and commercialize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2026, we entered into the RxSight-Alcon Collaboration Agreement, and we may enter into additional collaboration or partnership arrangements in the future. Our existing collaboration with Alcon and any future collaborations may not be successful. The success of our collaboration arrangements will depend heavily on the efforts and activities of our collaborators. Collaborations are subject to numerous risks, which may include that: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clinical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and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maintain our research and development, manufacturing and administrative operations in Aliso Viejo, California, and we do not have redundant facilities. We operate in five separate facilities, designated as a single manufacturing facility, and should any one of these facilities be significantly damaged or destroyed by natural or man-made disasters, such as earthquakes, and/or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Furthermore, the current leases on our facilities expire on January 31, 2031, with two options to extend for five years each. We may be unable to renew our leases or find a new facility on commercially reasonable terms, or at all. If we are unable or unwilling to renew at the proposed rates, relocating our manufacturing facility would involve significant expense in connection with the movement and installation of key manufacturing equipment and any necessary recertification with regulatory bodies, and such a move could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Technological change may adversely affect sales of our products and may cause our products to become obsolete.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IOL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employee turnover, inability to hire personnel with sufficient technical skills or replace key personnel,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Uncertainties with respect to the development, deployment, and use of artificial intelligence in our business and products may result in harm to our business and reputation.</w:t>
      </w:r>
    </w:p>
    <w:p>
      <w:pPr>
        <w:pStyle w:val="TextBody"/>
        <w:bidi w:val="0"/>
        <w:jc w:val="left"/>
        <w:rPr>
          <w:rFonts w:ascii="Times New Roman" w:hAnsi="Times New Roman"/>
          <w:color w:val="000000"/>
          <w:sz w:val="20"/>
        </w:rPr>
      </w:pPr>
      <w:r>
        <w:rPr>
          <w:rFonts w:ascii="Times New Roman" w:hAnsi="Times New Roman"/>
          <w:color w:val="000000"/>
          <w:sz w:val="20"/>
        </w:rPr>
        <w:t>We are in the early stages of incorporating artificial intelligence (“AI”) into our business activities and our product and service offerings. As with many innovations, AI presents risks and challenges that could adversely impact our business. The development, adoption, and use of AI technologies are still in their early stages and ineffective or inadequate AI development or deployment practices could result in unintended consequences. For example, AI algorithms may be flawed or may be based on datasets that are biased or insufficient. In addition, any disruption or failure in the AI functionality we incorporate into our business activities, products or services could adversely impact our business or result in delays or errors in our offerings. Conversely, a failure to timely and effectively use or deploy AI and integrate it into new product offerings and services could negatively impact our competitiveness, particularly ahead of evolving industry trends and evolving consumer demands. We may be unable to devote adequate financial resources to develop or acquire new AI technologies and systems in the future. Use of AI to improve internal business operations, or in the development or provision of products or services, poses risks and challenges. There also may be real or perceived social harm, unfairness, or other outcomes that undermine public confidence in the use and deployment of AI. Any of the foregoing may result in decreased demand for our products or harm to our business, financial statements or reputation.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costs and may limit our ability to develop, deploy or use AI technologies. Failure to appropriately respond to this evolving landscape may result in legal liability, regulatory action, or brand and reputational harm.</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clinical trials are unsuccessful or significantly delayed, or if we do not complete our clinical trials, our business may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nonclinical studies or clinical development of our products, as well as the associated costs, including any unforeseen costs we may incur as a result of clinical trial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in our clinical trials may be slower than we anticipate, or we may experience high screen failure rates in our clinical trials, resulting in significant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produce negative or inconclusive results, and we may decide, or regulators may require us, to conduct additional clinical and/or preclinical testing which may be expensive and time-consuming;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results may not meet the level of statistical significance required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find that one or more of our products is not sufficiently safe for investigational use in humans or may interpret data from preclinical testing and clinical trials in different ways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delays or failure in obtaining approval of our clinical trial protocols from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delays in obtaining institutional review board approvals or governmental approvals to conduct clinical trials at prospective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find that one or more of our products is not sufficiently safe for investigational use in humans or may interpret data from preclinical testing and clinical trials in different ways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trouble in managing multiple clinical trial sites;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trouble finding patients to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agreeing on acceptable terms with third-party research organizations and clinical trial sites that may help us conduct the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regulators, may suspend or terminate our clinical trials because the participating patients are being exposed to unacceptable health risks.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Failures or perceived failures in our clinical trials will delay and may prevent our product development and regulatory approval process, damage our business prospects and negatively affect our reputation and competitive position.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Medical devices are increasingly connected to the internet, hospital networks, and other medical devices to provide features that improve healthcare and increase the ability of healthcare providers to treat patients and patients to manage their conditions. Although disabled, our RxSight system is capable of bidirectional connectivity and interoperability with other devices, local networks and the internet, which if enabled,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IT systems,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our brand and cause material disruption to our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as previously disclosed, in May, 2024, an unauthorized actor targeted the personal cell phone number of an RxSight employee. The unauthorized actor obtained unauthorized access to the employee’s cloud-based work account and to e-mails and files that were accessible from that account. We discovered the incident on the same day and were able to prevent interruption of our information systems, and they remained operational during this unauthorized access. This incident did not have a material impact on our operations, financial systems, or financial condition. However, there can be no assurance that a similar incident would not have a future material impact on our operations, financial systems, or financial condition and we remain subject to various risks due to the incident.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or incident could result in disruptions to our business processes, network degradation, and system down time, along with the potential that a third-party will gain unauthorized access to, acquire, or otherwise use, modify, or process intellectual property, proprietary business information, and data related to our employees, customers, suppliers, and business partners, including personal data, in an unauthorized manner. Any disruption, degradation, or other security breach, incident, or other event that results in loss or unavailability of or damage to our data or systems, system downtime or other disruptions, or in inappropriate disclosure or other processing of confidential or personal data, could adversely impact us and our customers, potentially resulting in, among other things, financial losses, loss of customers or business, our inability to transact business, adverse impact on our reputation, actual or alleged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Despite the implementation of security measures in our efforts to protect systems that store our information, given their size and complexity and the increasing amounts of information maintained on our internal information technology systems and external processing and storage systems (e.g., hosting), contractors and consultants and other third-party service providers, these systems are potentially vulnerable to breakdown or other damage or interruption. Our systems and the systems of third parties who support our operations are vulnerable to service interruptions, system malfunction, natural disasters, terrorism,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the unauthorized access to, misuse, disclosure, loss, destruction, alteration or dissemination of, or damage to, our data, including trade secrets or other confidential information, intellectual property, proprietary business information, and personal information. For example, companies have experienced an increase in phishing and social engineering attacks from third parties in recent years. Our employees generally work in a hybrid model in our offices and from home, and we may need to adjust our working model from time to time. As a result, we have increased cybersecurity and data security risks, due to increased use of home wi-fi networks and virtual private networks, as well as increased disbursement of physical machines.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disruption, security incident, or security breach resulting in any loss, destruction, unavailability, alteration or dissemination of, or damage to, our data, could subject us to significant fines or penalties for any noncompliance with certain state, federal and/or international laws relating to privacy, data protection, and information security. Litigation and governmental investigations could force us to spend money in defense or settlement, divert management’s time and attention, increase our costs of doing business, and/or adversely affect our reputation.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risks of, or to detect, such attacks, breaches or incidents that occur will be successful and our failure to do so could have a material adverse effect on our business, financial condition and results of operations.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or indication and fail to capitalize on products or indications that may be more profitable or for which there is a greater likelihood of success.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there is no assurance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fail to identify, acquire and develop other products, we may be unable to grow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there is no assurance that any such products that are approved or cleared will be manufactured or produced economically, successfully commercialized or widely accepted in the marketplace.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seek to acquire or invest in businesses, applications or technologies that we believe could complement or expand our portfolio, enhance our technical capabilities or otherwise offer growth opportunities. However, there is no assurance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Depending on the country or region,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third-party payors in certain countries and regions currently cover and provide reimbursement for a portion of the cost of the procedures performed using our currently cleared or approved products, there is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U.S. or any international markets we enter, the demand for our products and our revenue will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Third-party payors are also increasingly examining the cost effectiveness of products, in addition to their safety and efficacy, when making coverage and payment decisions. Third-party payors have also instituted initiatives to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market and sell our products.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Sales of our products outside of the U.S.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 including changes to regulatory requirements and implementation of new regulations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compliance with non-U.S.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import or export licensing requirements, or other restrictive actions by U.S. or non-U.S.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U.S., or in any other jurisdiction, does not ensure approval in other jurisdictions. Obtaining foreign approvals could result in significant delays, difficulties and costs for us and require additional clinical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be able to achieve or maintain satisfactory pricing and margins for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sizes of the markets for our current and future products have not been established with precision and may be smaller than we estimate.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that optometrists are qualified to perform LDD procedures involving our RxSight system, but 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There is no assurance about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federal government is considering ways to change, and has changed, the manner in which healthcare services are paid for in the U.S.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quarterly and annual results may fluctuate significantly and may not fully reflect the underlying performance of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expanded, and may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experienced growth in the number of our employees and the scope of our operations, particularly in the areas of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of our operating results and financial metrics may be difficult to predict as a result of seasonality.</w:t>
      </w:r>
    </w:p>
    <w:p>
      <w:pPr>
        <w:pStyle w:val="TextBody"/>
        <w:bidi w:val="0"/>
        <w:jc w:val="left"/>
        <w:rPr>
          <w:rFonts w:ascii="Times New Roman" w:hAnsi="Times New Roman"/>
          <w:color w:val="000000"/>
          <w:sz w:val="20"/>
        </w:rPr>
      </w:pPr>
      <w:r>
        <w:rPr>
          <w:rFonts w:ascii="Times New Roman" w:hAnsi="Times New Roman"/>
          <w:color w:val="000000"/>
          <w:sz w:val="20"/>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To the extent we experience this seasonality, it may cause fluctuations in our operating results and financial metrics and make forecasting our future operating results and financial metrics more difficult. See further discussion in “Management’s Discussion and Analysis of Financial Condition and Results of Operations” in Part I, Item 2 of this report.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to offset future taxable income may be subject to certain limitations.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December 31, 2025, we had federal net operating loss carryforwards (“NOLs”) of approximately $376.7 million, some of which will begin to expire in various years ranging from 2025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beginning after December 31, 2020 the deductibility of such federal NOLs, is generally limited to 80% of the current year taxable income. Various states may conform to the Tax Act, as modified by the CARES Act, to different extents.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California has enacted a temporary suspension on the use of state net operating loss carryforwards for certain businesses, which may adversely affect our company if it earns taxable income in the impacted tax years. Other state tax limitations may apply.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success depends in large part on our ability to obtain, maintain, protect and enforce patent and other intellectual property protection in the U. 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seek to protect our position by in-licensing intellectual property relating to our products and filing patent applications in the U.S.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patents and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in-licensed issued patents may be challenged in courts or patent offices in the U.S. and abroad. For example, we may be subject to a third-party submission of prior art to the U.S. Patent and Trademark Office (“USPTO”), challenging the validity of one or more claims of our owned or in-licensed issued patents. Such submissions may also be made prior to a patent’s issuance, precluding the granting of a patent based on one of our owned or in-licensed pending patent applications.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Often the relative patent positions of companies is highly uncertain, involves complex legal and factual questions, and has been the subject of much litigation in recent years. 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The U.S. government has released a draft framework and recently taken actions to indicate closer review of patents resulting from government funding for compliance with the Bayh-Dole Act, which if found noncompliant, may be used by an agency to authorize the government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technology for an adequate amount of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Patents have a limited lifespan. In the U.S.,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current and future products in any jurisdiction.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and our failure to identify and correctly interpret relevant patents may negatively impact our ability to develop and market our products.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future reliance on third parties may require us to share our trade secrets, which increases the possibility that a competitor will discover them or that our trade secrets will be misappropriated or disclosed.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we rely on third parties to supply components, raw materials, chemicals and other supplies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contract research organizations (“CROs”). We seek to protect our proprietary technology in part by entering into agreements containing confidentiality and use restrictions and obligations with our advisors, employees, contractors, contract manufacturing organizations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would invalidate the claims of any such U.S. patent. Conversely, the patent owner need only prove infringement by a preponderance of the evidence, which is a lower burden of proof.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rights to develop and commercialize our products are subject, in part, to the terms and conditions of licenses granted to us by others.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obtain licenses to patent rights, proprietary technology, or other intellectual property from third parties that are important or necessary for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Despite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entered into, and in the future, we may enter into additional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(such as the RxSight-Alcon Collaboration Agreement),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any of our future licensors and us and our partners.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successful in obtaining necessary rights to any products we may develop through acquisitions and in-licenses.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may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U.S.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These agreements are often difficult to enforce in many jurisdictions and might not be enforceable in certain cases.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U.S. could increase the uncertainties and costs surrounding the prosecution of patent applications and the enforcement or defense of issued patents. The U.S. has enacted and implemented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or the America Invents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Filing, prosecuting, and defending patents covering our RxSight system, and any of our future products throughout the world would be prohibitively expensive, and our intellectual property rights in some countries outside the U.S. are less extensive than those in the U.S. In some cases, we or our licensors may not be able to obtain patent protection for certain technology outside the U.S. In addition, the laws of some foreign countries do not protect intellectual property rights to the same extent as federal and state laws in the U.S.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June 1, 2023, European applications have the option, upon grant of a patent, of becoming a Unitary Patent which will be subject to the jurisdiction of the Unitary Patent Court (“UPC”). This is a significant change in European patent practice. As the UPC is a new court system, precedent is developing for the court, increasing the uncertainty of any litigation.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current or future licensors or collaborators might not have been the first to file patent applications covering certain of our inventions;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current or future owned or in-licensed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use of “open source” software could subject our proprietary software to general release, adversely affect our ability to sell our products and subject us to possible litigation.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our trademarks, service marks and tradenames are not adequately protected, then we may not be able to build name recognition in our markets and our business may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on trademarks, service marks, tradenames and brand names to distinguish our products from the products of our competitors and have registered or applied to register these trademarks. There is no assurance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products are subject to extensive regulation by the FDA in the U.S. and by regulatory agencies in other countries where we may choose to do business. Government regulations specific to medical devices are wide ranging and govern,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design, development and manufacture;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preclinical and clinical testing, labeling, packaging, storage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safety and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marketing, promotion and advertising, sales and distribution;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 marketing surveillance, including reporting of deaths or serious injuries and recalls and correction and removals.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Before a new medical device, or a new intended use for an existing product, can be marketed in the U.S., a company must first submit and receive either 510(k) clearance pursuant to Section 510(k) of the FDCA, or approval of a premarket approval, or PMA, application from the FDA, unless an exemption applies.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can delay, limit or deny clearance or approval of a device for many reasons,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our products are safe or effective for their intended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disagreement of the FDA or the applicable foreign regulatory body with the design, conduct or implementation of our clinical trials or the analyses or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from our pre-clinical studies and clinical trials may be insufficient to support clearance or approval, where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regulatory authority may identify significant deficiencies in our manufacturing processes, facilities or analytical methods or those of our third-party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foreign regulatory authorities may audit our clinical trial data and conclude that the data is not sufficiently reliable to support approval or clearance.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adverse publicity, warning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repair, replacement, refunds, recalls, termination of distribution, administrative detention or seizure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denial of our requests for 510(k) clearance or PMA of new products, new intended uses or modifications to existing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510(k) clearance or PMAs that have already been granted;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Medical devices regulated by the FDA are subject to “general controls” which include: registration with the FDA; listing commercially distributed products with the FDA; complying with all applicable requirements under the QMSR;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our products have received regulatory approval or clearance from FDA in the U.S.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U.S. and requirements of comparable non-U.S. regulatory authorities in any international markets we choose to enter.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also received a 510(k) clearance for our contact lens, which is indicated for visualization and treatment in the anterior segment of the eye, and our reusable and single-use insertion devices.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fail to comply with applicable regulatory requirements, a regulatory agency or enforcement authority may,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our facility to an adverse inspectional finding or Form 483, or other compliance or enforcement notice, communication or correspondence;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or untitled letters that would result in adverse publicity or may require corrective advertising;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regulatory clearances 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clear or approve pending applications or supplements to approved applications submitted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impose restrictions on our operations, including closing our sub-assembly suppliers’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product recall.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Recently,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under the current leadership at the HHS, agency reorganization, departure of high-profile regulators at the FDA, and reduction in force (RIF) initiative, or layoffs,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current administration,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including changes resulting from executive orders; freeze on hiring, federal funding for research, and external communications; layoffs; return-to-office policies, and changes in funding for certain programs at the FDA, correspondence and regulatory review processes with the FDA may be materially delayed.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Material modifications to our products may require new 510(k) clearances or pre-market approvals or may require us to recall or cease marketing our products until clearances or approvals are obtained.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Modifications that could significantly affect the safety and effectiveness of our approved or cleared products, such as changes to the intended use or technological characteristics of our products, will require new PMA, PMA Supplements or 510(k) clearances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clinical trials conducted in locations outside of their jurisdiction.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must be approved for reimbursement before it can be approved for sale in that jurisdiction. In some cases, the price that we intend to charge for our products is also subject to approval.</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RxSight system is approved for certain uses, including improving uncorrected visual acuity by adjusting the LAL power to correct residual postoperative refractive error.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U.S., the FDA will generally not approve the application on the basis of foreign data alone unless (1) the data are applicable to the U.S. population and U.S. medical practice; (2) the clinical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clinical trials are subject to the applicable local laws of the foreign jurisdictions where the clinical trials are conducted. There can be no assurance that the FDA or any applicable foreign regulatory authority will accept data from clinical trials conducted outside of its applicable jurisdiction. If the FDA or any applicable foreign regulatory authority does not accept such data, it would result in the need for additional clinical trials, which would be costly and time-consuming and delay aspects of our business plan, and which may result in our products not receiving approval or clearance for commercialization in the applicable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may be subject to recalls after receiving FDA or foreign approval or clearance, which could divert managerial and financial resources, harm our reputation and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or our suppliers, fail to comply with the FDA’s QMSR or other applicable foreign regulations, our manufacturing or distribution operations could be delayed or shut down and our revenue could suffer.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manufacturing and design processes and those of our third-party component suppliers are required to comply with the FDA’s QMSR, which covers procedures and documentation of the design, testing, production, control, quality assurance, labeling, packaging, storage and shipping of our products in the U.S.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under the FDA final rule, issued in February 2024, the QMSR went into effect on February 2, 2026, replacing the former Quality System Regulation, and incorporates by reference the quality management system requirements of ISO 13485:2016.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do not remain in material compliance with the QMSR, or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adversely affect our business, financial condition, results of operations and cash flows in our key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in the U.S., in March 2010, the Patient Protection and Affordable Care Act, as amended by the Health Care and Education Reconciliation Act of 2010, together, the Affordable Care Act (“ACA”), was enacted. 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new Trump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There is no assurance that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fail to comply with U.S. federal and state fraud and abuse and other healthcare laws and regulations, we could face substantial penalties and our business operations and financial condition could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growth of our business and sales organization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the CMS fee schedules may harm our revenue and operating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Government payers, such as CMS as well as insurers, have increased their efforts to control the cost, utilization and delivery of healthcare services. From time to time, the U.S.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2024, the U.S. Supreme Court overruled the Chevron doctrine, which gave deference to regulatory agencies’ statutory interpretations in litigation against federal government agencies where the law is ambiguous. This landmark Supreme Court decision may invite more stakeholders to bring lawsuits against the FDA and other federal agencies to challenge longstanding decisions and policies, which could lead to uncertainties in the industry. Further, changes in the leadership of the FDA and other federal agencies under the new Trump administration may lead to new policies and changes in the regulations that can increase our compliance costs. 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reclassification of some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emphasis on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transparency, including publication of clinical trial data and safety summaries;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defined content and structure for technical files to support registration;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unique device identification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burden on post-market surveillance and clinical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reduction of adverse event reporting time from 30 to 15 days after the event;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review times;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power to notified bodies.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clinical trials may fail to demonstrate competent and reliable evidence of the safety and effectiveness of our products, which would prevent or delay commercialization of our products in development.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clinical trials could be required before we submit our products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products. Even if regulatory approval is secured for any of our products, the terms of such approval may limit the scope and use of our products, which may also limit their commercial potential.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Defects or failures associated with our products could lead to recalls, safety alerts or litigation, as well as significant costs and negative publicity.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provide warranties on our products.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we carry product liability insurance in the U.S.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health and safety laws may result in liabilities, expenses and restrictions on our operations. Failure to comply with environmental laws and regulations could subject us to significant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There is no assurance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There is no assurance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We face risks related to our collection and use of data, which could result in investigations, inquiries, litigation, fines, legislative and regulatory action and negative press about our privacy and data and security protection practices.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processes personal data, including some data related to health. When conducting clinical trials, we face risks associated with collecting clinical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U.S. and international privacy, data protection, security and other laws, and subject us to individual or consumer class action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U.S., California adopted the CCPA in January 2020, which requires certain companies that process information of California residents to, among other things, provide certain disclosures to California residents and afford them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Similar legislation has been proposed, and in certain cases enacted, in other states.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laws relating to privacy, data protection and cybersecurity are potentially significant, and may require us to modify our practices and policies and to incur substantial costs and expenses in an effort to comply.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can be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that of the GDPR. The UK enacted the UK Data (Use and Access) Act 2025 on June 19, 2025, which made targeted amendments to the UK GDPR and the UK Data Protection Act. These developments have required us to review and modify the means by which we process personal data and may require us to make other modifications. The implementation and enforcement of the GDPR and other evolving legislation may subject us to enforcement risk and requirements to change certain of our data collection, data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such as the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and the United Kingdom has adopted its own new standard contractual clauses. In June 2021, the European Commission issued an adequacy decision in respect of the United Kingdom’s data protection framework, enabling data transfers from EU member states to the United Kingdom to continue without requiring contractual or other additional measures. This adequacy decision was renewed in 2025 to extend until December 2031, but remains subject to revocation at any point. Any nonrenewal or revocation of, or modifications to, this adequacy decision could lead to additional costs and increase our overall risk exposure. The U.S. Department of Justice also has issued rules regarding certain bulk sensitive personal data transfers. These developments and other regulatory guidance or developments may impose additional obligations with respect to cross-border data transfers, all of which could restrict our activities in certain jurisdictions, limit our ability to provide our products and services in certain jurisdictions, require us to modify our policies and practices, and to engage in additional contractual negotiations, or increase our costs and obligations and impose limitations upon our ability to efficiently transfer personal data across borders. Any of these events, if occurring, could adversely affect the manner in which we provide our services and thus materially affect our operations and financial results.</w:t>
      </w:r>
    </w:p>
    <w:p>
      <w:pPr>
        <w:pStyle w:val="TextBody"/>
        <w:bidi w:val="0"/>
        <w:spacing w:before="0" w:after="120"/>
        <w:jc w:val="left"/>
        <w:rPr>
          <w:rFonts w:ascii="Times New Roman" w:hAnsi="Times New Roman"/>
          <w:sz w:val="20"/>
        </w:rPr>
      </w:pPr>
      <w:r>
        <w:rPr>
          <w:rFonts w:ascii="Times New Roman" w:hAnsi="Times New Roman"/>
          <w:color w:val="000000"/>
          <w:sz w:val="20"/>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w:t>
      </w:r>
      <w:r>
        <w:rPr>
          <w:rFonts w:ascii="Times New Roman" w:hAnsi="Times New Roman"/>
          <w:color w:val="000000"/>
          <w:sz w:val="20"/>
          <w:u w:val="single"/>
        </w:rPr>
        <w:t>,</w:t>
      </w:r>
      <w:r>
        <w:rPr>
          <w:rFonts w:ascii="Times New Roman" w:hAnsi="Times New Roman"/>
          <w:color w:val="000000"/>
          <w:sz w:val="20"/>
        </w:rPr>
        <w:t xml:space="preserve"> or is alleged to be,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Disruptions at the FDA and other agencies, including delays, travel restrictions, and staffing shortages, may also slow the time necessary for new medical devices to be reviewed and/or approved by necessary government agencies, which would adversely affect our business. The FDA may not be able to continue its current inspection pace or may be unable to complete required inspections during the review period, which can delay clinical development and result in a complete response letter. Disruptions at the FDA could significantly impact the ability of the FDA to timely review and process our regulatory submissions, which could have a material adverse effect on our business.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commercialized the RxSight system outside of the U.S.,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operations outside of the U.S.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From time to time, we engage outside parties to perform services related to certain of our clinical studies and clinical trials. If these third parties do not successfully carry out their contractual duties or meet expected deadlines, we may not be able to obtain regulatory approval for or commercialize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component suppliers may not meet regulatory quality standards applicable to our manufacturing processes, which could have an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is no assurance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There is no assurance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British Standards Institution (“BSI”), to obtain and maintain these certifications. If we fail these inspections or fail to meet these regulatory standards, it could have a material adverse effect on our business, financial condition and results of operations.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and could in the future result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tariffs and other causes.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failure of third parties to meet their contractual, regulatory, and other obligations could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on a small number of suppliers, vendors, outsourcing partners, consultants, and other third parties to research, develop, manufacture and commercialize our products. Using third parties poses a number of risks, such as: (i) they may not perform to our standards or legal requirements; (ii) they may decide to suddenly raise prices or cease working with us; (iii) they may not produce reliable results; (iv) they may not perform in a timely manner; (v) they may not maintain confidentiality of our proprietary information; (vi) disputes may arise with respect to ownership of rights to technology developed with our partners; and (vii)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price of our stock has been and may continue to be volatile, and you could lose all or part of your investment.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trading price of our common stock has been and may continue to be highly volatile and could be subject to wide fluctuations in response to various factors, some of which we cannot control. From the date of our initial public offering through August 1, 2026, our common stock has traded at a low of $4.48 and a high of $66.54 on the Nasdaq Global Market. The stock market in general can experience extreme price and volume fluctuations that have often been unrelated or disproportionate to the operating performance of these certain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 of our results of operations and updates regarding our business, including financial and operational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published by securities or industry analysts about our business and prospects;</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including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of our current and future products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medical device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global and national events, such as the conflicts in Eastern Europe and the Middle East, and general economic downturns.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Part II, Item 1A, “Risk Factors,” could have a dramatic and adverse impact on the market price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companies that have experienced volatility in the market price of their stock have been subject to securities class action litigation. We are the target of this type of litigation. For more information regarding such litigation, please see “Legal Proceedings” in Part II, Item 1 of this Quarterly Report. Securities litigation against us could result in substantial costs and divert our management’s attention from other business concerns, which could seriously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research about our business, our stock price and trading volume could decline.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equity research analysts publish about us and our business.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common stock is currently traded on the Nasdaq Global Market, but there is no assurance that we will be able to maintain an active trading market on the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we had 41,585,381 shares of common stock issued and outstanding. All of these shares are available for sale in the public market, subject to limitations under Rule 144 with respect to affiliates of our company.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filed registration statements on Form S-8 under the Securities Act registering the offer and sale of up to an aggregate of 13,927,605 shares of common stock pursuant to our Equity Plans (as defined in Note 2, “Summary of Accounting Policies – Stock-Based Compensation” in our notes to our unaudited condensed consolidated financial statements in this report)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8, 2024, we filed an automatic shelf registration statement on Form S-3ASR with the SEC that enabled us to offer for sale, from time to time and as the capital markets permitted, an unspecified amount of common stock, preferred stock, debt securities, warrants and units. The shelf registration statement became automatically effective upon filing and is valid for three years. On February 13, 2026, we filed a post-effective amendment to the registration statement because we expected to cease to be a well-known seasoned issuer (as such term is defined in Rule 405 under the Securities Act) upon the filing of our Annual Report on Form 10-K for the fiscal year ended December 31, 2025. The post-effective amendment to the registration statement permits us to offer for sale, from time to time, up to $200 million of common stock, preferred stock, debt securities, warrants and units. Upon the filing of our Annual Report on Form 10-K for the fiscal year ended December 31, 2025, we ceased to be a well-known seasoned issuer, and we filed another post-effective amendment to the registration statement for the purpose of amending the registration statement to convert it from a Form S-3ASR (automatic shelf registration statement) to a Form S-3 (non-automatic shelf registration statement). Each time we offer to sell securities under the registration statement, we will provide a prospectus supplement that will contain specific information about the terms of that offering and the securities being offered.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Sarbanes-Oxley Act of 2002 requires, among other things, that we assess the effectiveness of our internal control over financial reporting annually and the effectiveness of our disclosure controls and procedures quarterly. In addition, as an accelerated filer, our independent registered public accounting firm is required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amend the bylaws;</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stockholders to amend some provisions described above.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of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federal district courts of the U.S.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Delaware forum provision does not apply to actions arising under the Securities Exchange Act of 1934 because the federal courts have exclusive jurisdiction over such claims.</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Our Board of Directors are authorized to issue and designate shares of our preferred stock in additional series without stockholder approval under our charter documents and Delaware law.</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Tax Act enacted many significant changes to the U.S. tax laws.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However, the One Big Beautiful Bill Act, enacted on July 4, 2025, restores the ability to deduct domestic research and experimental expenditures for taxable years beginning January 1, 2025 on a current basis, but retains the requirement to amortize foreign research and experimental expenditure over 15 years. There is uncertainty regarding the effect of such changes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Development’s Pillar Two Framework. Finally, the Inflation Reduction Act of 2022 (the “IRA”) was effective beginning in fiscal year 2023, which imposes a 1% excise tax on stock buybacks and a 15% alternative minimum tax on adjusted financial statement income.</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 or security breaches or incidents.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clinical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 </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Economic conditions may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key regional economies are currently operating under economic uncertainty and the U.S.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Factors such as geopolitical events (including the conflicts in Eastern Europe and the Middle East), inflationary pressures, public health crises, and U.S. election cycles have caused extreme volatility and disruptions in the capital and credit markets in recent years. Uncertainty or unfavorable global economic conditions could result in a variety of impacts to our business, including weakening demand for our products,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products. Further, the Trump administration has proposed or enacted tariffs and substantial changes to trade policies, which could adversely affect our business. For example, the Trump administration has imposed tariffs on certain foreign products, that in the past have resulted in and may result in future retaliatory tariffs on U.S. goods and products. We cannot predict whether these policies will continue, or if new policies will be enacted, or the impact, if any, that any policy changes could have on our business. Any of the foregoing could harm our business and we cannot anticipate all of the ways in which the economic climate and financial market conditions could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Litigation and other legal proceedings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and may become involved in legal proceedings, including those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Following periods of volatility in the market price of a company’s securities, securities class action litigation has often been instituted against that company. Following a stock price drop in our securities, on July 22, 2025, a putative securities class action complaint was filed in the U.S. District Court for the Central District of California against us and certain of our officers, captioned Makaveev v. RxSight, Inc., et al., No. 8:25-cv-01596. A second complaint, captioned Gemesi v. RxSight, Inc., et al., No. 8:25-cv-02093 was filed on September 16, 2025, and has since been consolidated with Makaveev. These lawsuits assert claims under Sections 10(b) and 20(a) of the Securities Exchange Act of 1934 and SEC Rule 10b-5, alleging that the defendants made materially false and misleading statements and omitted material adverse facts regarding demand for our products and financial guidance. The plaintiffs seek unspecified compensatory and punitive damages, and reasonable costs and expenses, including attorneys’ fees.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the Company’s business, results of operations and financial condition.</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before="40" w:after="120"/>
        <w:jc w:val="left"/>
        <w:rPr>
          <w:rFonts w:ascii="Times New Roman" w:hAnsi="Times New Roman"/>
          <w:b/>
          <w:i/>
          <w:color w:val="000000"/>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seek to maintain sufficient levels of inventory but the lack of availability of raw materials, including semiconductors, computers, monitors electronic parts, metals, packaging, adhesives, chemicals, resins and subcontract painted components, has and could in the future limit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jc w:val="left"/>
        <w:rPr>
          <w:rFonts w:ascii="Times New Roman" w:hAnsi="Times New Roman"/>
          <w:color w:val="000000"/>
          <w:sz w:val="20"/>
        </w:rPr>
      </w:pPr>
      <w:r>
        <w:rPr>
          <w:rFonts w:ascii="Times New Roman" w:hAnsi="Times New Roman"/>
          <w:color w:val="000000"/>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24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 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(b) Use of Proceeds from 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6" w:name="item3_default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8" w:name="item5otherinformation"/>
      <w:bookmarkEnd w:id="18"/>
      <w:r>
        <w:rPr>
          <w:rFonts w:ascii="Times New Roman" w:hAnsi="Times New Roman"/>
          <w:b/>
          <w:color w:val="000000"/>
          <w:sz w:val="20"/>
        </w:rPr>
        <w:t>Item 5. Other Information.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our last fiscal quarter, none of our directors or officers, as defined in Rule 16a-1(f), adopted and/or terminated a “Rule 10b5-1 trading arrangement” or a “non-Rule 10b5-1 trading arrangement,” as defined in Regulation S-K Item 408.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Scott Gaines - Consulting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17, 2026, Systemize Partners, LLC (“Systemize Partners”) terminated the consulting agreement by and between the Company and Systemize Partners, pursuant to which Scott Gaines, a former employee and executive officer, was providing services to the Company.</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Resignation of Raymond Cohen as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 2026, Raymond Cohen resigned as a member of the Board and all committees of the Board, effective immediately. Mr. Cohen’s resignation was not a result of any disagreement with the Company on any matter relating to the Company’s operations, policies or practices.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report unless otherwise stated.</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6271"/>
        <w:gridCol w:w="586"/>
        <w:gridCol w:w="856"/>
        <w:gridCol w:w="827"/>
        <w:gridCol w:w="854"/>
      </w:tblGrid>
      <w:tr>
        <w:trPr/>
        <w:tc>
          <w:tcPr>
            <w:tcW w:w="811" w:type="dxa"/>
            <w:tcBorders/>
            <w:vAlign w:val="center"/>
          </w:tcPr>
          <w:p>
            <w:pPr>
              <w:pStyle w:val="TableContents"/>
              <w:bidi w:val="0"/>
              <w:spacing w:before="0" w:after="283"/>
              <w:jc w:val="left"/>
              <w:rPr>
                <w:sz w:val="4"/>
                <w:szCs w:val="4"/>
              </w:rPr>
            </w:pPr>
            <w:r>
              <w:rPr>
                <w:sz w:val="4"/>
                <w:szCs w:val="4"/>
              </w:rPr>
            </w:r>
          </w:p>
        </w:tc>
        <w:tc>
          <w:tcPr>
            <w:tcW w:w="627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627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6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Form</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File No.</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Filing Date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1.htm">
              <w:r>
                <w:rPr>
                  <w:rStyle w:val="InternetLink"/>
                  <w:rFonts w:ascii="Times New Roman" w:hAnsi="Times New Roman"/>
                  <w:color w:val="0000FF"/>
                  <w:sz w:val="20"/>
                  <w:u w:val="single"/>
                </w:rPr>
                <w:t>Employment Letter, by and between the Registrant and Aziz Mottiwala, dated July 13, 2026.</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2.htm">
              <w:r>
                <w:rPr>
                  <w:rStyle w:val="InternetLink"/>
                  <w:rFonts w:ascii="Times New Roman" w:hAnsi="Times New Roman"/>
                  <w:color w:val="0000FF"/>
                  <w:sz w:val="20"/>
                  <w:u w:val="single"/>
                </w:rPr>
                <w:t>Change in Control Severance Agreement, by and between the Registrant and Aziz Mottiwala, dated as of July 13, 2026.</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3.htm">
              <w:r>
                <w:rPr>
                  <w:rStyle w:val="InternetLink"/>
                  <w:rFonts w:ascii="Times New Roman" w:hAnsi="Times New Roman"/>
                  <w:color w:val="0000FF"/>
                  <w:sz w:val="20"/>
                  <w:u w:val="single"/>
                </w:rPr>
                <w:t>Collaboration Agreement, dated June 30, 2026, by and between the Registrant and Alcon Pharmaceuticals, Ltd.</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4.htm">
              <w:r>
                <w:rPr>
                  <w:rStyle w:val="InternetLink"/>
                  <w:rFonts w:ascii="Times New Roman" w:hAnsi="Times New Roman"/>
                  <w:color w:val="0000FF"/>
                  <w:sz w:val="20"/>
                  <w:u w:val="single"/>
                </w:rPr>
                <w:t>Consulting Agreement, dated June 1, 2026, by and between the Registrant and Systemize Partners, LLC.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5.htm">
              <w:r>
                <w:rPr>
                  <w:rStyle w:val="InternetLink"/>
                  <w:rFonts w:ascii="Times New Roman" w:hAnsi="Times New Roman"/>
                  <w:color w:val="0000FF"/>
                  <w:sz w:val="20"/>
                  <w:u w:val="single"/>
                </w:rPr>
                <w:t>Amendment to Change in Control and Severance Agreement, dated April 17, 2026, by and between the Registrant and Ron Kurtz.</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6.htm">
              <w:r>
                <w:rPr>
                  <w:rStyle w:val="InternetLink"/>
                  <w:rFonts w:ascii="Times New Roman" w:hAnsi="Times New Roman"/>
                  <w:color w:val="0000FF"/>
                  <w:sz w:val="20"/>
                  <w:u w:val="single"/>
                </w:rPr>
                <w:t>Transition Employment Letter Agreement, dated July 13, 2026, by and between the Registrant and Ron Kurtz.</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10_7.htm">
              <w:r>
                <w:rPr>
                  <w:rStyle w:val="InternetLink"/>
                  <w:rFonts w:ascii="Times New Roman" w:hAnsi="Times New Roman"/>
                  <w:color w:val="0000FF"/>
                  <w:sz w:val="20"/>
                  <w:u w:val="single"/>
                </w:rPr>
                <w:t>Amended and Restated Change in Control Severance Agreement, dated July 13, 2026, by and between the Registrant and Ron Kurtz.</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10.8+</w:t>
            </w:r>
          </w:p>
          <w:p>
            <w:pPr>
              <w:pStyle w:val="TableContents"/>
              <w:bidi w:val="0"/>
              <w:spacing w:before="0" w:after="283"/>
              <w:jc w:val="left"/>
              <w:rPr/>
            </w:pPr>
            <w:r>
              <w:rPr/>
              <w:t> </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r:id="rId2">
              <w:r>
                <w:rPr>
                  <w:rStyle w:val="InternetLink"/>
                  <w:rFonts w:ascii="Times New Roman" w:hAnsi="Times New Roman"/>
                  <w:color w:val="0000FF"/>
                  <w:sz w:val="20"/>
                  <w:u w:val="single"/>
                </w:rPr>
                <w:t>RxSight, Inc. 2026 Inducement Equity Incentive Plan.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333-297654</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23, 2026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6271" w:type="dxa"/>
            <w:tcBorders/>
            <w:shd w:fill="FFFFFF" w:val="clear"/>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20"/>
                  <w:u w:val="single"/>
                </w:rPr>
                <w:t>Form of 2026 Inducement Equity Incentive Plan Stock Option Agreement.</w:t>
              </w:r>
            </w:hyperlink>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333-297654</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23, 2026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6271" w:type="dxa"/>
            <w:tcBorders/>
            <w:shd w:fill="FFFFFF" w:val="clear"/>
            <w:tcMar>
              <w:top w:w="0" w:type="dxa"/>
              <w:left w:w="0" w:type="dxa"/>
              <w:bottom w:w="0" w:type="dxa"/>
              <w:right w:w="0" w:type="dxa"/>
            </w:tcMar>
            <w:vAlign w:val="center"/>
          </w:tcPr>
          <w:p>
            <w:pPr>
              <w:pStyle w:val="TableContents"/>
              <w:bidi w:val="0"/>
              <w:jc w:val="left"/>
              <w:rPr/>
            </w:pPr>
            <w:hyperlink r:id="rId4">
              <w:r>
                <w:rPr>
                  <w:rStyle w:val="InternetLink"/>
                  <w:rFonts w:ascii="Times New Roman" w:hAnsi="Times New Roman"/>
                  <w:color w:val="0000FF"/>
                  <w:sz w:val="20"/>
                  <w:u w:val="single"/>
                </w:rPr>
                <w:t>Form of 2026 Inducement Equity Incentive Plan Restricted Stock Unit Agreement.</w:t>
              </w:r>
            </w:hyperlink>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333-297654</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23, 2026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271"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31_2.htm">
              <w:r>
                <w:rPr>
                  <w:rStyle w:val="InternetLink"/>
                  <w:rFonts w:ascii="Times New Roman" w:hAnsi="Times New Roman"/>
                  <w:color w:val="0000FF"/>
                  <w:sz w:val="20"/>
                  <w:u w:val="single"/>
                </w:rPr>
                <w:t>Certification of Principal Financial Officer Pursuant to Rules 13a-14(a) and 15d-14(a) under the Securities Exchange Act of 1934, as</w:t>
              </w:r>
            </w:hyperlink>
            <w:hyperlink w:anchor="rxst-ex31_2.htm">
              <w:r>
                <w:rPr>
                  <w:rStyle w:val="InternetLink"/>
                  <w:rFonts w:ascii="Times New Roman" w:hAnsi="Times New Roman"/>
                  <w:color w:val="0000FF"/>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9095"/>
        <w:gridCol w:w="146"/>
        <w:gridCol w:w="146"/>
        <w:gridCol w:w="14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9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5"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sz w:val="20"/>
              </w:rPr>
            </w:pPr>
            <w:r>
              <w:rPr>
                <w:rFonts w:ascii="Times New Roman" w:hAnsi="Times New Roman"/>
                <w:sz w:val="20"/>
              </w:rPr>
              <w:t xml:space="preserve">Adopted Pursuant to Section 302 of the Sarbanes-Oxley Act of 2002.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09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09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4" w:type="dxa"/>
            <w:gridSpan w:val="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
        <w:gridCol w:w="9476"/>
      </w:tblGrid>
      <w:tr>
        <w:trPr/>
        <w:tc>
          <w:tcPr>
            <w:tcW w:w="729" w:type="dxa"/>
            <w:tcBorders/>
            <w:vAlign w:val="center"/>
          </w:tcPr>
          <w:p>
            <w:pPr>
              <w:pStyle w:val="TableContents"/>
              <w:bidi w:val="0"/>
              <w:spacing w:before="0" w:after="283"/>
              <w:jc w:val="left"/>
              <w:rPr>
                <w:sz w:val="4"/>
                <w:szCs w:val="4"/>
              </w:rPr>
            </w:pPr>
            <w:r>
              <w:rPr>
                <w:sz w:val="4"/>
                <w:szCs w:val="4"/>
              </w:rPr>
            </w:r>
          </w:p>
        </w:tc>
        <w:tc>
          <w:tcPr>
            <w:tcW w:w="9476" w:type="dxa"/>
            <w:tcBorders/>
            <w:vAlign w:val="center"/>
          </w:tcPr>
          <w:p>
            <w:pPr>
              <w:pStyle w:val="TableContents"/>
              <w:bidi w:val="0"/>
              <w:spacing w:before="0" w:after="283"/>
              <w:jc w:val="left"/>
              <w:rPr>
                <w:sz w:val="4"/>
                <w:szCs w:val="4"/>
              </w:rPr>
            </w:pPr>
            <w:r>
              <w:rPr>
                <w:sz w:val="4"/>
                <w:szCs w:val="4"/>
              </w:rPr>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the exhibit were omitted pursuant to Regulation S-K Item 601(b)(10). The Registrant agrees to furnish to the SEC a copy of any omitted portions of the exhibit upon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64" w:type="dxa"/>
        <w:jc w:val="left"/>
        <w:tblInd w:w="0" w:type="dxa"/>
        <w:tblLayout w:type="fixed"/>
        <w:tblCellMar>
          <w:top w:w="28" w:type="dxa"/>
          <w:left w:w="28" w:type="dxa"/>
          <w:bottom w:w="28" w:type="dxa"/>
          <w:right w:w="28" w:type="dxa"/>
        </w:tblCellMar>
      </w:tblPr>
      <w:tblGrid>
        <w:gridCol w:w="1846"/>
        <w:gridCol w:w="406"/>
        <w:gridCol w:w="1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RxSight,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Aziz Mottiwala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Aziz Mottiwala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Mark Wilterding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Mark Wilterding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tbl>
      <w:tblPr>
        <w:tblW w:w="773" w:type="dxa"/>
        <w:jc w:val="left"/>
        <w:tblInd w:w="0" w:type="dxa"/>
        <w:tblLayout w:type="fixed"/>
        <w:tblCellMar>
          <w:top w:w="28" w:type="dxa"/>
          <w:left w:w="28" w:type="dxa"/>
          <w:bottom w:w="28" w:type="dxa"/>
          <w:right w:w="28" w:type="dxa"/>
        </w:tblCellMar>
      </w:tblPr>
      <w:tblGrid>
        <w:gridCol w:w="161"/>
        <w:gridCol w:w="4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6" w:space="0" w:color="000000"/>
            </w:tcBorders>
            <w:tcMar>
              <w:top w:w="0" w:type="dxa"/>
              <w:left w:w="0" w:type="dxa"/>
              <w:right w:w="0" w:type="dxa"/>
            </w:tcMar>
            <w:vAlign w:val="center"/>
          </w:tcPr>
          <w:p>
            <w:pPr>
              <w:pStyle w:val="TableContents"/>
              <w:bidi w:val="0"/>
              <w:spacing w:before="0" w:after="283"/>
              <w:jc w:val="both"/>
              <w:rPr/>
            </w:pPr>
            <w:r>
              <w:rPr/>
              <w:t> </w:t>
            </w:r>
          </w:p>
        </w:tc>
        <w:tc>
          <w:tcPr>
            <w:tcW w:w="421"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rxst-ex10_1.htm"/>
      <w:bookmarkStart w:id="22" w:name="ksrxstex10_1"/>
      <w:bookmarkEnd w:id="21"/>
      <w:bookmarkEnd w:id="22"/>
      <w:r>
        <w:rPr>
          <w:rFonts w:ascii="Times New Roman" w:hAnsi="Times New Roman"/>
          <w:b/>
          <w:color w:val="000000"/>
          <w:sz w:val="24"/>
        </w:rPr>
        <w:t>EXHIBIT 10.1</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July 13,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Aziz Mottiwala</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Re: Employment Letter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Aziz,</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This letter agreement (the </w:t>
      </w:r>
      <w:r>
        <w:rPr>
          <w:rFonts w:ascii="Times New Roman" w:hAnsi="Times New Roman"/>
          <w:color w:val="000000"/>
          <w:sz w:val="20"/>
        </w:rPr>
        <w:t>“</w:t>
      </w:r>
      <w:r>
        <w:rPr>
          <w:rFonts w:ascii="Times New Roman" w:hAnsi="Times New Roman"/>
          <w:b/>
          <w:color w:val="000000"/>
          <w:sz w:val="24"/>
        </w:rPr>
        <w:t>Agreement”</w:t>
      </w:r>
      <w:r>
        <w:rPr>
          <w:rFonts w:ascii="Times New Roman" w:hAnsi="Times New Roman"/>
          <w:color w:val="000000"/>
          <w:sz w:val="24"/>
        </w:rPr>
        <w:t>) is entered into between Aziz Mottiwala (“</w:t>
      </w:r>
      <w:r>
        <w:rPr>
          <w:rFonts w:ascii="Times New Roman" w:hAnsi="Times New Roman"/>
          <w:b/>
          <w:color w:val="000000"/>
          <w:sz w:val="24"/>
        </w:rPr>
        <w:t>you</w:t>
      </w:r>
      <w:r>
        <w:rPr>
          <w:rFonts w:ascii="Times New Roman" w:hAnsi="Times New Roman"/>
          <w:color w:val="000000"/>
          <w:sz w:val="20"/>
        </w:rPr>
        <w:t>”</w:t>
      </w:r>
      <w:r>
        <w:rPr>
          <w:rFonts w:ascii="Times New Roman" w:hAnsi="Times New Roman"/>
          <w:color w:val="000000"/>
          <w:sz w:val="24"/>
        </w:rPr>
        <w:t>) and RxSight, Inc. (the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we</w:t>
      </w:r>
      <w:r>
        <w:rPr>
          <w:rFonts w:ascii="Times New Roman" w:hAnsi="Times New Roman"/>
          <w:color w:val="000000"/>
          <w:sz w:val="20"/>
        </w:rPr>
        <w:t>”</w:t>
      </w:r>
      <w:r>
        <w:rPr>
          <w:rFonts w:ascii="Times New Roman" w:hAnsi="Times New Roman"/>
          <w:color w:val="000000"/>
          <w:sz w:val="24"/>
        </w:rPr>
        <w:t xml:space="preserve">). This Agreement is effective upon execution and your employment with the Company will commence on </w:t>
      </w:r>
      <w:r>
        <w:rPr>
          <w:rFonts w:ascii="Times New Roman" w:hAnsi="Times New Roman"/>
          <w:b/>
          <w:color w:val="000000"/>
          <w:sz w:val="24"/>
        </w:rPr>
        <w:t xml:space="preserve">July 20, 2026 </w:t>
      </w:r>
      <w:r>
        <w:rPr>
          <w:rFonts w:ascii="Times New Roman" w:hAnsi="Times New Roman"/>
          <w:color w:val="000000"/>
          <w:sz w:val="24"/>
        </w:rPr>
        <w:t>(the “</w:t>
      </w:r>
      <w:r>
        <w:rPr>
          <w:rFonts w:ascii="Times New Roman" w:hAnsi="Times New Roman"/>
          <w:b/>
          <w:color w:val="000000"/>
          <w:sz w:val="24"/>
        </w:rPr>
        <w:t>Start Date</w:t>
      </w:r>
      <w:r>
        <w:rPr>
          <w:rFonts w:ascii="Times New Roman" w:hAnsi="Times New Roman"/>
          <w:color w:val="000000"/>
          <w:sz w:val="20"/>
        </w:rPr>
        <w:t>”</w:t>
      </w:r>
      <w:r>
        <w:rPr>
          <w:rFonts w:ascii="Times New Roman" w:hAnsi="Times New Roman"/>
          <w:color w:val="000000"/>
          <w:sz w:val="24"/>
        </w:rPr>
        <w:t>). The purpose of this Agreement is to confirm the terms and conditions of your employment.</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120"/>
        <w:jc w:val="both"/>
        <w:rPr/>
      </w:pPr>
      <w:r>
        <w:rPr>
          <w:rFonts w:ascii="Times New Roman" w:hAnsi="Times New Roman"/>
          <w:b/>
          <w:color w:val="000000"/>
          <w:sz w:val="24"/>
        </w:rPr>
        <w:t>Position</w:t>
      </w:r>
      <w:r>
        <w:rPr>
          <w:rFonts w:ascii="Times New Roman" w:hAnsi="Times New Roman"/>
          <w:color w:val="000000"/>
          <w:sz w:val="24"/>
        </w:rPr>
        <w:t xml:space="preserve">. Your position will be </w:t>
      </w:r>
      <w:r>
        <w:rPr>
          <w:rFonts w:ascii="Times New Roman" w:hAnsi="Times New Roman"/>
          <w:b/>
          <w:color w:val="000000"/>
          <w:sz w:val="24"/>
        </w:rPr>
        <w:t>President and</w:t>
      </w:r>
      <w:r>
        <w:rPr>
          <w:color w:val="000000"/>
        </w:rPr>
        <w:t xml:space="preserve"> </w:t>
      </w:r>
      <w:r>
        <w:rPr>
          <w:rFonts w:ascii="Times New Roman" w:hAnsi="Times New Roman"/>
          <w:b/>
          <w:color w:val="000000"/>
          <w:sz w:val="24"/>
        </w:rPr>
        <w:t>Chief Executive Officer</w:t>
      </w:r>
      <w:r>
        <w:rPr>
          <w:rFonts w:ascii="Times New Roman" w:hAnsi="Times New Roman"/>
          <w:color w:val="000000"/>
          <w:sz w:val="24"/>
        </w:rPr>
        <w:t>, and you will report to the Company’s Board of Directors (the “</w:t>
      </w:r>
      <w:r>
        <w:rPr>
          <w:rFonts w:ascii="Times New Roman" w:hAnsi="Times New Roman"/>
          <w:b/>
          <w:color w:val="000000"/>
          <w:sz w:val="24"/>
        </w:rPr>
        <w:t>Board</w:t>
      </w:r>
      <w:r>
        <w:rPr>
          <w:color w:val="000000"/>
        </w:rPr>
        <w:t>”</w:t>
      </w:r>
      <w:r>
        <w:rPr>
          <w:rFonts w:ascii="Times New Roman" w:hAnsi="Times New Roman"/>
          <w:color w:val="000000"/>
          <w:sz w:val="24"/>
        </w:rPr>
        <w:t>). This is a full-time position. You will perform the duties and have the responsibilities and authority customarily performed and held by an employee in your position or as otherwise may be assigned or delegated to you by the Board. While you render services to the Company, you will not engage in any other employment, consulting or other business activity (whether full-time or part-time) that would create a conflict of interest with the Company. By signing this Agreement, you reconfirm to the Company that you have no contractual commitments or other legal obligations that would prohibit you from performing your duties for the Company.</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120"/>
        <w:jc w:val="both"/>
        <w:rPr/>
      </w:pPr>
      <w:r>
        <w:rPr>
          <w:rFonts w:ascii="Times New Roman" w:hAnsi="Times New Roman"/>
          <w:b/>
          <w:color w:val="000000"/>
          <w:sz w:val="24"/>
        </w:rPr>
        <w:t>Cash Compensation</w:t>
      </w:r>
      <w:r>
        <w:rPr>
          <w:rFonts w:ascii="Times New Roman" w:hAnsi="Times New Roman"/>
          <w:color w:val="000000"/>
          <w:sz w:val="24"/>
        </w:rPr>
        <w:t>. Your initial annual base salary will be $750,000, which will be payable, less applicable withholdings and deductions, in accordance with the Company’s normal payroll practices. Your annual base salary will be subject to review and adjustment based upon the Company’s normal performance review practices.</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120"/>
        <w:jc w:val="both"/>
        <w:rPr/>
      </w:pPr>
      <w:r>
        <w:rPr>
          <w:rFonts w:ascii="Times New Roman" w:hAnsi="Times New Roman"/>
          <w:b/>
          <w:color w:val="000000"/>
          <w:sz w:val="24"/>
        </w:rPr>
        <w:t>Annual Incentive Bonus</w:t>
      </w:r>
      <w:r>
        <w:rPr>
          <w:rFonts w:ascii="Times New Roman" w:hAnsi="Times New Roman"/>
          <w:color w:val="000000"/>
          <w:sz w:val="24"/>
        </w:rPr>
        <w:t>. You will be eligible to earn an annual cash bonus with a target value of 90% of your base salary (at target $675,000), based on the Company’s achievement of corporate performance objectives established by the Board or an authorized committee thereof (the “</w:t>
      </w:r>
      <w:r>
        <w:rPr>
          <w:rFonts w:ascii="Times New Roman" w:hAnsi="Times New Roman"/>
          <w:b/>
          <w:color w:val="000000"/>
          <w:sz w:val="24"/>
        </w:rPr>
        <w:t>Committee</w:t>
      </w:r>
      <w:r>
        <w:rPr>
          <w:color w:val="000000"/>
        </w:rPr>
        <w:t>”</w:t>
      </w:r>
      <w:r>
        <w:rPr>
          <w:rFonts w:ascii="Times New Roman" w:hAnsi="Times New Roman"/>
          <w:color w:val="000000"/>
          <w:sz w:val="24"/>
        </w:rPr>
        <w:t>) and payable upon achievement of the corporate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 Notwithstanding the foregoing, you will receive an annual cash bonus for calendar year 2026 of $337,500, less applicable withholdings and deductions, subject to your continued employment with the Company through the applicable date when the Company pays annual cash bonuses for 2026.</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120"/>
        <w:jc w:val="both"/>
        <w:rPr/>
      </w:pPr>
      <w:r>
        <w:rPr>
          <w:rFonts w:ascii="Times New Roman" w:hAnsi="Times New Roman"/>
          <w:b/>
          <w:color w:val="000000"/>
          <w:sz w:val="24"/>
        </w:rPr>
        <w:t>New Hire Equity Awards</w:t>
      </w:r>
      <w:r>
        <w:rPr>
          <w:rFonts w:ascii="Times New Roman" w:hAnsi="Times New Roman"/>
          <w:color w:val="000000"/>
          <w:sz w:val="24"/>
        </w:rPr>
        <w:t>. As equity compensation, and as an inducement for you to accept our offer of employment, you will be granted new hire equity awards with an aggregate value on the grant date of $14,000,000, which will consist of an option to purchase shares of the Company’s Common Stock with a value of $2,000,000 (the “</w:t>
      </w:r>
      <w:r>
        <w:rPr>
          <w:rFonts w:ascii="Times New Roman" w:hAnsi="Times New Roman"/>
          <w:b/>
          <w:color w:val="000000"/>
          <w:sz w:val="24"/>
        </w:rPr>
        <w:t>Option</w:t>
      </w:r>
      <w:r>
        <w:rPr>
          <w:color w:val="000000"/>
        </w:rPr>
        <w:t>”</w:t>
      </w:r>
      <w:r>
        <w:rPr>
          <w:rFonts w:ascii="Times New Roman" w:hAnsi="Times New Roman"/>
          <w:color w:val="000000"/>
          <w:sz w:val="24"/>
        </w:rPr>
        <w:t>) and an award of restricted stock units (the “</w:t>
      </w:r>
      <w:r>
        <w:rPr>
          <w:rFonts w:ascii="Times New Roman" w:hAnsi="Times New Roman"/>
          <w:b/>
          <w:color w:val="000000"/>
          <w:sz w:val="24"/>
        </w:rPr>
        <w:t>RSU Award</w:t>
      </w:r>
      <w:r>
        <w:rPr>
          <w:rFonts w:ascii="Times New Roman" w:hAnsi="Times New Roman"/>
          <w:color w:val="000000"/>
          <w:sz w:val="24"/>
        </w:rPr>
        <w:t>,” and collectively with the Option, each a “</w:t>
      </w:r>
      <w:r>
        <w:rPr>
          <w:rFonts w:ascii="Times New Roman" w:hAnsi="Times New Roman"/>
          <w:b/>
          <w:color w:val="000000"/>
          <w:sz w:val="24"/>
        </w:rPr>
        <w:t xml:space="preserve">New Hire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ind w:left="0" w:right="14" w:hanging="0"/>
        <w:jc w:val="both"/>
        <w:rPr/>
      </w:pPr>
      <w:r>
        <w:rPr>
          <w:rFonts w:ascii="Times New Roman" w:hAnsi="Times New Roman"/>
          <w:b/>
          <w:color w:val="000000"/>
          <w:sz w:val="24"/>
        </w:rPr>
        <w:t>Award</w:t>
      </w:r>
      <w:r>
        <w:rPr>
          <w:color w:val="000000"/>
        </w:rPr>
        <w:t>”</w:t>
      </w:r>
      <w:r>
        <w:rPr>
          <w:rFonts w:ascii="Times New Roman" w:hAnsi="Times New Roman"/>
          <w:color w:val="000000"/>
          <w:sz w:val="24"/>
        </w:rPr>
        <w:t>) with a value of $12,000,000. The exact number of shares of the Company’s Common Stock covered by each New Hire Award will be determined based on the date of grant. Each New Hire Award will be subject to the terms and conditions of the Company’s 2026 Inducement Equity Incentive Plan and an award agreement thereunder between you and the Company. The grant date of each New Hire Award will be the first Friday following your Start Date, or the preceding day if the first Friday following your Start Date is a stock trading holiday. Each New Hire Award will provide for the following:</w:t>
      </w:r>
      <w:r>
        <w:rPr>
          <w:color w:val="000000"/>
        </w:rPr>
        <w:t xml:space="preserve"> </w:t>
      </w:r>
    </w:p>
    <w:p>
      <w:pPr>
        <w:pStyle w:val="TextBody"/>
        <w:bidi w:val="0"/>
        <w:spacing w:before="0" w:after="120"/>
        <w:ind w:left="720" w:right="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pPr>
      <w:r>
        <w:rPr>
          <w:rFonts w:ascii="Times New Roman" w:hAnsi="Times New Roman"/>
          <w:b/>
          <w:color w:val="000000"/>
          <w:sz w:val="24"/>
        </w:rPr>
        <w:t>Option</w:t>
      </w:r>
      <w:r>
        <w:rPr>
          <w:rFonts w:ascii="Times New Roman" w:hAnsi="Times New Roman"/>
          <w:color w:val="000000"/>
          <w:sz w:val="24"/>
        </w:rPr>
        <w:t>. The Option will have a ten year exercise term and an exercise price equal to the closing price of the Company’s Common Stock as reporting on the NASDAQ Global Market (NASDAQ: RXST) on the grant date. The Option will be subject to vesting on the following terms: 25% of the shares subject to the Option will vest on the one-year anniversary of the grant date, with the balance vesting equally monthly over the following three years, such that all of the shares subject to the Option will be fully vested four years from the grant date, subject to your continued employment with the Company through each applicable vesting date and the terms of the applicable Option agreement.</w:t>
      </w:r>
    </w:p>
    <w:p>
      <w:pPr>
        <w:pStyle w:val="TextBody"/>
        <w:bidi w:val="0"/>
        <w:spacing w:before="0" w:after="120"/>
        <w:ind w:left="720"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20"/>
        <w:jc w:val="both"/>
        <w:rPr/>
      </w:pPr>
      <w:r>
        <w:rPr>
          <w:rFonts w:ascii="Times New Roman" w:hAnsi="Times New Roman"/>
          <w:b/>
          <w:color w:val="000000"/>
          <w:sz w:val="24"/>
        </w:rPr>
        <w:t>RSU Award</w:t>
      </w:r>
      <w:r>
        <w:rPr>
          <w:rFonts w:ascii="Times New Roman" w:hAnsi="Times New Roman"/>
          <w:color w:val="000000"/>
          <w:sz w:val="24"/>
        </w:rPr>
        <w:t>. The RSU Award will be subject to vesting on the following terms: 20% of the shares subject to the RSU Award will vest on the one-year anniversary of the grant date, 20% of the shares subject to the RSU Award will vest on the two-year anniversary of the grant date, and 60% of the shares subject to the RSU Award will vest on the three-year anniversary of the grant date, subject to your continued employment with the Company through each applicable vesting date and the terms of the applicable RSU Award agreement.</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120"/>
        <w:jc w:val="both"/>
        <w:rPr/>
      </w:pPr>
      <w:r>
        <w:rPr>
          <w:rFonts w:ascii="Times New Roman" w:hAnsi="Times New Roman"/>
          <w:b/>
          <w:color w:val="000000"/>
          <w:sz w:val="24"/>
        </w:rPr>
        <w:t>Annual Equity Grant</w:t>
      </w:r>
      <w:r>
        <w:rPr>
          <w:rFonts w:ascii="Times New Roman" w:hAnsi="Times New Roman"/>
          <w:color w:val="000000"/>
          <w:sz w:val="24"/>
        </w:rPr>
        <w:t>. Beginning in 2027, you will be eligible to receive additional annual equity grants. The annual equity grant is discretionary and per Board approval. The guidelines of the annual equity grants will be aligned with the Company’s other C-Suite Executives, but the Company currently anticipates annual long-term incentive opportunities with an expected target value of $4,000,000 in 2027 and approximately $6,000,000 per year thereafter.</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120"/>
        <w:jc w:val="both"/>
        <w:rPr/>
      </w:pPr>
      <w:r>
        <w:rPr>
          <w:rFonts w:ascii="Times New Roman" w:hAnsi="Times New Roman"/>
          <w:b/>
          <w:color w:val="000000"/>
          <w:sz w:val="24"/>
        </w:rPr>
        <w:t>Employee Benefits</w:t>
      </w:r>
      <w:r>
        <w:rPr>
          <w:rFonts w:ascii="Times New Roman" w:hAnsi="Times New Roman"/>
          <w:color w:val="000000"/>
          <w:sz w:val="24"/>
        </w:rPr>
        <w:t>. As a regular full-time employee of the Company, you will be eligible to participate in Company-sponsored benefits in accordance with the terms of the Company's policies and benefits plans. Information regarding coverage, eligibility, and other information regarding these benefits is set forth in more detailed documents that are available from the Company. With the exception of the Company’s at-will employment policy, discussed below, the Company may, from time to time, in its sole discretion, modify or eliminate its policies and/or benefits offered to employees.</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120"/>
        <w:jc w:val="both"/>
        <w:rPr/>
      </w:pPr>
      <w:r>
        <w:rPr>
          <w:rFonts w:ascii="Times New Roman" w:hAnsi="Times New Roman"/>
          <w:b/>
          <w:color w:val="000000"/>
          <w:sz w:val="24"/>
        </w:rPr>
        <w:t>Severance</w:t>
      </w:r>
      <w:r>
        <w:rPr>
          <w:rFonts w:ascii="Times New Roman" w:hAnsi="Times New Roman"/>
          <w:color w:val="000000"/>
          <w:sz w:val="24"/>
        </w:rPr>
        <w:t>. On the Start Date, you and the Company shall enter into a Change in Control and Severance Agreement (the “</w:t>
      </w:r>
      <w:r>
        <w:rPr>
          <w:rFonts w:ascii="Times New Roman" w:hAnsi="Times New Roman"/>
          <w:b/>
          <w:color w:val="000000"/>
          <w:sz w:val="24"/>
        </w:rPr>
        <w:t>Severance Agreement</w:t>
      </w:r>
      <w:r>
        <w:rPr>
          <w:color w:val="000000"/>
        </w:rPr>
        <w:t>”</w:t>
      </w:r>
      <w:r>
        <w:rPr>
          <w:rFonts w:ascii="Times New Roman" w:hAnsi="Times New Roman"/>
          <w:color w:val="000000"/>
          <w:sz w:val="24"/>
        </w:rPr>
        <w:t xml:space="preserve">) applicable to you based on your position with the Company. The Severance Agreement will specify the severance payments and benefits you would be eligible to receive in connection with certain terminations of your employment with the Company. The Severance Agreement will supersede all other severance payments and benefits you would otherwise currently be eligible for, or would become eligible for in the future, under any plan, program or policy that the Company may have in effect from time to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the Severance Agreement will not supersede, modify ,or otherwise affect (i) any rights or benefits arising under any equity award agreements, stock option agreements, or other equity compensation agreements with the Company, or (ii) any vested </w:t>
      </w:r>
    </w:p>
    <w:p>
      <w:pPr>
        <w:pStyle w:val="TextBody"/>
        <w:bidi w:val="0"/>
        <w:jc w:val="left"/>
        <w:rPr>
          <w:rFonts w:ascii="Times New Roman" w:hAnsi="Times New Roman"/>
          <w:sz w:val="20"/>
        </w:rPr>
      </w:pPr>
      <w:r>
        <w:rPr>
          <w:rFonts w:ascii="Times New Roman" w:hAnsi="Times New Roman"/>
          <w:color w:val="000000"/>
          <w:sz w:val="18"/>
        </w:rPr>
        <w:t>RxSight, Inc. 100 Columbia, Suite 120, Aliso Viejo, CA, 92656</w:t>
      </w:r>
      <w:r>
        <w:rPr>
          <w:rFonts w:ascii="Times New Roman" w:hAnsi="Times New Roman"/>
          <w:color w:val="000000"/>
          <w:sz w:val="20"/>
        </w:rPr>
        <w:t xml:space="preserve"> </w:t>
      </w:r>
      <w:r>
        <w:rPr>
          <w:rFonts w:ascii="Aptos;sans-serif" w:hAnsi="Aptos;sans-serif"/>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rights or accrued benefits, or (iii) any other written agreements between you and the Company.</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120"/>
        <w:jc w:val="both"/>
        <w:rPr/>
      </w:pPr>
      <w:r>
        <w:rPr>
          <w:rFonts w:ascii="Times New Roman" w:hAnsi="Times New Roman"/>
          <w:b/>
          <w:color w:val="000000"/>
          <w:sz w:val="24"/>
        </w:rPr>
        <w:t>Proprietary Information and Inventions Agreement</w:t>
      </w:r>
      <w:r>
        <w:rPr>
          <w:rFonts w:ascii="Times New Roman" w:hAnsi="Times New Roman"/>
          <w:color w:val="000000"/>
          <w:sz w:val="24"/>
        </w:rPr>
        <w:t>. As an employee of the Company, you will have access to certain confidential information about the Company and you may, during the course of your employment, develop certain information or inventions that will be the property of the Company. To protect the interests of the Company, you will be expected to abide by Company rules and regulations, and to sign and comply with the Company’s Proprietary Information and Inventions Agreement (the “</w:t>
      </w:r>
      <w:r>
        <w:rPr>
          <w:rFonts w:ascii="Times New Roman" w:hAnsi="Times New Roman"/>
          <w:b/>
          <w:color w:val="000000"/>
          <w:sz w:val="24"/>
        </w:rPr>
        <w:t>PIIA</w:t>
      </w:r>
      <w:r>
        <w:rPr>
          <w:color w:val="000000"/>
        </w:rPr>
        <w:t>”</w:t>
      </w:r>
      <w:r>
        <w:rPr>
          <w:rFonts w:ascii="Times New Roman" w:hAnsi="Times New Roman"/>
          <w:color w:val="000000"/>
          <w:sz w:val="24"/>
        </w:rPr>
        <w:t>).</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120"/>
        <w:jc w:val="both"/>
        <w:rPr/>
      </w:pPr>
      <w:r>
        <w:rPr>
          <w:rFonts w:ascii="Times New Roman" w:hAnsi="Times New Roman"/>
          <w:b/>
          <w:color w:val="000000"/>
          <w:sz w:val="24"/>
        </w:rPr>
        <w:t>Employment Relationship</w:t>
      </w:r>
      <w:r>
        <w:rPr>
          <w:rFonts w:ascii="Times New Roman" w:hAnsi="Times New Roman"/>
          <w:color w:val="000000"/>
          <w:sz w:val="24"/>
        </w:rPr>
        <w:t>. Employment with the Company will be for no specific period of time. Your employment with the Company will be “at will,” meaning that either you or the Company may terminate your employment with written notice to the other party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120"/>
        <w:jc w:val="both"/>
        <w:rPr/>
      </w:pPr>
      <w:r>
        <w:rPr>
          <w:rFonts w:ascii="Times New Roman" w:hAnsi="Times New Roman"/>
          <w:b/>
          <w:color w:val="000000"/>
          <w:sz w:val="24"/>
        </w:rPr>
        <w:t>Protected Activity Not Prohibited</w:t>
      </w:r>
      <w:r>
        <w:rPr>
          <w:rFonts w:ascii="Times New Roman" w:hAnsi="Times New Roman"/>
          <w:color w:val="000000"/>
          <w:sz w:val="24"/>
        </w:rPr>
        <w:t xml:space="preserve">. Nothing in this Agreement or in any other agreement between you or the Company, as applicable, will in any way limit or prohibit you from engaging for a lawful purpose in any Protected Activity. For purposes of this Agreement, </w:t>
      </w:r>
      <w:r>
        <w:rPr>
          <w:color w:val="000000"/>
        </w:rPr>
        <w:t>“</w:t>
      </w:r>
      <w:r>
        <w:rPr>
          <w:rFonts w:ascii="Times New Roman" w:hAnsi="Times New Roman"/>
          <w:b/>
          <w:color w:val="000000"/>
          <w:sz w:val="24"/>
        </w:rPr>
        <w:t xml:space="preserve">Protected Activity” </w:t>
      </w:r>
      <w:r>
        <w:rPr>
          <w:rFonts w:ascii="Times New Roman" w:hAnsi="Times New Roman"/>
          <w:color w:val="000000"/>
          <w:sz w:val="24"/>
        </w:rPr>
        <w:t xml:space="preserve">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PIIA) to any parties other than the relevant government agencies. You further understand that </w:t>
      </w:r>
      <w:r>
        <w:rPr>
          <w:color w:val="000000"/>
        </w:rPr>
        <w:t>“</w:t>
      </w:r>
      <w:r>
        <w:rPr>
          <w:rFonts w:ascii="Times New Roman" w:hAnsi="Times New Roman"/>
          <w:b/>
          <w:color w:val="000000"/>
          <w:sz w:val="24"/>
        </w:rPr>
        <w:t xml:space="preserve">Protected Activity” </w:t>
      </w:r>
      <w:r>
        <w:rPr>
          <w:rFonts w:ascii="Times New Roman" w:hAnsi="Times New Roman"/>
          <w:color w:val="000000"/>
          <w:sz w:val="24"/>
        </w:rPr>
        <w:t xml:space="preserve">does 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as </w:t>
      </w:r>
      <w:r>
        <w:rPr>
          <w:rFonts w:ascii="Times New Roman" w:hAnsi="Times New Roman"/>
          <w:b/>
          <w:color w:val="000000"/>
          <w:sz w:val="24"/>
        </w:rPr>
        <w:t>Exhibit A</w:t>
      </w:r>
      <w:r>
        <w:rPr>
          <w:rFonts w:ascii="Times New Roman" w:hAnsi="Times New Roman"/>
          <w:color w:val="000000"/>
          <w:sz w:val="24"/>
        </w:rPr>
        <w:t>.</w:t>
      </w:r>
    </w:p>
    <w:p>
      <w:pPr>
        <w:pStyle w:val="TextBody"/>
        <w:bidi w:val="0"/>
        <w:spacing w:before="0" w:after="120"/>
        <w:ind w:left="0" w:right="14" w:hanging="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120"/>
        <w:jc w:val="both"/>
        <w:rPr/>
      </w:pPr>
      <w:r>
        <w:rPr>
          <w:rFonts w:ascii="Times New Roman" w:hAnsi="Times New Roman"/>
          <w:b/>
          <w:color w:val="000000"/>
          <w:sz w:val="24"/>
        </w:rPr>
        <w:t>Miscellaneous</w:t>
      </w:r>
      <w:r>
        <w:rPr>
          <w:rFonts w:ascii="Times New Roman" w:hAnsi="Times New Roman"/>
          <w:color w:val="000000"/>
          <w:sz w:val="24"/>
        </w:rPr>
        <w:t>. This Agreement, along with the PIIA and the Severance Agreement, constitute the entire agreement between you and the Company regarding the subject matters discussed herein, and they supersede all prior negotiations, representations or agreements between you and the Company. For the avoidance of doubt, other than with respect to Section 8 of this Agreement, nothing in this Agreement will supersede the terms and provisions of the PIIA. This Agreement may only be modified by a written agreement approved by the Board and signed by you and a duly authorized representative of the Company.</w:t>
      </w:r>
    </w:p>
    <w:p>
      <w:pPr>
        <w:pStyle w:val="TextBody"/>
        <w:bidi w:val="0"/>
        <w:jc w:val="left"/>
        <w:rPr>
          <w:rFonts w:ascii="Times New Roman" w:hAnsi="Times New Roman"/>
          <w:sz w:val="20"/>
        </w:rPr>
      </w:pPr>
      <w:r>
        <w:rPr>
          <w:rFonts w:ascii="Times New Roman" w:hAnsi="Times New Roman"/>
          <w:color w:val="000000"/>
          <w:sz w:val="18"/>
        </w:rPr>
        <w:t>RxSight, Inc. 100 Columbia, Suite 120, Aliso Viejo, CA, 92656</w:t>
      </w:r>
      <w:r>
        <w:rPr>
          <w:rFonts w:ascii="Times New Roman" w:hAnsi="Times New Roman"/>
          <w:color w:val="000000"/>
          <w:sz w:val="20"/>
        </w:rPr>
        <w:t xml:space="preserve"> </w:t>
      </w:r>
      <w:r>
        <w:rPr>
          <w:rFonts w:ascii="Aptos;sans-serif" w:hAnsi="Aptos;sans-serif"/>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This offer is contingent upon:</w:t>
      </w:r>
    </w:p>
    <w:p>
      <w:pPr>
        <w:pStyle w:val="TextBody"/>
        <w:bidi w:val="0"/>
        <w:spacing w:before="0" w:after="120"/>
        <w:ind w:left="0" w:right="180" w:firstLine="720"/>
        <w:jc w:val="both"/>
        <w:rPr>
          <w:rFonts w:ascii="Times New Roman" w:hAnsi="Times New Roman"/>
          <w:color w:val="000000"/>
          <w:sz w:val="24"/>
        </w:rPr>
      </w:pPr>
      <w:r>
        <w:rPr>
          <w:rFonts w:ascii="Times New Roman" w:hAnsi="Times New Roman"/>
          <w:color w:val="000000"/>
          <w:sz w:val="24"/>
        </w:rPr>
        <w:t>(a) Verification of your right to work in the United States, as demonstrated by your completion of the I-9 form upon hire and your submission of acceptable documentation (as noted on the I-9 form) verifying your identity and work authorization within three days of starting employment.</w:t>
      </w:r>
    </w:p>
    <w:p>
      <w:pPr>
        <w:pStyle w:val="TextBody"/>
        <w:bidi w:val="0"/>
        <w:spacing w:before="0" w:after="120"/>
        <w:ind w:left="90" w:right="0" w:firstLine="630"/>
        <w:jc w:val="left"/>
        <w:rPr>
          <w:rFonts w:ascii="Times New Roman" w:hAnsi="Times New Roman"/>
          <w:color w:val="000000"/>
          <w:sz w:val="24"/>
        </w:rPr>
      </w:pPr>
      <w:r>
        <w:rPr>
          <w:rFonts w:ascii="Times New Roman" w:hAnsi="Times New Roman"/>
          <w:color w:val="000000"/>
          <w:sz w:val="24"/>
        </w:rPr>
        <w:t>(b) Your signature affirming your acceptance of this offer and a return copy of this letter by July 14, 2026.</w:t>
      </w:r>
    </w:p>
    <w:p>
      <w:pPr>
        <w:pStyle w:val="TextBody"/>
        <w:bidi w:val="0"/>
        <w:spacing w:before="0" w:after="120"/>
        <w:ind w:left="0" w:right="0" w:firstLine="720"/>
        <w:jc w:val="left"/>
        <w:rPr>
          <w:rFonts w:ascii="Times New Roman" w:hAnsi="Times New Roman"/>
          <w:color w:val="000000"/>
          <w:sz w:val="24"/>
        </w:rPr>
      </w:pPr>
      <w:r>
        <w:rPr>
          <w:rFonts w:ascii="Times New Roman" w:hAnsi="Times New Roman"/>
          <w:color w:val="000000"/>
          <w:sz w:val="24"/>
        </w:rPr>
        <w:t>(c) Acceptance of the Company’s Restrictive Covenant Agreement (PIIA)</w:t>
      </w:r>
    </w:p>
    <w:p>
      <w:pPr>
        <w:pStyle w:val="TextBody"/>
        <w:bidi w:val="0"/>
        <w:spacing w:before="0" w:after="120"/>
        <w:ind w:left="0" w:right="0" w:firstLine="720"/>
        <w:jc w:val="left"/>
        <w:rPr>
          <w:rFonts w:ascii="Times New Roman" w:hAnsi="Times New Roman"/>
          <w:color w:val="000000"/>
          <w:sz w:val="24"/>
        </w:rPr>
      </w:pPr>
      <w:r>
        <w:rPr>
          <w:rFonts w:ascii="Times New Roman" w:hAnsi="Times New Roman"/>
          <w:color w:val="000000"/>
          <w:sz w:val="24"/>
        </w:rPr>
        <w:t>(d) Acceptance of the Company’s Mutual Agreement to Arbitrate.</w:t>
      </w:r>
    </w:p>
    <w:p>
      <w:pPr>
        <w:pStyle w:val="TextBody"/>
        <w:bidi w:val="0"/>
        <w:spacing w:before="0" w:after="120"/>
        <w:ind w:left="0" w:right="0" w:firstLine="720"/>
        <w:jc w:val="left"/>
        <w:rPr>
          <w:rFonts w:ascii="Times New Roman" w:hAnsi="Times New Roman"/>
          <w:color w:val="000000"/>
          <w:sz w:val="24"/>
        </w:rPr>
      </w:pPr>
      <w:r>
        <w:rPr>
          <w:rFonts w:ascii="Times New Roman" w:hAnsi="Times New Roman"/>
          <w:color w:val="000000"/>
          <w:sz w:val="24"/>
        </w:rPr>
        <w:t>(e) Satisfactory completion of the Company required background check.</w:t>
      </w:r>
    </w:p>
    <w:p>
      <w:pPr>
        <w:pStyle w:val="TextBody"/>
        <w:bidi w:val="0"/>
        <w:spacing w:before="0" w:after="120"/>
        <w:ind w:left="0" w:right="0" w:firstLine="720"/>
        <w:jc w:val="left"/>
        <w:rPr>
          <w:rFonts w:ascii="Times New Roman" w:hAnsi="Times New Roman"/>
          <w:color w:val="000000"/>
          <w:sz w:val="24"/>
        </w:rPr>
      </w:pPr>
      <w:r>
        <w:rPr>
          <w:rFonts w:ascii="Times New Roman" w:hAnsi="Times New Roman"/>
          <w:color w:val="000000"/>
          <w:sz w:val="24"/>
        </w:rPr>
        <w:t>(f) Satisfactory completion of professional reference checks.</w:t>
      </w:r>
    </w:p>
    <w:p>
      <w:pPr>
        <w:pStyle w:val="TextBody"/>
        <w:bidi w:val="0"/>
        <w:spacing w:before="120" w:after="120"/>
        <w:ind w:left="0" w:right="180" w:hanging="0"/>
        <w:jc w:val="both"/>
        <w:rPr>
          <w:rFonts w:ascii="Times New Roman" w:hAnsi="Times New Roman"/>
          <w:color w:val="000000"/>
          <w:sz w:val="24"/>
        </w:rPr>
      </w:pPr>
      <w:r>
        <w:rPr>
          <w:rFonts w:ascii="Times New Roman" w:hAnsi="Times New Roman"/>
          <w:color w:val="000000"/>
          <w:sz w:val="24"/>
        </w:rPr>
        <w:t>The Company’s standard background check includes, but is not limited to, a criminal record check, verification of driving record for positions involving driving, and verification of previous employment and references.</w:t>
      </w:r>
    </w:p>
    <w:p>
      <w:pPr>
        <w:pStyle w:val="TextBody"/>
        <w:bidi w:val="0"/>
        <w:spacing w:before="0" w:after="120"/>
        <w:ind w:left="0" w:right="180" w:hanging="0"/>
        <w:jc w:val="both"/>
        <w:rPr>
          <w:rFonts w:ascii="Times New Roman" w:hAnsi="Times New Roman"/>
          <w:color w:val="000000"/>
          <w:sz w:val="24"/>
        </w:rPr>
      </w:pPr>
      <w:r>
        <w:rPr>
          <w:rFonts w:ascii="Times New Roman" w:hAnsi="Times New Roman"/>
          <w:color w:val="000000"/>
          <w:sz w:val="24"/>
        </w:rPr>
        <w:t>To indicate acceptance of the Company's employment letter under the terms described above, please sign and date this letter in the space below, and return it to me by no later than July 14, 2026. If you accept our offer, your employment with the Company will commence on the Start Date, July 20, 2026.</w:t>
      </w:r>
    </w:p>
    <w:p>
      <w:pPr>
        <w:pStyle w:val="TextBody"/>
        <w:bidi w:val="0"/>
        <w:spacing w:before="0" w:after="120"/>
        <w:ind w:left="0" w:right="180" w:hanging="0"/>
        <w:jc w:val="both"/>
        <w:rPr>
          <w:rFonts w:ascii="Times New Roman" w:hAnsi="Times New Roman"/>
          <w:color w:val="000000"/>
          <w:sz w:val="24"/>
        </w:rPr>
      </w:pPr>
      <w:r>
        <w:rPr>
          <w:rFonts w:ascii="Times New Roman" w:hAnsi="Times New Roman"/>
          <w:color w:val="000000"/>
          <w:sz w:val="24"/>
        </w:rPr>
        <w:t>We thank you once again for your interest in the Company and our novel technology, and very much look forward to your favorable reply and to a productive and mutually rewarding working relationship.</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/s/ J. Andy Corley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 Andy Corley</w:t>
        <w:br/>
        <w:t>Chairman of the Board of Directors</w:t>
        <w:br/>
        <w:t>RxSight, Inc.</w:t>
      </w:r>
    </w:p>
    <w:p>
      <w:pPr>
        <w:pStyle w:val="TextBody"/>
        <w:bidi w:val="0"/>
        <w:jc w:val="left"/>
        <w:rPr>
          <w:rFonts w:ascii="Times New Roman" w:hAnsi="Times New Roman"/>
          <w:sz w:val="20"/>
        </w:rPr>
      </w:pPr>
      <w:r>
        <w:rPr>
          <w:rFonts w:ascii="Times New Roman" w:hAnsi="Times New Roman"/>
          <w:color w:val="000000"/>
          <w:sz w:val="18"/>
        </w:rPr>
        <w:t>RxSight, Inc. 100 Columbia, Suite 120, Aliso Viejo, CA, 92656</w:t>
      </w:r>
      <w:r>
        <w:rPr>
          <w:rFonts w:ascii="Times New Roman" w:hAnsi="Times New Roman"/>
          <w:color w:val="000000"/>
          <w:sz w:val="20"/>
        </w:rPr>
        <w:t xml:space="preserve"> </w:t>
      </w:r>
      <w:r>
        <w:rPr>
          <w:rFonts w:ascii="Aptos;sans-serif" w:hAnsi="Aptos;sans-serif"/>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have read and understood this Agreement and have been afforded an opportunity to consult with counsel, and hereby acknowledge, accept and agree to the terms as set forth herein and further acknowledge that no other commitments were made to me as part of my employment offer except as specifically set forth herein.</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July 13, 2026</w:t>
      </w:r>
      <w:r>
        <w:rPr>
          <w:rFonts w:ascii="Times New Roman" w:hAnsi="Times New Roman"/>
          <w:color w:val="000000"/>
          <w:sz w:val="24"/>
        </w:rPr>
        <w:t xml:space="preserve">_________ </w:t>
      </w:r>
      <w:r>
        <w:rPr>
          <w:rFonts w:ascii="Times New Roman" w:hAnsi="Times New Roman"/>
          <w:color w:val="000000"/>
          <w:sz w:val="24"/>
          <w:u w:val="single"/>
        </w:rPr>
        <w:t>/s/ Aziz Mottiwala</w:t>
      </w:r>
      <w:r>
        <w:rPr>
          <w:rFonts w:ascii="Times New Roman" w:hAnsi="Times New Roman"/>
          <w:color w:val="000000"/>
          <w:sz w:val="24"/>
        </w:rPr>
        <w:t>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Date Aziz Mottiwala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RxSight, Inc. 100 Columbia, Suite 120, Aliso Viejo, CA, 92656</w:t>
      </w:r>
      <w:r>
        <w:rPr>
          <w:rFonts w:ascii="Times New Roman" w:hAnsi="Times New Roman"/>
          <w:color w:val="000000"/>
          <w:sz w:val="20"/>
        </w:rPr>
        <w:t xml:space="preserve"> </w:t>
      </w:r>
      <w:r>
        <w:rPr>
          <w:rFonts w:ascii="Aptos;sans-serif" w:hAnsi="Aptos;sans-serif"/>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191" w:right="76" w:hanging="0"/>
        <w:jc w:val="center"/>
        <w:rPr>
          <w:rFonts w:ascii="Times New Roman" w:hAnsi="Times New Roman"/>
          <w:b/>
          <w:color w:val="313131"/>
          <w:sz w:val="23"/>
        </w:rPr>
      </w:pPr>
      <w:r>
        <w:rPr>
          <w:rFonts w:ascii="Times New Roman" w:hAnsi="Times New Roman"/>
          <w:b/>
          <w:color w:val="313131"/>
          <w:sz w:val="23"/>
        </w:rPr>
        <w:t>Exhibit A</w:t>
      </w:r>
    </w:p>
    <w:p>
      <w:pPr>
        <w:pStyle w:val="TextBody"/>
        <w:bidi w:val="0"/>
        <w:spacing w:before="19" w:after="283"/>
        <w:jc w:val="left"/>
        <w:rPr/>
      </w:pPr>
      <w:r>
        <w:rPr/>
        <w:t> </w:t>
      </w:r>
    </w:p>
    <w:p>
      <w:pPr>
        <w:pStyle w:val="TextBody"/>
        <w:bidi w:val="0"/>
        <w:ind w:left="168" w:right="76" w:hanging="0"/>
        <w:jc w:val="center"/>
        <w:rPr>
          <w:rFonts w:ascii="Times New Roman" w:hAnsi="Times New Roman"/>
          <w:sz w:val="20"/>
        </w:rPr>
      </w:pPr>
      <w:r>
        <w:rPr>
          <w:rFonts w:ascii="Times New Roman" w:hAnsi="Times New Roman"/>
          <w:b/>
          <w:color w:val="313131"/>
          <w:sz w:val="23"/>
        </w:rPr>
        <w:t xml:space="preserve">SECTION 7 OF THE </w:t>
      </w:r>
      <w:r>
        <w:rPr>
          <w:rFonts w:ascii="Times New Roman" w:hAnsi="Times New Roman"/>
          <w:b/>
          <w:color w:val="1F1F1F"/>
          <w:sz w:val="23"/>
        </w:rPr>
        <w:t xml:space="preserve">DEFEND </w:t>
      </w:r>
      <w:r>
        <w:rPr>
          <w:rFonts w:ascii="Times New Roman" w:hAnsi="Times New Roman"/>
          <w:b/>
          <w:color w:val="313131"/>
          <w:sz w:val="23"/>
        </w:rPr>
        <w:t>TRADE SECRETS ACT OF 2016</w:t>
      </w:r>
    </w:p>
    <w:p>
      <w:pPr>
        <w:pStyle w:val="TextBody"/>
        <w:bidi w:val="0"/>
        <w:spacing w:before="27" w:after="283"/>
        <w:jc w:val="left"/>
        <w:rPr/>
      </w:pPr>
      <w:r>
        <w:rPr/>
        <w:t> </w:t>
      </w:r>
    </w:p>
    <w:p>
      <w:pPr>
        <w:pStyle w:val="TextBody"/>
        <w:bidi w:val="0"/>
        <w:ind w:left="222" w:right="155" w:firstLine="17"/>
        <w:jc w:val="both"/>
        <w:rPr/>
      </w:pPr>
      <w:r>
        <w:rPr>
          <w:color w:val="464646"/>
        </w:rPr>
        <w:t xml:space="preserve">“ </w:t>
      </w:r>
      <w:r>
        <w:rPr>
          <w:rFonts w:ascii="Times New Roman" w:hAnsi="Times New Roman"/>
          <w:color w:val="464646"/>
          <w:sz w:val="23"/>
        </w:rPr>
        <w:t xml:space="preserve">... </w:t>
      </w:r>
      <w:r>
        <w:rPr>
          <w:rFonts w:ascii="Times New Roman" w:hAnsi="Times New Roman"/>
          <w:color w:val="313131"/>
          <w:sz w:val="23"/>
        </w:rPr>
        <w:t xml:space="preserve">An individual </w:t>
      </w:r>
      <w:r>
        <w:rPr>
          <w:rFonts w:ascii="Times New Roman" w:hAnsi="Times New Roman"/>
          <w:color w:val="464646"/>
          <w:sz w:val="23"/>
        </w:rPr>
        <w:t xml:space="preserve">shall </w:t>
      </w:r>
      <w:r>
        <w:rPr>
          <w:rFonts w:ascii="Times New Roman" w:hAnsi="Times New Roman"/>
          <w:color w:val="313131"/>
          <w:sz w:val="23"/>
        </w:rPr>
        <w:t xml:space="preserve">not be held criminally </w:t>
      </w:r>
      <w:r>
        <w:rPr>
          <w:rFonts w:ascii="Times New Roman" w:hAnsi="Times New Roman"/>
          <w:color w:val="464646"/>
          <w:sz w:val="23"/>
        </w:rPr>
        <w:t>or c</w:t>
      </w:r>
      <w:r>
        <w:rPr>
          <w:rFonts w:ascii="Times New Roman" w:hAnsi="Times New Roman"/>
          <w:color w:val="1F1F1F"/>
          <w:sz w:val="23"/>
        </w:rPr>
        <w:t>ivill</w:t>
      </w:r>
      <w:r>
        <w:rPr>
          <w:rFonts w:ascii="Times New Roman" w:hAnsi="Times New Roman"/>
          <w:color w:val="464646"/>
          <w:sz w:val="23"/>
        </w:rPr>
        <w:t xml:space="preserve">y </w:t>
      </w:r>
      <w:r>
        <w:rPr>
          <w:rFonts w:ascii="Times New Roman" w:hAnsi="Times New Roman"/>
          <w:color w:val="313131"/>
          <w:sz w:val="23"/>
        </w:rPr>
        <w:t xml:space="preserve">liable under any Federal </w:t>
      </w:r>
      <w:r>
        <w:rPr>
          <w:rFonts w:ascii="Times New Roman" w:hAnsi="Times New Roman"/>
          <w:color w:val="464646"/>
          <w:sz w:val="23"/>
        </w:rPr>
        <w:t>o</w:t>
      </w:r>
      <w:r>
        <w:rPr>
          <w:rFonts w:ascii="Times New Roman" w:hAnsi="Times New Roman"/>
          <w:color w:val="1F1F1F"/>
          <w:sz w:val="23"/>
        </w:rPr>
        <w:t xml:space="preserve">r </w:t>
      </w:r>
      <w:r>
        <w:rPr>
          <w:rFonts w:ascii="Times New Roman" w:hAnsi="Times New Roman"/>
          <w:color w:val="313131"/>
          <w:sz w:val="23"/>
        </w:rPr>
        <w:t xml:space="preserve">State trade </w:t>
      </w:r>
      <w:r>
        <w:rPr>
          <w:rFonts w:ascii="Times New Roman" w:hAnsi="Times New Roman"/>
          <w:color w:val="464646"/>
          <w:sz w:val="23"/>
        </w:rPr>
        <w:t>sec</w:t>
      </w:r>
      <w:r>
        <w:rPr>
          <w:rFonts w:ascii="Times New Roman" w:hAnsi="Times New Roman"/>
          <w:color w:val="1F1F1F"/>
          <w:sz w:val="23"/>
        </w:rPr>
        <w:t xml:space="preserve">ret law </w:t>
      </w:r>
      <w:r>
        <w:rPr>
          <w:rFonts w:ascii="Times New Roman" w:hAnsi="Times New Roman"/>
          <w:color w:val="313131"/>
          <w:sz w:val="23"/>
        </w:rPr>
        <w:t xml:space="preserve">for the disclosure </w:t>
      </w:r>
      <w:r>
        <w:rPr>
          <w:rFonts w:ascii="Times New Roman" w:hAnsi="Times New Roman"/>
          <w:color w:val="464646"/>
          <w:sz w:val="23"/>
        </w:rPr>
        <w:t xml:space="preserve">of </w:t>
      </w:r>
      <w:r>
        <w:rPr>
          <w:rFonts w:ascii="Times New Roman" w:hAnsi="Times New Roman"/>
          <w:color w:val="313131"/>
          <w:sz w:val="23"/>
        </w:rPr>
        <w:t xml:space="preserve">a trade </w:t>
      </w:r>
      <w:r>
        <w:rPr>
          <w:rFonts w:ascii="Times New Roman" w:hAnsi="Times New Roman"/>
          <w:color w:val="464646"/>
          <w:sz w:val="23"/>
        </w:rPr>
        <w:t>secre</w:t>
      </w:r>
      <w:r>
        <w:rPr>
          <w:rFonts w:ascii="Times New Roman" w:hAnsi="Times New Roman"/>
          <w:color w:val="1F1F1F"/>
          <w:sz w:val="23"/>
        </w:rPr>
        <w:t xml:space="preserve">t </w:t>
      </w:r>
      <w:r>
        <w:rPr>
          <w:rFonts w:ascii="Times New Roman" w:hAnsi="Times New Roman"/>
          <w:color w:val="313131"/>
          <w:sz w:val="23"/>
        </w:rPr>
        <w:t xml:space="preserve">that-(A) </w:t>
      </w:r>
      <w:r>
        <w:rPr>
          <w:rFonts w:ascii="Times New Roman" w:hAnsi="Times New Roman"/>
          <w:color w:val="464646"/>
          <w:sz w:val="23"/>
        </w:rPr>
        <w:t xml:space="preserve">is </w:t>
      </w:r>
      <w:r>
        <w:rPr>
          <w:rFonts w:ascii="Times New Roman" w:hAnsi="Times New Roman"/>
          <w:color w:val="313131"/>
          <w:sz w:val="23"/>
        </w:rPr>
        <w:t>made-(i) in confidence to a Federal</w:t>
      </w:r>
      <w:r>
        <w:rPr>
          <w:rFonts w:ascii="Times New Roman" w:hAnsi="Times New Roman"/>
          <w:color w:val="5E6062"/>
          <w:sz w:val="23"/>
        </w:rPr>
        <w:t xml:space="preserve">, </w:t>
      </w:r>
      <w:r>
        <w:rPr>
          <w:rFonts w:ascii="Times New Roman" w:hAnsi="Times New Roman"/>
          <w:color w:val="313131"/>
          <w:sz w:val="23"/>
        </w:rPr>
        <w:t xml:space="preserve">State, or </w:t>
      </w:r>
      <w:r>
        <w:rPr>
          <w:rFonts w:ascii="Times New Roman" w:hAnsi="Times New Roman"/>
          <w:color w:val="1F1F1F"/>
          <w:sz w:val="23"/>
        </w:rPr>
        <w:t xml:space="preserve">local </w:t>
      </w:r>
      <w:r>
        <w:rPr>
          <w:rFonts w:ascii="Times New Roman" w:hAnsi="Times New Roman"/>
          <w:color w:val="313131"/>
          <w:sz w:val="23"/>
        </w:rPr>
        <w:t xml:space="preserve">government official, either directly or indirectly, or </w:t>
      </w:r>
      <w:r>
        <w:rPr>
          <w:rFonts w:ascii="Times New Roman" w:hAnsi="Times New Roman"/>
          <w:color w:val="1F1F1F"/>
          <w:sz w:val="23"/>
        </w:rPr>
        <w:t xml:space="preserve">to </w:t>
      </w:r>
      <w:r>
        <w:rPr>
          <w:rFonts w:ascii="Times New Roman" w:hAnsi="Times New Roman"/>
          <w:color w:val="313131"/>
          <w:sz w:val="23"/>
        </w:rPr>
        <w:t xml:space="preserve">an attorney; and </w:t>
      </w:r>
      <w:r>
        <w:rPr>
          <w:rFonts w:ascii="Times New Roman" w:hAnsi="Times New Roman"/>
          <w:color w:val="464646"/>
          <w:sz w:val="23"/>
        </w:rPr>
        <w:t xml:space="preserve">(ii) </w:t>
      </w:r>
      <w:r>
        <w:rPr>
          <w:rFonts w:ascii="Times New Roman" w:hAnsi="Times New Roman"/>
          <w:color w:val="313131"/>
          <w:sz w:val="23"/>
        </w:rPr>
        <w:t xml:space="preserve">solely for the purpose </w:t>
      </w:r>
      <w:r>
        <w:rPr>
          <w:rFonts w:ascii="Times New Roman" w:hAnsi="Times New Roman"/>
          <w:color w:val="464646"/>
          <w:sz w:val="23"/>
        </w:rPr>
        <w:t xml:space="preserve">of </w:t>
      </w:r>
      <w:r>
        <w:rPr>
          <w:rFonts w:ascii="Times New Roman" w:hAnsi="Times New Roman"/>
          <w:color w:val="313131"/>
          <w:sz w:val="23"/>
        </w:rPr>
        <w:t xml:space="preserve">reporting or </w:t>
      </w:r>
      <w:r>
        <w:rPr>
          <w:rFonts w:ascii="Times New Roman" w:hAnsi="Times New Roman"/>
          <w:color w:val="1F1F1F"/>
          <w:sz w:val="23"/>
        </w:rPr>
        <w:t>investiga</w:t>
      </w:r>
      <w:r>
        <w:rPr>
          <w:rFonts w:ascii="Times New Roman" w:hAnsi="Times New Roman"/>
          <w:color w:val="464646"/>
          <w:sz w:val="23"/>
        </w:rPr>
        <w:t>ting a suspected violation</w:t>
      </w:r>
      <w:r>
        <w:rPr>
          <w:rFonts w:ascii="Times New Roman" w:hAnsi="Times New Roman"/>
          <w:color w:val="1F1F1F"/>
          <w:sz w:val="20"/>
        </w:rPr>
        <w:t xml:space="preserve"> </w:t>
      </w:r>
      <w:r>
        <w:rPr>
          <w:rFonts w:ascii="Times New Roman" w:hAnsi="Times New Roman"/>
          <w:color w:val="313131"/>
          <w:sz w:val="23"/>
        </w:rPr>
        <w:t xml:space="preserve">of law; or </w:t>
      </w:r>
      <w:r>
        <w:rPr>
          <w:rFonts w:ascii="Times New Roman" w:hAnsi="Times New Roman"/>
          <w:color w:val="464646"/>
          <w:sz w:val="23"/>
        </w:rPr>
        <w:t xml:space="preserve">(B) </w:t>
      </w:r>
      <w:r>
        <w:rPr>
          <w:rFonts w:ascii="Times New Roman" w:hAnsi="Times New Roman"/>
          <w:color w:val="313131"/>
          <w:sz w:val="23"/>
        </w:rPr>
        <w:t xml:space="preserve">is made in a complaint or other document filed in a </w:t>
      </w:r>
      <w:r>
        <w:rPr>
          <w:rFonts w:ascii="Times New Roman" w:hAnsi="Times New Roman"/>
          <w:color w:val="1F1F1F"/>
          <w:sz w:val="23"/>
        </w:rPr>
        <w:t>law</w:t>
      </w:r>
      <w:r>
        <w:rPr>
          <w:rFonts w:ascii="Times New Roman" w:hAnsi="Times New Roman"/>
          <w:color w:val="464646"/>
          <w:sz w:val="23"/>
        </w:rPr>
        <w:t>su</w:t>
      </w:r>
      <w:r>
        <w:rPr>
          <w:rFonts w:ascii="Times New Roman" w:hAnsi="Times New Roman"/>
          <w:color w:val="1F1F1F"/>
          <w:sz w:val="23"/>
        </w:rPr>
        <w:t xml:space="preserve">it </w:t>
      </w:r>
      <w:r>
        <w:rPr>
          <w:rFonts w:ascii="Times New Roman" w:hAnsi="Times New Roman"/>
          <w:color w:val="313131"/>
          <w:sz w:val="23"/>
        </w:rPr>
        <w:t xml:space="preserve">or other proceeding, if such filing is made under seal. </w:t>
      </w:r>
      <w:r>
        <w:rPr>
          <w:rFonts w:ascii="Times New Roman" w:hAnsi="Times New Roman"/>
          <w:color w:val="464646"/>
          <w:sz w:val="23"/>
        </w:rPr>
        <w:t>..</w:t>
      </w:r>
      <w:r>
        <w:rPr>
          <w:rFonts w:ascii="Times New Roman" w:hAnsi="Times New Roman"/>
          <w:color w:val="000000"/>
          <w:sz w:val="23"/>
        </w:rPr>
        <w:t xml:space="preserve">. </w:t>
      </w:r>
      <w:r>
        <w:rPr>
          <w:rFonts w:ascii="Times New Roman" w:hAnsi="Times New Roman"/>
          <w:color w:val="313131"/>
          <w:sz w:val="23"/>
        </w:rPr>
        <w:t xml:space="preserve">An individual who files </w:t>
      </w:r>
      <w:r>
        <w:rPr>
          <w:rFonts w:ascii="Times New Roman" w:hAnsi="Times New Roman"/>
          <w:color w:val="464646"/>
          <w:sz w:val="23"/>
        </w:rPr>
        <w:t xml:space="preserve">a </w:t>
      </w:r>
      <w:r>
        <w:rPr>
          <w:rFonts w:ascii="Times New Roman" w:hAnsi="Times New Roman"/>
          <w:color w:val="1F1F1F"/>
          <w:sz w:val="23"/>
        </w:rPr>
        <w:t xml:space="preserve">lawsuit </w:t>
      </w:r>
      <w:r>
        <w:rPr>
          <w:rFonts w:ascii="Times New Roman" w:hAnsi="Times New Roman"/>
          <w:color w:val="313131"/>
          <w:sz w:val="23"/>
        </w:rPr>
        <w:t xml:space="preserve">for retaliation </w:t>
      </w:r>
      <w:r>
        <w:rPr>
          <w:rFonts w:ascii="Times New Roman" w:hAnsi="Times New Roman"/>
          <w:color w:val="1F1F1F"/>
          <w:sz w:val="23"/>
        </w:rPr>
        <w:t xml:space="preserve">by </w:t>
      </w:r>
      <w:r>
        <w:rPr>
          <w:rFonts w:ascii="Times New Roman" w:hAnsi="Times New Roman"/>
          <w:color w:val="313131"/>
          <w:sz w:val="23"/>
        </w:rPr>
        <w:t xml:space="preserve">an employer for reporting a </w:t>
      </w:r>
      <w:r>
        <w:rPr>
          <w:rFonts w:ascii="Times New Roman" w:hAnsi="Times New Roman"/>
          <w:color w:val="464646"/>
          <w:sz w:val="23"/>
        </w:rPr>
        <w:t>suspected vio</w:t>
      </w:r>
      <w:r>
        <w:rPr>
          <w:rFonts w:ascii="Times New Roman" w:hAnsi="Times New Roman"/>
          <w:color w:val="1F1F1F"/>
          <w:sz w:val="23"/>
        </w:rPr>
        <w:t>lati</w:t>
      </w:r>
      <w:r>
        <w:rPr>
          <w:rFonts w:ascii="Times New Roman" w:hAnsi="Times New Roman"/>
          <w:color w:val="464646"/>
          <w:sz w:val="23"/>
        </w:rPr>
        <w:t>o</w:t>
      </w:r>
      <w:r>
        <w:rPr>
          <w:rFonts w:ascii="Times New Roman" w:hAnsi="Times New Roman"/>
          <w:color w:val="1F1F1F"/>
          <w:sz w:val="23"/>
        </w:rPr>
        <w:t xml:space="preserve">n </w:t>
      </w:r>
      <w:r>
        <w:rPr>
          <w:rFonts w:ascii="Times New Roman" w:hAnsi="Times New Roman"/>
          <w:color w:val="313131"/>
          <w:sz w:val="23"/>
        </w:rPr>
        <w:t xml:space="preserve">of </w:t>
      </w:r>
      <w:r>
        <w:rPr>
          <w:rFonts w:ascii="Times New Roman" w:hAnsi="Times New Roman"/>
          <w:color w:val="1F1F1F"/>
          <w:sz w:val="23"/>
        </w:rPr>
        <w:t xml:space="preserve">law </w:t>
      </w:r>
      <w:r>
        <w:rPr>
          <w:rFonts w:ascii="Times New Roman" w:hAnsi="Times New Roman"/>
          <w:color w:val="313131"/>
          <w:sz w:val="23"/>
        </w:rPr>
        <w:t xml:space="preserve">may </w:t>
      </w:r>
      <w:r>
        <w:rPr>
          <w:rFonts w:ascii="Times New Roman" w:hAnsi="Times New Roman"/>
          <w:color w:val="1F1F1F"/>
          <w:sz w:val="23"/>
        </w:rPr>
        <w:t>disclo</w:t>
      </w:r>
      <w:r>
        <w:rPr>
          <w:rFonts w:ascii="Times New Roman" w:hAnsi="Times New Roman"/>
          <w:color w:val="464646"/>
          <w:sz w:val="23"/>
        </w:rPr>
        <w:t xml:space="preserve">se </w:t>
      </w:r>
      <w:r>
        <w:rPr>
          <w:rFonts w:ascii="Times New Roman" w:hAnsi="Times New Roman"/>
          <w:color w:val="313131"/>
          <w:sz w:val="23"/>
        </w:rPr>
        <w:t xml:space="preserve">the </w:t>
      </w:r>
      <w:r>
        <w:rPr>
          <w:rFonts w:ascii="Times New Roman" w:hAnsi="Times New Roman"/>
          <w:color w:val="1F1F1F"/>
          <w:sz w:val="23"/>
        </w:rPr>
        <w:t xml:space="preserve">trade </w:t>
      </w:r>
      <w:r>
        <w:rPr>
          <w:rFonts w:ascii="Times New Roman" w:hAnsi="Times New Roman"/>
          <w:color w:val="313131"/>
          <w:sz w:val="23"/>
        </w:rPr>
        <w:t xml:space="preserve">secret to the attorney of the individual and use the trade secret information in </w:t>
      </w:r>
      <w:r>
        <w:rPr>
          <w:rFonts w:ascii="Times New Roman" w:hAnsi="Times New Roman"/>
          <w:color w:val="1F1F1F"/>
          <w:sz w:val="23"/>
        </w:rPr>
        <w:t xml:space="preserve">the </w:t>
      </w:r>
      <w:r>
        <w:rPr>
          <w:rFonts w:ascii="Times New Roman" w:hAnsi="Times New Roman"/>
          <w:color w:val="313131"/>
          <w:sz w:val="23"/>
        </w:rPr>
        <w:t>court proceeding</w:t>
      </w:r>
      <w:r>
        <w:rPr>
          <w:rFonts w:ascii="Times New Roman" w:hAnsi="Times New Roman"/>
          <w:color w:val="5E6062"/>
          <w:sz w:val="23"/>
        </w:rPr>
        <w:t xml:space="preserve">, </w:t>
      </w:r>
      <w:r>
        <w:rPr>
          <w:rFonts w:ascii="Times New Roman" w:hAnsi="Times New Roman"/>
          <w:color w:val="313131"/>
          <w:sz w:val="23"/>
        </w:rPr>
        <w:t xml:space="preserve">if the individual-(A) files any document containing the trade </w:t>
      </w:r>
      <w:r>
        <w:rPr>
          <w:rFonts w:ascii="Times New Roman" w:hAnsi="Times New Roman"/>
          <w:color w:val="464646"/>
          <w:sz w:val="23"/>
        </w:rPr>
        <w:t xml:space="preserve">secret </w:t>
      </w:r>
      <w:r>
        <w:rPr>
          <w:rFonts w:ascii="Times New Roman" w:hAnsi="Times New Roman"/>
          <w:color w:val="313131"/>
          <w:sz w:val="23"/>
        </w:rPr>
        <w:t xml:space="preserve">under </w:t>
      </w:r>
      <w:r>
        <w:rPr>
          <w:rFonts w:ascii="Times New Roman" w:hAnsi="Times New Roman"/>
          <w:color w:val="464646"/>
          <w:sz w:val="23"/>
        </w:rPr>
        <w:t xml:space="preserve">seal; </w:t>
      </w:r>
      <w:r>
        <w:rPr>
          <w:rFonts w:ascii="Times New Roman" w:hAnsi="Times New Roman"/>
          <w:color w:val="313131"/>
          <w:sz w:val="23"/>
        </w:rPr>
        <w:t xml:space="preserve">and (B) does not disclose the trade </w:t>
      </w:r>
      <w:r>
        <w:rPr>
          <w:rFonts w:ascii="Times New Roman" w:hAnsi="Times New Roman"/>
          <w:color w:val="464646"/>
          <w:sz w:val="23"/>
        </w:rPr>
        <w:t>secret</w:t>
      </w:r>
      <w:r>
        <w:rPr>
          <w:rFonts w:ascii="Times New Roman" w:hAnsi="Times New Roman"/>
          <w:color w:val="5E6062"/>
          <w:sz w:val="23"/>
        </w:rPr>
        <w:t xml:space="preserve">, </w:t>
      </w:r>
      <w:r>
        <w:rPr>
          <w:rFonts w:ascii="Times New Roman" w:hAnsi="Times New Roman"/>
          <w:color w:val="313131"/>
          <w:sz w:val="23"/>
        </w:rPr>
        <w:t>except pursuant to court order.”</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color w:val="000000"/>
          <w:sz w:val="18"/>
        </w:rPr>
        <w:t>RxSight, Inc. 100 Columbia, Suite 120, Aliso Viejo, CA, 92656</w:t>
      </w:r>
      <w:r>
        <w:rPr>
          <w:rFonts w:ascii="Times New Roman" w:hAnsi="Times New Roman"/>
          <w:color w:val="000000"/>
          <w:sz w:val="20"/>
        </w:rPr>
        <w:t xml:space="preserve"> </w:t>
      </w:r>
      <w:r>
        <w:rPr>
          <w:rFonts w:ascii="Aptos;sans-serif" w:hAnsi="Aptos;sans-serif"/>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bookmarkStart w:id="23" w:name="rxst-ex10_2.htm"/>
      <w:bookmarkStart w:id="24" w:name="ksrxstex10_2"/>
      <w:bookmarkEnd w:id="23"/>
      <w:bookmarkEnd w:id="24"/>
      <w:r>
        <w:rPr/>
        <w:t> </w:t>
      </w:r>
      <w:r>
        <w:br w:type="page"/>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RXSIGHT,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CHANGE IN CONTROL SEVERANCE AGREEMENT</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4"/>
        </w:rPr>
        <w:t>This Change in Control Severance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between RxSight,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Aziz Mottiwala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effective as of July 20,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200" w:after="283"/>
        <w:ind w:left="0" w:right="0" w:firstLine="720"/>
        <w:jc w:val="both"/>
        <w:rPr>
          <w:rFonts w:ascii="Times New Roman" w:hAnsi="Times New Roman"/>
          <w:sz w:val="20"/>
        </w:rPr>
      </w:pPr>
      <w:r>
        <w:rPr>
          <w:rFonts w:ascii="Times New Roman" w:hAnsi="Times New Roman"/>
          <w:color w:val="000000"/>
          <w:sz w:val="24"/>
        </w:rPr>
        <w:t xml:space="preserve">This Agreement provides certain protections to the Executive in connection with a change in control of the Company or in connection with the involuntary termination of the Executive’s employment under the circumstances described in this Agreement. Certain capitalized terms are defined in </w:t>
      </w:r>
      <w:r>
        <w:rPr>
          <w:rFonts w:ascii="Times New Roman" w:hAnsi="Times New Roman"/>
          <w:color w:val="000000"/>
          <w:sz w:val="24"/>
          <w:u w:val="single"/>
        </w:rPr>
        <w:t>Section 8</w:t>
      </w:r>
      <w:r>
        <w:rPr>
          <w:rFonts w:ascii="Times New Roman" w:hAnsi="Times New Roman"/>
          <w:color w:val="000000"/>
          <w:sz w:val="20"/>
        </w:rPr>
        <w:t xml:space="preserve"> </w:t>
      </w:r>
      <w:r>
        <w:rPr>
          <w:rFonts w:ascii="Times New Roman" w:hAnsi="Times New Roman"/>
          <w:color w:val="000000"/>
          <w:sz w:val="24"/>
        </w:rPr>
        <w:t>to the extent not otherwise defined in other Sections of the Agreement.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The Company and the Executive agree as follows: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Term of Agreement</w:t>
      </w:r>
      <w:r>
        <w:rPr>
          <w:rFonts w:ascii="Times New Roman" w:hAnsi="Times New Roman"/>
          <w:color w:val="000000"/>
          <w:sz w:val="24"/>
        </w:rPr>
        <w:t>. This Agreement is effective as of the Effective Date and will terminate upon the date that all of the obligations of the parties hereto with respect to this Agreement have been satisfied.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The Company and the Executive acknowledge that the Executive’s employment is and will continue to be at-will, as defined under applicable law.</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Severance Benefits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Qualifying Non-CIC Termination</w:t>
      </w:r>
      <w:r>
        <w:rPr>
          <w:rFonts w:ascii="Times New Roman" w:hAnsi="Times New Roman"/>
          <w:color w:val="000000"/>
          <w:sz w:val="24"/>
        </w:rPr>
        <w:t xml:space="preserve">. In the event of a Qualifying Non-CIC Termination (as defined below), and subject to </w:t>
      </w:r>
      <w:r>
        <w:rPr>
          <w:rFonts w:ascii="Times New Roman" w:hAnsi="Times New Roman"/>
          <w:color w:val="000000"/>
          <w:sz w:val="24"/>
          <w:u w:val="single"/>
        </w:rPr>
        <w:t>Sections 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rFonts w:ascii="Times New Roman" w:hAnsi="Times New Roman"/>
          <w:color w:val="000000"/>
          <w:sz w:val="24"/>
        </w:rPr>
        <w:t xml:space="preserve">, the Executive will be eligible to receive the following from the Company: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Salary Severance</w:t>
      </w:r>
      <w:r>
        <w:rPr>
          <w:rFonts w:ascii="Times New Roman" w:hAnsi="Times New Roman"/>
          <w:color w:val="000000"/>
          <w:sz w:val="24"/>
        </w:rPr>
        <w:t>. A single, lump sum payment equal to 12 months of the Executive’s Salary (as defined below),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Bonus Severance</w:t>
      </w:r>
      <w:r>
        <w:rPr>
          <w:rFonts w:ascii="Times New Roman" w:hAnsi="Times New Roman"/>
          <w:color w:val="000000"/>
          <w:sz w:val="24"/>
        </w:rPr>
        <w:t>. A single, lump sum payment equal to 12 months of the Executive’s target annual bonus as in effect for the fiscal year in which the Qualifying Non-CIC Termination occurs,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COBRA Coverage</w:t>
      </w:r>
      <w:r>
        <w:rPr>
          <w:rFonts w:ascii="Times New Roman" w:hAnsi="Times New Roman"/>
          <w:color w:val="000000"/>
          <w:sz w:val="24"/>
        </w:rPr>
        <w:t xml:space="preserve">. Subject to </w:t>
      </w:r>
      <w:r>
        <w:rPr>
          <w:rFonts w:ascii="Times New Roman" w:hAnsi="Times New Roman"/>
          <w:color w:val="000000"/>
          <w:sz w:val="24"/>
          <w:u w:val="single"/>
        </w:rPr>
        <w:t>Section 3(d)</w:t>
      </w:r>
      <w:r>
        <w:rPr>
          <w:rFonts w:ascii="Times New Roman" w:hAnsi="Times New Roman"/>
          <w:color w:val="000000"/>
          <w:sz w:val="24"/>
        </w:rPr>
        <w:t>,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 w:hAnsi="Times New Roman"/>
          <w:b/>
          <w:color w:val="000000"/>
          <w:sz w:val="24"/>
        </w:rPr>
        <w:t>COBRA Coverage</w:t>
      </w:r>
      <w:r>
        <w:rPr>
          <w:color w:val="000000"/>
        </w:rPr>
        <w:t>”</w:t>
      </w:r>
      <w:r>
        <w:rPr>
          <w:rFonts w:ascii="Times New Roman" w:hAnsi="Times New Roman"/>
          <w:color w:val="000000"/>
          <w:sz w:val="24"/>
        </w:rPr>
        <w:t xml:space="preserve">), until the earliest of (A) a period of 12 months from the date of the Executive’s termination of employment, (B) the date upon which the Executive (and the Executive’s eligible dependents, as applicable) becomes covered under similar plans, or (C) the date upon which the Executive ceases to be eligible for coverage under COBRA.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Qualifying CIC Termination</w:t>
      </w:r>
      <w:r>
        <w:rPr>
          <w:rFonts w:ascii="Times New Roman" w:hAnsi="Times New Roman"/>
          <w:color w:val="000000"/>
          <w:sz w:val="24"/>
        </w:rPr>
        <w:t xml:space="preserve">. In the event of a Qualifying CIC Termination (as defined below), and subject to </w:t>
      </w:r>
      <w:r>
        <w:rPr>
          <w:rFonts w:ascii="Times New Roman" w:hAnsi="Times New Roman"/>
          <w:color w:val="000000"/>
          <w:sz w:val="24"/>
          <w:u w:val="single"/>
        </w:rPr>
        <w:t>Sections 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rFonts w:ascii="Times New Roman" w:hAnsi="Times New Roman"/>
          <w:color w:val="000000"/>
          <w:sz w:val="24"/>
        </w:rPr>
        <w:t xml:space="preserve">, the Executive will be eligible to receive the following from the Company: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Salary Severance</w:t>
      </w:r>
      <w:r>
        <w:rPr>
          <w:rFonts w:ascii="Times New Roman" w:hAnsi="Times New Roman"/>
          <w:color w:val="000000"/>
          <w:sz w:val="24"/>
        </w:rPr>
        <w:t>. A single, lump sum payment equal to 18 months of the Executive’s Salary,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Bonus Severance</w:t>
      </w:r>
      <w:r>
        <w:rPr>
          <w:rFonts w:ascii="Times New Roman" w:hAnsi="Times New Roman"/>
          <w:color w:val="000000"/>
          <w:sz w:val="24"/>
        </w:rPr>
        <w:t>. A single, lump sum payment equal to 18 months of the Executive’s target annual bonus as in effect for the fiscal year in which the Qualifying CIC Termination occurs,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COBRA Coverage</w:t>
      </w:r>
      <w:r>
        <w:rPr>
          <w:rFonts w:ascii="Times New Roman" w:hAnsi="Times New Roman"/>
          <w:color w:val="000000"/>
          <w:sz w:val="24"/>
        </w:rPr>
        <w:t xml:space="preserve">. Subject to </w:t>
      </w:r>
      <w:r>
        <w:rPr>
          <w:rFonts w:ascii="Times New Roman" w:hAnsi="Times New Roman"/>
          <w:color w:val="000000"/>
          <w:sz w:val="24"/>
          <w:u w:val="single"/>
        </w:rPr>
        <w:t>Section 3(d)</w:t>
      </w:r>
      <w:r>
        <w:rPr>
          <w:rFonts w:ascii="Times New Roman" w:hAnsi="Times New Roman"/>
          <w:color w:val="000000"/>
          <w:sz w:val="24"/>
        </w:rPr>
        <w:t>, the Company will provide COBRA Coverage until the earliest of (A) a period of 18 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Equity Vesting</w:t>
      </w:r>
      <w:r>
        <w:rPr>
          <w:rFonts w:ascii="Times New Roman" w:hAnsi="Times New Roman"/>
          <w:color w:val="000000"/>
          <w:sz w:val="24"/>
        </w:rPr>
        <w:t>. Vesting acceleration (and exercisability, as applicable) as to one hundred percent (100%) of the then-unvested shares subject to each of the Company equity awards granted to the Executive that is outstanding as of the date of the Qualifying Termination (each, an “</w:t>
      </w:r>
      <w:r>
        <w:rPr>
          <w:rFonts w:ascii="Times New Roman" w:hAnsi="Times New Roman"/>
          <w:b/>
          <w:color w:val="000000"/>
          <w:sz w:val="24"/>
        </w:rPr>
        <w:t>Equity Award</w:t>
      </w:r>
      <w:r>
        <w:rPr>
          <w:color w:val="000000"/>
        </w:rPr>
        <w:t>”</w:t>
      </w:r>
      <w:r>
        <w:rPr>
          <w:rFonts w:ascii="Times New Roman" w:hAnsi="Times New Roman"/>
          <w:color w:val="000000"/>
          <w:sz w:val="24"/>
        </w:rPr>
        <w:t>). In the case of an Equity Award that is subject to performance-based vesting, unless otherwise specified in the applicable Equity Award agreement governing the Equity Award, all performance goals and other vesting criteria will be deemed achieved at one hundred percent (100%) of target levels. For the avoidance of doubt, in the event of the Executive’s Qualifying Pre</w:t>
        <w:noBreakHyphen/>
        <w:t>CIC Termination (as defined below), any then outstanding Equity Awards will remain outstanding until the earlier of (x) twelve (12) months following the Qualifying Termination or (y) the occurrence of a Change in Control, solely so that any benefits due on a Qualifying Pre</w:t>
        <w:noBreakHyphen/>
        <w:t xml:space="preserve">CIC Termination can be provided if a Change in Control occurs within twelve (12) months following the Qualifying Termination (provided that in no event will the Executive’s stock options or similar Equity Awards remain outstanding beyond the earlier to occur of (i) the Equity Award’s maximum term to expiration or (ii) the Equity Award’s post-termination exercise period). If no Change in Control occurs within twelve (12) months following a Qualifying Pre-CIC Termination, any unvested portion of the Executive’s Equity Awards automatically and permanently will be forfeited on the date twelve (12) months following the date of the Qualifying Pre-CIC Termination without having vested.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Termination Other Than a Qualifying Termination</w:t>
      </w:r>
      <w:r>
        <w:rPr>
          <w:rFonts w:ascii="Times New Roman" w:hAnsi="Times New Roman"/>
          <w:color w:val="000000"/>
          <w:sz w:val="24"/>
        </w:rPr>
        <w:t>. If the termination of the Executive’s employment with the Company Group (as defined below) is not a Qualifying Termination, then the Executive will not be entitled to receive the severance payments or other benefits specified in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Conditions to Receipt of COBRA Coverage</w:t>
      </w:r>
      <w:r>
        <w:rPr>
          <w:rFonts w:ascii="Times New Roman" w:hAnsi="Times New Roman"/>
          <w:color w:val="000000"/>
          <w:sz w:val="24"/>
        </w:rPr>
        <w:t xml:space="preserve">.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any COBRA Coverage, the Company will provide to the Executive a taxable monthly payment payable on the last day of a given month,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rFonts w:ascii="Times New Roman" w:hAnsi="Times New Roman"/>
          <w:b/>
          <w:color w:val="000000"/>
          <w:sz w:val="24"/>
        </w:rPr>
        <w:t>COBRA Replacement Payment</w:t>
      </w:r>
      <w:r>
        <w:rPr>
          <w:color w:val="000000"/>
        </w:rPr>
        <w:t>”</w:t>
      </w:r>
      <w:r>
        <w:rPr>
          <w:rFonts w:ascii="Times New Roman" w:hAnsi="Times New Roman"/>
          <w:color w:val="000000"/>
          <w:sz w:val="24"/>
        </w:rPr>
        <w:t>), which COBRA Replacement Payments will be made regardless of whether the Executive elects COBRA continuation coverage and will end on the earlier of (x) the date upon which the Executive obtains other employment (which offers group health coverage) or (y) the date the Company has paid an amount totaling the number of COBRA Replacement Payments 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Non-Duplication of Payment or Benefits</w:t>
      </w:r>
      <w:r>
        <w:rPr>
          <w:rFonts w:ascii="Times New Roman" w:hAnsi="Times New Roman"/>
          <w:color w:val="000000"/>
          <w:sz w:val="24"/>
        </w:rPr>
        <w:t xml:space="preserve">. For purposes of clarity, in the event of a Qualifying Pre-CIC Termination, any severance payments and benefits to be provided to the Executive under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 xml:space="preserve">will be reduced by any amounts that already were provided to the Executive under </w:t>
      </w:r>
      <w:r>
        <w:rPr>
          <w:rFonts w:ascii="Times New Roman" w:hAnsi="Times New Roman"/>
          <w:color w:val="000000"/>
          <w:sz w:val="24"/>
          <w:u w:val="single"/>
        </w:rPr>
        <w:t>Section 3(a)</w:t>
      </w:r>
      <w:r>
        <w:rPr>
          <w:rFonts w:ascii="Times New Roman" w:hAnsi="Times New Roman"/>
          <w:color w:val="000000"/>
          <w:sz w:val="24"/>
        </w:rPr>
        <w:t>.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in connection with the Executive’s separation (“</w:t>
      </w:r>
      <w:r>
        <w:rPr>
          <w:rFonts w:ascii="Times New Roman" w:hAnsi="Times New Roman"/>
          <w:b/>
          <w:color w:val="000000"/>
          <w:sz w:val="24"/>
        </w:rPr>
        <w:t>Other Benefits</w:t>
      </w:r>
      <w:r>
        <w:rPr>
          <w:color w:val="000000"/>
        </w:rPr>
        <w:t>”</w:t>
      </w:r>
      <w:r>
        <w:rPr>
          <w:rFonts w:ascii="Times New Roman" w:hAnsi="Times New Roman"/>
          <w:color w:val="000000"/>
          <w:sz w:val="24"/>
        </w:rPr>
        <w:t xml:space="preserve">), then the corresponding severance payments and benefits under this Agreement will be reduced by the amount of Other Benefits paid or provided to the Executive.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Death of the Executive</w:t>
      </w:r>
      <w:r>
        <w:rPr>
          <w:rFonts w:ascii="Times New Roman" w:hAnsi="Times New Roman"/>
          <w:color w:val="000000"/>
          <w:sz w:val="24"/>
        </w:rPr>
        <w:t>. 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Transfer Between Members of the Company Group</w:t>
      </w:r>
      <w:r>
        <w:rPr>
          <w:rFonts w:ascii="Times New Roman" w:hAnsi="Times New Roman"/>
          <w:color w:val="000000"/>
          <w:sz w:val="24"/>
        </w:rPr>
        <w:t>. For purposes of this Agreement, if the Executive is involuntarily transferred from one member of the Company Group to another, the transfer will not be a termination without Cause but may give the Executive the ability to resign for Good Reason.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Exclusive Remedy</w:t>
      </w:r>
      <w:r>
        <w:rPr>
          <w:rFonts w:ascii="Times New Roman" w:hAnsi="Times New Roman"/>
          <w:color w:val="000000"/>
          <w:sz w:val="24"/>
        </w:rPr>
        <w:t xml:space="preserve">.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Accrued Compensation</w:t>
      </w:r>
      <w:r>
        <w:rPr>
          <w:rFonts w:ascii="Times New Roman" w:hAnsi="Times New Roman"/>
          <w:color w:val="000000"/>
          <w:sz w:val="24"/>
        </w:rPr>
        <w:t xml:space="preserve">. On any termination of the Executive’s employment with the Company Group, the Executive will be entitled to receive all accrued but unpaid vacation, expense reimbursements, wages, and other benefits due to the Executive under any Company-provided plans, policies, and arrangements. For avoidance of doubt, receipt of accrued compensation is not subject to the Release Requirement discussed in </w:t>
      </w:r>
      <w:r>
        <w:rPr>
          <w:rFonts w:ascii="Times New Roman" w:hAnsi="Times New Roman"/>
          <w:color w:val="000000"/>
          <w:sz w:val="24"/>
          <w:u w:val="single"/>
        </w:rPr>
        <w:t>Section 5(a)</w:t>
      </w:r>
      <w:r>
        <w:rPr>
          <w:rFonts w:ascii="Times New Roman" w:hAnsi="Times New Roman"/>
          <w:color w:val="000000"/>
          <w:sz w:val="24"/>
        </w:rPr>
        <w: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Conditions to Receipt of Severance</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Separation Agreement and Release of Claims</w:t>
      </w:r>
      <w:r>
        <w:rPr>
          <w:rFonts w:ascii="Times New Roman" w:hAnsi="Times New Roman"/>
          <w:color w:val="000000"/>
          <w:sz w:val="24"/>
        </w:rPr>
        <w:t xml:space="preserve">. The Executive’s receipt of any severance payments or benefits upon the Executive’s Qualifying Termination under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is subject to the Executive signing and not revoking the Company’s then-standard separation agreement and release of claims (which may include an agreement not to disparage any member of the Company Group, non-solicit provisions, an agreement to provide reasonable assistance in any litigation matters, and other standard terms and conditions) (the “</w:t>
      </w:r>
      <w:r>
        <w:rPr>
          <w:rFonts w:ascii="Times New Roman" w:hAnsi="Times New Roman"/>
          <w:b/>
          <w:color w:val="000000"/>
          <w:sz w:val="24"/>
        </w:rPr>
        <w:t>Release</w:t>
      </w:r>
      <w:r>
        <w:rPr>
          <w:color w:val="000000"/>
        </w:rPr>
        <w:t xml:space="preserve">” </w:t>
      </w:r>
      <w:r>
        <w:rPr>
          <w:rFonts w:ascii="Times New Roman" w:hAnsi="Times New Roman"/>
          <w:color w:val="000000"/>
          <w:sz w:val="24"/>
        </w:rPr>
        <w:t>and that requirement, the “</w:t>
      </w:r>
      <w:r>
        <w:rPr>
          <w:rFonts w:ascii="Times New Roman" w:hAnsi="Times New Roman"/>
          <w:b/>
          <w:color w:val="000000"/>
          <w:sz w:val="24"/>
        </w:rPr>
        <w:t>Release Requirement</w:t>
      </w:r>
      <w:r>
        <w:rPr>
          <w:color w:val="000000"/>
        </w:rPr>
        <w:t>”</w:t>
      </w:r>
      <w:r>
        <w:rPr>
          <w:rFonts w:ascii="Times New Roman" w:hAnsi="Times New Roman"/>
          <w:color w:val="000000"/>
          <w:sz w:val="24"/>
        </w:rPr>
        <w:t>), which must become effective and irrevocable no later than the sixtieth (60</w:t>
      </w:r>
      <w:r>
        <w:rPr>
          <w:rFonts w:ascii="Times New Roman" w:hAnsi="Times New Roman"/>
          <w:color w:val="000000"/>
          <w:sz w:val="16"/>
        </w:rPr>
        <w:t>th</w:t>
      </w:r>
      <w:r>
        <w:rPr>
          <w:rFonts w:ascii="Times New Roman" w:hAnsi="Times New Roman"/>
          <w:color w:val="000000"/>
          <w:sz w:val="24"/>
        </w:rPr>
        <w:t>) day following the date of the Executive’s Qualifying Termination (the “</w:t>
      </w:r>
      <w:r>
        <w:rPr>
          <w:rFonts w:ascii="Times New Roman" w:hAnsi="Times New Roman"/>
          <w:b/>
          <w:color w:val="000000"/>
          <w:sz w:val="24"/>
        </w:rPr>
        <w:t>Release Deadline Date</w:t>
      </w:r>
      <w:r>
        <w:rPr>
          <w:color w:val="000000"/>
        </w:rPr>
        <w:t>”</w:t>
      </w:r>
      <w:r>
        <w:rPr>
          <w:rFonts w:ascii="Times New Roman" w:hAnsi="Times New Roman"/>
          <w:color w:val="000000"/>
          <w:sz w:val="24"/>
        </w:rPr>
        <w:t xml:space="preserve">). If the Release does not become effective and irrevocable by the Release Deadline Date, the Executive will forfeit any right to the severance payments or benefits under </w:t>
      </w:r>
      <w:r>
        <w:rPr>
          <w:rFonts w:ascii="Times New Roman" w:hAnsi="Times New Roman"/>
          <w:color w:val="000000"/>
          <w:sz w:val="24"/>
          <w:u w:val="single"/>
        </w:rPr>
        <w:t>Section 3</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Payment Timing</w:t>
      </w:r>
      <w:r>
        <w:rPr>
          <w:rFonts w:ascii="Times New Roman" w:hAnsi="Times New Roman"/>
          <w:color w:val="000000"/>
          <w:sz w:val="24"/>
        </w:rPr>
        <w:t xml:space="preserve">. Any lump sum salary or bonus payments under </w:t>
      </w:r>
      <w:r>
        <w:rPr>
          <w:rFonts w:ascii="Times New Roman" w:hAnsi="Times New Roman"/>
          <w:color w:val="000000"/>
          <w:sz w:val="24"/>
          <w:u w:val="single"/>
        </w:rPr>
        <w:t>Sections 3(a)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3(b)</w:t>
      </w:r>
      <w:r>
        <w:rPr>
          <w:color w:val="000000"/>
        </w:rPr>
        <w:t xml:space="preserve"> </w:t>
      </w:r>
      <w:r>
        <w:rPr>
          <w:rFonts w:ascii="Times New Roman" w:hAnsi="Times New Roman"/>
          <w:color w:val="000000"/>
          <w:sz w:val="24"/>
        </w:rPr>
        <w:t>will be provided on the first regularly scheduled payroll date of the Company following the date the Release becomes effective and irrevocable (the “</w:t>
      </w:r>
      <w:r>
        <w:rPr>
          <w:rFonts w:ascii="Times New Roman" w:hAnsi="Times New Roman"/>
          <w:b/>
          <w:color w:val="000000"/>
          <w:sz w:val="24"/>
        </w:rPr>
        <w:t>Severance Start Date</w:t>
      </w:r>
      <w:r>
        <w:rPr>
          <w:color w:val="000000"/>
        </w:rPr>
        <w:t>”</w:t>
      </w:r>
      <w:r>
        <w:rPr>
          <w:rFonts w:ascii="Times New Roman" w:hAnsi="Times New Roman"/>
          <w:color w:val="000000"/>
          <w:sz w:val="24"/>
        </w:rPr>
        <w:t xml:space="preserve">), subject to any delay required by </w:t>
      </w:r>
      <w:r>
        <w:rPr>
          <w:rFonts w:ascii="Times New Roman" w:hAnsi="Times New Roman"/>
          <w:color w:val="000000"/>
          <w:sz w:val="24"/>
          <w:u w:val="single"/>
        </w:rPr>
        <w:t>Section 5(d)</w:t>
      </w:r>
      <w:r>
        <w:rPr>
          <w:color w:val="000000"/>
        </w:rPr>
        <w:t xml:space="preserve"> </w:t>
      </w:r>
      <w:r>
        <w:rPr>
          <w:rFonts w:ascii="Times New Roman" w:hAnsi="Times New Roman"/>
          <w:color w:val="000000"/>
          <w:sz w:val="24"/>
        </w:rPr>
        <w:t xml:space="preserve">below. Any taxable installments of any COBRA-related severance benefits that otherwise would have been made to the Executive on or before the Severance Start Date will be paid on the Severance Start Date, and any remaining installments thereafter will be provided as specified in this Agreement. Subject to </w:t>
      </w:r>
      <w:r>
        <w:rPr>
          <w:rFonts w:ascii="Times New Roman" w:hAnsi="Times New Roman"/>
          <w:color w:val="000000"/>
          <w:sz w:val="24"/>
          <w:u w:val="single"/>
        </w:rPr>
        <w:t>Section 5(d)</w:t>
      </w:r>
      <w:r>
        <w:rPr>
          <w:rFonts w:ascii="Times New Roman" w:hAnsi="Times New Roman"/>
          <w:color w:val="000000"/>
          <w:sz w:val="24"/>
        </w:rPr>
        <w:t xml:space="preserve">, any restricted stock units, performance shares, performance units, and/or similar full value awards that accelerate vesting under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will be settled (x) within ten (10) days following the date the Release becomes effective and irrevocable, or (y) if later, in the event of a Qualifying Pre</w:t>
        <w:noBreakHyphen/>
        <w:t xml:space="preserve">CIC Termination, on the date of the Change in Control.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Return of Company Property</w:t>
      </w:r>
      <w:r>
        <w:rPr>
          <w:rFonts w:ascii="Times New Roman" w:hAnsi="Times New Roman"/>
          <w:color w:val="000000"/>
          <w:sz w:val="24"/>
        </w:rPr>
        <w:t xml:space="preserve">. The Executive’s receipt of any severance payments or benefits upon the Executive’s Qualifying Termination under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 xml:space="preserve">is subject to the Executive having returned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 by no later than ten (10) days following the date of the Qualifying Termination.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The Company intends that all payments and benefits provided under this Agreement or otherwise are exempt from, or comply with, the requirements of Section 409A of the Code (as defined below) and any guidance promulgated under Section 409A of the Code (collectively, “</w:t>
      </w:r>
      <w:r>
        <w:rPr>
          <w:rFonts w:ascii="Times New Roman" w:hAnsi="Times New Roman"/>
          <w:b/>
          <w:color w:val="000000"/>
          <w:sz w:val="24"/>
        </w:rPr>
        <w:t>Section 409A</w:t>
      </w:r>
      <w:r>
        <w:rPr>
          <w:color w:val="000000"/>
        </w:rPr>
        <w:t>”</w:t>
      </w:r>
      <w:r>
        <w:rPr>
          <w:rFonts w:ascii="Times New Roman" w:hAnsi="Times New Roman"/>
          <w:color w:val="000000"/>
          <w:sz w:val="24"/>
        </w:rPr>
        <w:t xml:space="preserve">) so that none of the payments or benefits will be subject to the additional tax imposed under Section 409A, and any ambiguities in this Agreement will be interpreted in accordance with this intent. No payment or benefits to be paid to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Executive, if any such payments or benefits, under this Agreement or otherwise, when considered together with any other severance payments or separation benefits that are considered deferred compensation under Section 409A (together, the “</w:t>
      </w:r>
      <w:r>
        <w:rPr>
          <w:rFonts w:ascii="Times New Roman" w:hAnsi="Times New Roman"/>
          <w:b/>
          <w:color w:val="000000"/>
          <w:sz w:val="24"/>
        </w:rPr>
        <w:t>Deferred Payments</w:t>
      </w:r>
      <w:r>
        <w:rPr>
          <w:color w:val="000000"/>
        </w:rPr>
        <w:t>”</w:t>
      </w:r>
      <w:r>
        <w:rPr>
          <w:rFonts w:ascii="Times New Roman" w:hAnsi="Times New Roman"/>
          <w:color w:val="000000"/>
          <w:sz w:val="24"/>
        </w:rPr>
        <w:t>)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six (6) months and one (1) day following the Executive’s termination of employment. The Company reserves the right to amend this Agreement as it considers necessary or advisable, in its sole discretion and without the consent of the Executive or the consent of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indemnify, or hold harmless the Executive for any taxes, penalties and interest that may be imposed, or other costs that may be incurred, as a result of Section 409A.</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Resignation of Officer and Director Positions</w:t>
      </w:r>
      <w:r>
        <w:rPr>
          <w:rFonts w:ascii="Times New Roman" w:hAnsi="Times New Roman"/>
          <w:color w:val="000000"/>
          <w:sz w:val="24"/>
        </w:rPr>
        <w:t xml:space="preserve">. The Executive’s receipt of any severance payments or benefits upon the Executive’s Qualifying Termination under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is subject to the Executive having resigned from all officer and director positions with all members of the Company Group and the Executive executing any documents the Company may require in connection with the same.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Change in Control Benefits</w:t>
      </w:r>
      <w:r>
        <w:rPr>
          <w:rFonts w:ascii="Times New Roman" w:hAnsi="Times New Roman"/>
          <w:color w:val="000000"/>
          <w:sz w:val="24"/>
        </w:rPr>
        <w:t>. If the Company experiences a Change in Control, and Executive remains an employee of any member of the Company Group through the date of such Change in Control, one hundred percent (100%) of the then-unvested shares subject to each Equity Award that is outstanding as of the date of such Change in Control will accelerate and fully vest. In the case of an Equity Award that is subject to performance-based vesting, unless otherwise specified in the applicable Equity Award agreement governing the Equity Award, all performance goals and other vesting criteria will be deemed achieved at one hundred percent (100%) of target levels.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Limitation on Payments</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Reduction of Severance Benefits</w:t>
      </w:r>
      <w:r>
        <w:rPr>
          <w:rFonts w:ascii="Times New Roman" w:hAnsi="Times New Roman"/>
          <w:color w:val="000000"/>
          <w:sz w:val="24"/>
        </w:rPr>
        <w:t>.</w:t>
      </w:r>
      <w:r>
        <w:rPr>
          <w:color w:val="000000"/>
        </w:rPr>
        <w:t xml:space="preserve"> </w:t>
      </w:r>
      <w:r>
        <w:rPr>
          <w:rFonts w:ascii="Times New Roman" w:hAnsi="Times New Roman"/>
          <w:color w:val="000000"/>
          <w:sz w:val="24"/>
        </w:rPr>
        <w:t>If any payment or benefit that the Executive would receive from any Company Group member or any other party whether in connection with the provisions in this Agreement or otherwise (the “</w:t>
      </w:r>
      <w:r>
        <w:rPr>
          <w:rFonts w:ascii="Times New Roman" w:hAnsi="Times New Roman"/>
          <w:b/>
          <w:color w:val="000000"/>
          <w:sz w:val="24"/>
        </w:rPr>
        <w:t>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4"/>
        </w:rPr>
        <w:t>Excise Tax</w:t>
      </w:r>
      <w:r>
        <w:rPr>
          <w:color w:val="000000"/>
        </w:rPr>
        <w:t>”</w:t>
      </w:r>
      <w:r>
        <w:rPr>
          <w:rFonts w:ascii="Times New Roman" w:hAnsi="Times New Roman"/>
          <w:color w:val="000000"/>
          <w:sz w:val="24"/>
        </w:rPr>
        <w:t>), then the Payment will be equal to the Best Results Amount. The “</w:t>
      </w:r>
      <w:r>
        <w:rPr>
          <w:rFonts w:ascii="Times New Roman" w:hAnsi="Times New Roman"/>
          <w:b/>
          <w:color w:val="000000"/>
          <w:sz w:val="24"/>
        </w:rPr>
        <w:t>Best Results Amount</w:t>
      </w:r>
      <w:r>
        <w:rPr>
          <w:color w:val="000000"/>
        </w:rPr>
        <w:t xml:space="preserve">” </w:t>
      </w:r>
      <w:r>
        <w:rPr>
          <w:rFonts w:ascii="Times New Roman" w:hAnsi="Times New Roman"/>
          <w:color w:val="000000"/>
          <w:sz w:val="24"/>
        </w:rPr>
        <w:t xml:space="preserve">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Determination of Excise Tax Liability</w:t>
      </w:r>
      <w:r>
        <w:rPr>
          <w:rFonts w:ascii="Times New Roman" w:hAnsi="Times New Roman"/>
          <w:color w:val="000000"/>
          <w:sz w:val="24"/>
        </w:rPr>
        <w:t>.</w:t>
      </w:r>
      <w:r>
        <w:rPr>
          <w:color w:val="000000"/>
        </w:rPr>
        <w:t xml:space="preserve"> </w:t>
      </w:r>
      <w:r>
        <w:rPr>
          <w:rFonts w:ascii="Times New Roman" w:hAnsi="Times New Roman"/>
          <w:color w:val="000000"/>
          <w:sz w:val="24"/>
        </w:rPr>
        <w:t>Unless the Company and the Executive otherwise agree in writing, the Company will select a professional services firm (the “</w:t>
      </w:r>
      <w:r>
        <w:rPr>
          <w:rFonts w:ascii="Times New Roman" w:hAnsi="Times New Roman"/>
          <w:b/>
          <w:color w:val="000000"/>
          <w:sz w:val="24"/>
        </w:rPr>
        <w:t>Firm</w:t>
      </w:r>
      <w:r>
        <w:rPr>
          <w:color w:val="000000"/>
        </w:rPr>
        <w:t>”</w:t>
      </w:r>
      <w:r>
        <w:rPr>
          <w:rFonts w:ascii="Times New Roman" w:hAnsi="Times New Roman"/>
          <w:color w:val="000000"/>
          <w:sz w:val="24"/>
        </w:rPr>
        <w:t xml:space="preserve">) to make all determinations required under this </w:t>
      </w:r>
      <w:r>
        <w:rPr>
          <w:rFonts w:ascii="Times New Roman" w:hAnsi="Times New Roman"/>
          <w:color w:val="000000"/>
          <w:sz w:val="24"/>
          <w:u w:val="single"/>
        </w:rPr>
        <w:t>Section 7</w:t>
      </w:r>
      <w:r>
        <w:rPr>
          <w:rFonts w:ascii="Times New Roman" w:hAnsi="Times New Roman"/>
          <w:color w:val="000000"/>
          <w:sz w:val="24"/>
        </w:rPr>
        <w:t xml:space="preserve">, which determinations will be conclusive and binding upon the Executive and the Company for all purposes. For purposes of making the calculations required by this </w:t>
      </w:r>
      <w:r>
        <w:rPr>
          <w:rFonts w:ascii="Times New Roman" w:hAnsi="Times New Roman"/>
          <w:color w:val="000000"/>
          <w:sz w:val="24"/>
          <w:u w:val="single"/>
        </w:rPr>
        <w:t>Section 7</w:t>
      </w:r>
      <w:r>
        <w:rPr>
          <w:rFonts w:ascii="Times New Roman" w:hAnsi="Times New Roman"/>
          <w:color w:val="000000"/>
          <w:sz w:val="24"/>
        </w:rPr>
        <w:t xml:space="preserve">,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w:t>
      </w:r>
      <w:r>
        <w:rPr>
          <w:rFonts w:ascii="Times New Roman" w:hAnsi="Times New Roman"/>
          <w:color w:val="000000"/>
          <w:sz w:val="24"/>
          <w:u w:val="single"/>
        </w:rPr>
        <w:t>Section 7</w:t>
      </w:r>
      <w:r>
        <w:rPr>
          <w:rFonts w:ascii="Times New Roman" w:hAnsi="Times New Roman"/>
          <w:color w:val="000000"/>
          <w:sz w:val="24"/>
        </w:rPr>
        <w:t xml:space="preserve">. The Company will bear the costs and make all payments for the Firm’s services in connection with any calculations contemplated by this </w:t>
      </w:r>
      <w:r>
        <w:rPr>
          <w:rFonts w:ascii="Times New Roman" w:hAnsi="Times New Roman"/>
          <w:color w:val="000000"/>
          <w:sz w:val="24"/>
          <w:u w:val="single"/>
        </w:rPr>
        <w:t>Section 7</w:t>
      </w:r>
      <w:r>
        <w:rPr>
          <w:rFonts w:ascii="Times New Roman" w:hAnsi="Times New Roman"/>
          <w:color w:val="000000"/>
          <w:sz w:val="24"/>
        </w:rPr>
        <w:t>.</w:t>
      </w:r>
      <w:r>
        <w:rPr>
          <w:color w:val="000000"/>
        </w:rPr>
        <w:t xml:space="preserve"> </w:t>
      </w:r>
      <w:r>
        <w:rPr>
          <w:rFonts w:ascii="Times New Roman" w:hAnsi="Times New Roman"/>
          <w:color w:val="000000"/>
          <w:sz w:val="24"/>
        </w:rPr>
        <w:t>The Company will have no liability to the Executive for the determinations of the Firm.</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The following terms referred to in this Agreement will have the following meanings: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Company’s Board of Directors.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(i) the Executive’s willful and repeated failure, in the reasonable judgment of the Board, to substantially perform his or her assigned duties or responsibility as an employee as directed or assigned by the Board (other than the Executive’s failure resulting from a Disability); (ii) the Executive engaging in intentional illegal conduct that was or is materially injurious to the Company Group or its affiliates; (iii) the Executive’s knowing violation of a federal or state law or regulation directly or indirectly applicable to the business of the Company Group or its affiliates, which violation was or is reasonably likely to be injurious to the Company Group or its affiliates; (iv) the Executive’s material breach of the terms of any confidentiality agreement or invention assignment agreement between the Executive and the Company Group (or any affiliate); or (v) the Executive being convicted of, or entering a plea of guilty or nolo contendere to, a felony or committing any act of moral turpitude, dishonesty, or fraud against, or the misappropriation of material property belonging to, the Company Group or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its affiliates. The foregoing definition does not in any way limit the Company’s ability to terminate the Executive’s employment at any time, and the term “Company” will be interpreted to include any subsidiary, parent, affiliate, or any successor thereto, if appropriate.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A change in the ownership of the Company which occurs on the date that any one person, or more than one person acting as a group (“</w:t>
      </w:r>
      <w:r>
        <w:rPr>
          <w:rFonts w:ascii="Times New Roman" w:hAnsi="Times New Roman"/>
          <w:b/>
          <w:color w:val="000000"/>
          <w:sz w:val="24"/>
        </w:rPr>
        <w:t>Person</w:t>
      </w:r>
      <w:r>
        <w:rPr>
          <w:color w:val="000000"/>
        </w:rPr>
        <w:t>”</w:t>
      </w:r>
      <w:r>
        <w:rPr>
          <w:rFonts w:ascii="Times New Roman" w:hAnsi="Times New Roman"/>
          <w:color w:val="000000"/>
          <w:sz w:val="24"/>
        </w:rPr>
        <w:t xml:space="preserve">), acquires ownership of the stock of the Company that, with the stock held by such Person, constitutes more than fifty percent (50%) of the total voting power of the stock of the Company; provided, that for this subsection, the acquisition of additional stock by any one Person, who prior to such acquisition is considered to own more than fifty percent (50%) of the total voting 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w:t>
      </w:r>
      <w:r>
        <w:rPr>
          <w:rFonts w:ascii="Times New Roman" w:hAnsi="Times New Roman"/>
          <w:color w:val="000000"/>
          <w:sz w:val="24"/>
          <w:u w:val="single"/>
        </w:rPr>
        <w:t>Section 8(c)(i)</w:t>
      </w:r>
      <w:r>
        <w:rPr>
          <w:rFonts w:ascii="Times New Roman" w:hAnsi="Times New Roman"/>
          <w:color w:val="000000"/>
          <w:sz w:val="24"/>
        </w:rPr>
        <w:t>.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 xml:space="preserve">A change in the effective control of the Company which occurs on the date a majority of members of the Board are replaced during any twelve (12)-month period by members of the Board whose appointment or election is not endorsed by a majority of the members of the Board prior to the appointment or election. For purposes of this </w:t>
      </w:r>
      <w:r>
        <w:rPr>
          <w:rFonts w:ascii="Times New Roman" w:hAnsi="Times New Roman"/>
          <w:color w:val="000000"/>
          <w:sz w:val="24"/>
          <w:u w:val="single"/>
        </w:rPr>
        <w:t>Section 8(c)(ii)</w:t>
      </w:r>
      <w:r>
        <w:rPr>
          <w:rFonts w:ascii="Times New Roman" w:hAnsi="Times New Roman"/>
          <w:color w:val="000000"/>
          <w:sz w:val="24"/>
        </w:rPr>
        <w:t>, if any Person is considered to be in effective control of the Company, the acquisition of additional control of the Company by the same Person will not be considered a Change in Control; or</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 xml:space="preserve">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that for this </w:t>
      </w:r>
      <w:r>
        <w:rPr>
          <w:rFonts w:ascii="Times New Roman" w:hAnsi="Times New Roman"/>
          <w:color w:val="000000"/>
          <w:sz w:val="24"/>
          <w:u w:val="single"/>
        </w:rPr>
        <w:t>Section 8(c)(iii)</w:t>
      </w:r>
      <w:r>
        <w:rPr>
          <w:rFonts w:ascii="Times New Roman" w:hAnsi="Times New Roman"/>
          <w:color w:val="000000"/>
          <w:sz w:val="24"/>
        </w:rPr>
        <w:t xml:space="preserve">, the following will not constitute a change in the ownership of a substantial portion of the Company’s assets: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transfer to an entity controlled by the Company’s stockholders immediately after the transfer, or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transfer of assets by the Company to: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stockholder of the Company (immediately before the asset transfer) in exchange for or with respect to the Company’s stock,</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an entity, fifty percent (50%) or more of the total value or voting power of which is owned, directly or indirectly, by the Company,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Person, that owns, directly or indirectly, fifty percent (50%) or more of the total value or voting power of all the outstanding stock of the Company, or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rPr>
        <w:t xml:space="preserve">an entity, at least fifty percent (50%) of the total value or voting power of which is owned, directly or indirectly, by a Person described in </w:t>
      </w:r>
      <w:r>
        <w:rPr>
          <w:rFonts w:ascii="Times New Roman" w:hAnsi="Times New Roman"/>
          <w:color w:val="000000"/>
          <w:sz w:val="24"/>
          <w:u w:val="single"/>
        </w:rPr>
        <w:t>Section 8(c)(iii)(2)(A)</w:t>
      </w:r>
      <w:r>
        <w:rPr>
          <w:color w:val="000000"/>
        </w:rPr>
        <w:t xml:space="preserve"> </w:t>
      </w:r>
      <w:r>
        <w:rPr>
          <w:rFonts w:ascii="Times New Roman" w:hAnsi="Times New Roman"/>
          <w:color w:val="000000"/>
          <w:sz w:val="24"/>
        </w:rPr>
        <w:t xml:space="preserve">to </w:t>
      </w:r>
      <w:r>
        <w:rPr>
          <w:rFonts w:ascii="Times New Roman" w:hAnsi="Times New Roman"/>
          <w:color w:val="000000"/>
          <w:sz w:val="24"/>
          <w:u w:val="single"/>
        </w:rPr>
        <w:t>Section 8(c)(iii)(2)(C)</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sz w:val="20"/>
        </w:rPr>
      </w:pPr>
      <w:r>
        <w:rPr>
          <w:rFonts w:ascii="Times New Roman" w:hAnsi="Times New Roman"/>
          <w:color w:val="000000"/>
          <w:sz w:val="24"/>
        </w:rPr>
        <w:t>For this definition, gross fair market value means the value of the assets of the Company, or the value of the assets being disposed of, determined without regard to any liabilities associated with such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For purposes of this </w:t>
      </w:r>
      <w:r>
        <w:rPr>
          <w:rFonts w:ascii="Times New Roman" w:hAnsi="Times New Roman"/>
          <w:color w:val="000000"/>
          <w:sz w:val="24"/>
          <w:u w:val="single"/>
        </w:rPr>
        <w:t>Section 8(c)</w:t>
      </w:r>
      <w:r>
        <w:rPr>
          <w:rFonts w:ascii="Times New Roman" w:hAnsi="Times New Roman"/>
          <w:color w:val="000000"/>
          <w:sz w:val="24"/>
        </w:rPr>
        <w:t xml:space="preserve">, persons will be considered to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w:t>
      </w:r>
      <w:r>
        <w:rPr>
          <w:rFonts w:ascii="Times New Roman" w:hAnsi="Times New Roman"/>
          <w:color w:val="000000"/>
          <w:sz w:val="24"/>
          <w:u w:val="single"/>
        </w:rPr>
        <w:t>Section 8(c)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transaction will not be a Change in Control:</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the transaction qualifies as a change in control event within the meaning of Code Section 409A; or</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its primary purpose is to (1) change the jurisdiction of the Company’s incorporation, or (2) create a holding company owned in substantially the same proportions by the persons who held the Company’s securities immediately before such transaction.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 xml:space="preserve">means the period beginning on the date a LOI or similar agreement is made between the Company and an acquiror, provided such date occurs no earlier than twelve (12) months prior to a Change in Control, and ending twelve (12) months following a Change in Control.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color w:val="000000"/>
          <w:sz w:val="24"/>
        </w:rPr>
        <w:t>COBRA</w:t>
      </w:r>
      <w:r>
        <w:rPr>
          <w:color w:val="000000"/>
        </w:rPr>
        <w:t xml:space="preserve">” </w:t>
      </w:r>
      <w:r>
        <w:rPr>
          <w:rFonts w:ascii="Times New Roman" w:hAnsi="Times New Roman"/>
          <w:color w:val="000000"/>
          <w:sz w:val="24"/>
        </w:rPr>
        <w:t>means the Consolidated Omnibus Budget Reconciliation Act of 1985, as amended.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Internal Revenue Code of 1986, as amended.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b/>
          <w:color w:val="000000"/>
          <w:sz w:val="24"/>
        </w:rPr>
        <w:t>Company Group</w:t>
      </w:r>
      <w:r>
        <w:rPr>
          <w:color w:val="000000"/>
        </w:rPr>
        <w:t xml:space="preserve">” </w:t>
      </w:r>
      <w:r>
        <w:rPr>
          <w:rFonts w:ascii="Times New Roman" w:hAnsi="Times New Roman"/>
          <w:color w:val="000000"/>
          <w:sz w:val="24"/>
        </w:rPr>
        <w:t>means the Company and its subsidiaries.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color w:val="000000"/>
        </w:rPr>
        <w:t>“</w:t>
      </w:r>
      <w:r>
        <w:rPr>
          <w:rFonts w:ascii="Times New Roman" w:hAnsi="Times New Roman"/>
          <w:b/>
          <w:color w:val="000000"/>
          <w:sz w:val="24"/>
        </w:rPr>
        <w:t>Disability</w:t>
      </w:r>
      <w:r>
        <w:rPr>
          <w:color w:val="000000"/>
        </w:rPr>
        <w:t xml:space="preserve">” </w:t>
      </w:r>
      <w:r>
        <w:rPr>
          <w:rFonts w:ascii="Times New Roman" w:hAnsi="Times New Roman"/>
          <w:color w:val="000000"/>
          <w:sz w:val="24"/>
        </w:rPr>
        <w:t xml:space="preserve">means a total and permanent disability as defined in Section 22(e)(3) of the Code.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color w:val="000000"/>
        </w:rPr>
        <w:t>“</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means the Executive’s resignation due to the occurrence of any of the following conditions which occurs without the Executive’s written consent, provided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that the requirements regarding advance notice and an opportunity to cure set forth below are satisfied: (i) a material reduction in the Executive’s Salary, which the parties agree is a reduction of at least ten percent (10%) of the Executive’s Salary; (ii) a material reduction of the Executive’s duties, authorities, or responsibilities relative to the Executive’s duties, authorities, or responsibilities in effect immediately prior to the reduction, including where such material reduction results solely by virtue of the Company being acquired and made part of a larger entity (as, for example, when the Chief Financial Officer of the Company remains as such following a Change in Control but is not made the Chief Financial Officer of the acquiring corporation); (iii) a change by more than thirty (30) miles in the geographic location at which the Executive must perform services; (iv) the failure by the Company to timely pay Executive’s Salary when due; or (v) any other action or inaction that constitutes a material breach by the Company of this Agreement or the employment letter agreement by and between Executive and the Company, dated July 13, 2026; </w:t>
      </w:r>
      <w:r>
        <w:rPr>
          <w:rFonts w:ascii="Times New Roman" w:hAnsi="Times New Roman"/>
          <w:i/>
          <w:color w:val="000000"/>
          <w:sz w:val="24"/>
        </w:rPr>
        <w:t>provided, however</w:t>
      </w:r>
      <w:r>
        <w:rPr>
          <w:rFonts w:ascii="Times New Roman" w:hAnsi="Times New Roman"/>
          <w:color w:val="000000"/>
          <w:sz w:val="24"/>
        </w:rPr>
        <w:t>, that no condition described herein will constitute “Good Reason” for purposes of this Agreement unless (1) the Executive will have first provided written notice to the Board of the existence of the condition within ninety (90) days of the initial existence of such Good Reason condition; (2) the Board will have failed to remedy the condition within thirty (30) days following the receipt of such notice (the “</w:t>
      </w:r>
      <w:r>
        <w:rPr>
          <w:rFonts w:ascii="Times New Roman" w:hAnsi="Times New Roman"/>
          <w:b/>
          <w:color w:val="000000"/>
          <w:sz w:val="24"/>
        </w:rPr>
        <w:t>Cure Period</w:t>
      </w:r>
      <w:r>
        <w:rPr>
          <w:color w:val="000000"/>
        </w:rPr>
        <w:t>”</w:t>
      </w:r>
      <w:r>
        <w:rPr>
          <w:rFonts w:ascii="Times New Roman" w:hAnsi="Times New Roman"/>
          <w:color w:val="000000"/>
          <w:sz w:val="24"/>
        </w:rPr>
        <w:t>); (3) the Executive must cooperate in good faith with any efforts by the Company to remedy the Good Reason condition; (4) the Good Reason condition must continue to exist upon completion of the Cure Period; and (5) the date of termination of employment occurs no more than thirty (30) days after the end of the Cure Period. In no instance will a termination by the Executive be deemed to be for Good Reason for purposes of this Agreement if it becomes effective more than twelve (12) months following the initial existence of the Good Reason condition.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color w:val="000000"/>
        </w:rPr>
        <w:t>“</w:t>
      </w:r>
      <w:r>
        <w:rPr>
          <w:rFonts w:ascii="Times New Roman" w:hAnsi="Times New Roman"/>
          <w:b/>
          <w:color w:val="000000"/>
          <w:sz w:val="24"/>
        </w:rPr>
        <w:t>Qualifying Pre</w:t>
        <w:noBreakHyphen/>
        <w:t>CIC Termination</w:t>
      </w:r>
      <w:r>
        <w:rPr>
          <w:color w:val="000000"/>
        </w:rPr>
        <w:t xml:space="preserve">” </w:t>
      </w:r>
      <w:r>
        <w:rPr>
          <w:rFonts w:ascii="Times New Roman" w:hAnsi="Times New Roman"/>
          <w:color w:val="000000"/>
          <w:sz w:val="24"/>
        </w:rPr>
        <w:t>means a Qualifying CIC Termination that occurs after a letter of intent (an “</w:t>
      </w:r>
      <w:r>
        <w:rPr>
          <w:rFonts w:ascii="Times New Roman" w:hAnsi="Times New Roman"/>
          <w:b/>
          <w:color w:val="000000"/>
          <w:sz w:val="24"/>
        </w:rPr>
        <w:t>LOI</w:t>
      </w:r>
      <w:r>
        <w:rPr>
          <w:color w:val="000000"/>
        </w:rPr>
        <w:t>”</w:t>
      </w:r>
      <w:r>
        <w:rPr>
          <w:rFonts w:ascii="Times New Roman" w:hAnsi="Times New Roman"/>
          <w:color w:val="000000"/>
          <w:sz w:val="24"/>
        </w:rPr>
        <w:t>) or similar agreement is made between the Company and an acquiror, but prior to the date of the Change in Control.</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color w:val="000000"/>
        </w:rPr>
        <w:t>“</w:t>
      </w:r>
      <w:r>
        <w:rPr>
          <w:rFonts w:ascii="Times New Roman" w:hAnsi="Times New Roman"/>
          <w:b/>
          <w:color w:val="000000"/>
          <w:sz w:val="24"/>
        </w:rPr>
        <w:t>Qualifying Termination</w:t>
      </w:r>
      <w:r>
        <w:rPr>
          <w:color w:val="000000"/>
        </w:rPr>
        <w:t xml:space="preserve">” </w:t>
      </w:r>
      <w:r>
        <w:rPr>
          <w:rFonts w:ascii="Times New Roman" w:hAnsi="Times New Roman"/>
          <w:color w:val="000000"/>
          <w:sz w:val="24"/>
        </w:rPr>
        <w:t>means a termination of the Executive’s employment either (i) by a Company Group member without Cause and other than by reason of the Executive’s death or Disability, or (ii) by the Executive for Good Reason, in either case, during the Change in Control Period (a “</w:t>
      </w:r>
      <w:r>
        <w:rPr>
          <w:rFonts w:ascii="Times New Roman" w:hAnsi="Times New Roman"/>
          <w:b/>
          <w:color w:val="000000"/>
          <w:sz w:val="24"/>
        </w:rPr>
        <w:t>Qualifying CIC Termination</w:t>
      </w:r>
      <w:r>
        <w:rPr>
          <w:color w:val="000000"/>
        </w:rPr>
        <w:t>”</w:t>
      </w:r>
      <w:r>
        <w:rPr>
          <w:rFonts w:ascii="Times New Roman" w:hAnsi="Times New Roman"/>
          <w:color w:val="000000"/>
          <w:sz w:val="24"/>
        </w:rPr>
        <w:t>) or outside of the Change in Control Period (a “</w:t>
      </w:r>
      <w:r>
        <w:rPr>
          <w:rFonts w:ascii="Times New Roman" w:hAnsi="Times New Roman"/>
          <w:b/>
          <w:color w:val="000000"/>
          <w:sz w:val="24"/>
        </w:rPr>
        <w:t>Qualifying Non-CIC Termination</w:t>
      </w:r>
      <w:r>
        <w:rPr>
          <w:color w:val="000000"/>
        </w:rPr>
        <w:t>”</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color w:val="000000"/>
        </w:rPr>
        <w:t>“</w:t>
      </w:r>
      <w:r>
        <w:rPr>
          <w:rFonts w:ascii="Times New Roman" w:hAnsi="Times New Roman"/>
          <w:b/>
          <w:color w:val="000000"/>
          <w:sz w:val="24"/>
        </w:rPr>
        <w:t>Salary</w:t>
      </w:r>
      <w:r>
        <w:rPr>
          <w:color w:val="000000"/>
        </w:rPr>
        <w:t xml:space="preserve">” </w:t>
      </w:r>
      <w:r>
        <w:rPr>
          <w:rFonts w:ascii="Times New Roman" w:hAnsi="Times New Roman"/>
          <w:color w:val="000000"/>
          <w:sz w:val="24"/>
        </w:rPr>
        <w:t xml:space="preserve">means the Executive’s rate of base salary as in effect immediately prior to the Executive’s Qualifying Termination (or if the termination is due to a resignation for Good Reason based on a material reduction in base salary, then the Executive’s rate of base salary in effect immediately prior to the reduction) or, if the Executive’s Qualifying Termination is a Qualifying CIC Termination and the amount is greater, at the level in effect immediately prior to the Change in Control.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 xml:space="preserve">. This Agreement will be binding upon and inure to the benefit of (a) 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business of the Company. None of the rights of the Executive to receive any form of compensation payable pursuant to this Agreement may be assigned or transferred except by will or the laws of descent and distribution. Any other attempted assignment, transfer, conveyance, or other disposition of the Executive’s right to compensation or other benefits will be null and void.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Notice</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All notices and other communications required or permitted under this Agreement will be in writing and will be effectively given (i) upon actual delivery to the party to be notified; (ii) upon transmission by email; (iii) twenty</w:t>
        <w:noBreakHyphen/>
        <w:t>four (24) hours after confirmed facsimile transmission; (iv) one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will have most recently furnished to the Company in writing, (B) if to the Company, at the following address:</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RxSight, Inc.</w:t>
      </w:r>
    </w:p>
    <w:p>
      <w:pPr>
        <w:pStyle w:val="TextBody"/>
        <w:bidi w:val="0"/>
        <w:ind w:left="0" w:right="0" w:firstLine="2160"/>
        <w:jc w:val="both"/>
        <w:rPr>
          <w:rFonts w:ascii="Times New Roman" w:hAnsi="Times New Roman"/>
          <w:color w:val="222222"/>
          <w:sz w:val="24"/>
        </w:rPr>
      </w:pPr>
      <w:r>
        <w:rPr>
          <w:rFonts w:ascii="Times New Roman" w:hAnsi="Times New Roman"/>
          <w:color w:val="222222"/>
          <w:sz w:val="24"/>
        </w:rPr>
        <w:t>100 Columbia</w:t>
      </w:r>
    </w:p>
    <w:p>
      <w:pPr>
        <w:pStyle w:val="TextBody"/>
        <w:bidi w:val="0"/>
        <w:ind w:left="0" w:right="0" w:firstLine="2160"/>
        <w:jc w:val="both"/>
        <w:rPr>
          <w:rFonts w:ascii="Times New Roman" w:hAnsi="Times New Roman"/>
          <w:color w:val="222222"/>
          <w:sz w:val="24"/>
        </w:rPr>
      </w:pPr>
      <w:r>
        <w:rPr>
          <w:rFonts w:ascii="Times New Roman" w:hAnsi="Times New Roman"/>
          <w:color w:val="222222"/>
          <w:sz w:val="24"/>
        </w:rPr>
        <w:t>Aliso Viejo, CA 92656</w:t>
      </w:r>
    </w:p>
    <w:p>
      <w:pPr>
        <w:pStyle w:val="TextBody"/>
        <w:bidi w:val="0"/>
        <w:ind w:left="0" w:right="0" w:firstLine="2160"/>
        <w:jc w:val="both"/>
        <w:rPr>
          <w:rFonts w:ascii="Times New Roman" w:hAnsi="Times New Roman"/>
          <w:color w:val="000000"/>
          <w:sz w:val="24"/>
        </w:rPr>
      </w:pPr>
      <w:r>
        <w:rPr>
          <w:rFonts w:ascii="Times New Roman" w:hAnsi="Times New Roman"/>
          <w:color w:val="000000"/>
          <w:sz w:val="24"/>
        </w:rPr>
        <w:t>Attention: Chief Executive Officer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Notice of Termination</w:t>
      </w:r>
      <w:r>
        <w:rPr>
          <w:rFonts w:ascii="Times New Roman" w:hAnsi="Times New Roman"/>
          <w:color w:val="000000"/>
          <w:sz w:val="24"/>
        </w:rPr>
        <w:t xml:space="preserve">. Any termination by a Company Group member for Cause will be communicated by a notice of termination to the Executive, and any termination by the Executive for Good Reason will be communicated by a notice of termination to the Company, in each case given in accordance with </w:t>
      </w:r>
      <w:r>
        <w:rPr>
          <w:rFonts w:ascii="Times New Roman" w:hAnsi="Times New Roman"/>
          <w:color w:val="000000"/>
          <w:sz w:val="24"/>
          <w:u w:val="single"/>
        </w:rPr>
        <w:t>Section 10(a)</w:t>
      </w:r>
      <w:r>
        <w:rPr>
          <w:color w:val="000000"/>
        </w:rPr>
        <w:t xml:space="preserve"> </w:t>
      </w:r>
      <w:r>
        <w:rPr>
          <w:rFonts w:ascii="Times New Roman" w:hAnsi="Times New Roman"/>
          <w:color w:val="000000"/>
          <w:sz w:val="24"/>
        </w:rPr>
        <w:t xml:space="preserve">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Resignation</w:t>
      </w:r>
      <w:r>
        <w:rPr>
          <w:rFonts w:ascii="Times New Roman" w:hAnsi="Times New Roman"/>
          <w:color w:val="000000"/>
          <w:sz w:val="24"/>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Duty to Mitigate</w:t>
      </w:r>
      <w:r>
        <w:rPr>
          <w:rFonts w:ascii="Times New Roman" w:hAnsi="Times New Roman"/>
          <w:color w:val="000000"/>
          <w:sz w:val="24"/>
        </w:rPr>
        <w:t xml:space="preserve">. The Executive will not be required to mitigate the amount of any payment contemplated by this Agreement, nor will any payment be reduced by any earnings that the Executive may receive from any other source except as specified in </w:t>
      </w:r>
      <w:r>
        <w:rPr>
          <w:rFonts w:ascii="Times New Roman" w:hAnsi="Times New Roman"/>
          <w:color w:val="000000"/>
          <w:sz w:val="24"/>
          <w:u w:val="single"/>
        </w:rPr>
        <w:t>Section 3(e)</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Waiver; Amendment</w:t>
      </w:r>
      <w:r>
        <w:rPr>
          <w:rFonts w:ascii="Times New Roman" w:hAnsi="Times New Roman"/>
          <w:color w:val="000000"/>
          <w:sz w:val="24"/>
        </w:rPr>
        <w:t xml:space="preserve">.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by the other party will be considered a waiver of any other condition or provision or of the same condition or provision at another time.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All captions and section headings used in this Agreement are for convenient reference only and do not form a part of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xml:space="preserve">. 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change in control severance agreement, severance policy or program, or Equity Award agreement.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Choice of Law</w:t>
      </w:r>
      <w:r>
        <w:rPr>
          <w:rFonts w:ascii="Times New Roman" w:hAnsi="Times New Roman"/>
          <w:color w:val="000000"/>
          <w:sz w:val="24"/>
        </w:rPr>
        <w:t>. This Agreement will be governed by the laws of the State of California without regard to California’s conflicts of law rules that may result in the application of the laws of any jurisdiction other than California. The Executive hereby expressly consents to the personal and exclusive jurisdiction and venue of the state and federal courts located in California for any lawsuit filed against the Executive by any member of the Company Group.</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each of which will be deemed an original, but all of which together will constitute one and the same instrument.</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By its signature below, each of the parties signifies its acceptance of the terms of this Agreement, in the case of the Company by its duly authorized officer.</w:t>
      </w:r>
    </w:p>
    <w:p>
      <w:pPr>
        <w:pStyle w:val="TextBody"/>
        <w:bidi w:val="0"/>
        <w:spacing w:before="240" w:after="283"/>
        <w:ind w:left="0" w:right="0" w:firstLine="720"/>
        <w:jc w:val="both"/>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RXSIGHT, INC.</w:t>
      </w:r>
    </w:p>
    <w:p>
      <w:pPr>
        <w:pStyle w:val="TextBody"/>
        <w:bidi w:val="0"/>
        <w:spacing w:before="240" w:after="283"/>
        <w:jc w:val="left"/>
        <w:rPr>
          <w:rFonts w:ascii="Times New Roman" w:hAnsi="Times New Roman"/>
          <w:sz w:val="20"/>
        </w:rPr>
      </w:pPr>
      <w:r>
        <w:rPr>
          <w:rFonts w:ascii="Times New Roman" w:hAnsi="Times New Roman"/>
          <w:color w:val="000000"/>
          <w:sz w:val="24"/>
          <w:u w:val="single"/>
        </w:rPr>
        <w:t>/s/ Mark Wilterding</w:t>
      </w:r>
      <w:r>
        <w:rPr>
          <w:rFonts w:ascii="Times New Roman" w:hAnsi="Times New Roman"/>
          <w:color w:val="000000"/>
          <w:sz w:val="24"/>
        </w:rPr>
        <w:t>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Mark Wilterding</w:t>
      </w:r>
    </w:p>
    <w:p>
      <w:pPr>
        <w:pStyle w:val="TextBody"/>
        <w:bidi w:val="0"/>
        <w:spacing w:before="240" w:after="283"/>
        <w:ind w:left="2160" w:right="0" w:hanging="0"/>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Chief Financial Officer</w:t>
      </w:r>
      <w:r>
        <w:rPr>
          <w:rFonts w:ascii="Times New Roman" w:hAnsi="Times New Roman"/>
          <w:color w:val="000000"/>
          <w:sz w:val="20"/>
        </w:rPr>
        <w:t xml:space="preserve"> </w:t>
      </w:r>
    </w:p>
    <w:p>
      <w:pPr>
        <w:pStyle w:val="TextBody"/>
        <w:bidi w:val="0"/>
        <w:spacing w:before="240" w:after="283"/>
        <w:ind w:left="1440" w:right="0" w:firstLine="720"/>
        <w:jc w:val="both"/>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July 13, 2026</w:t>
      </w:r>
    </w:p>
    <w:p>
      <w:pPr>
        <w:pStyle w:val="TextBody"/>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EXECUTIVE </w:t>
      </w:r>
      <w:r>
        <w:rPr>
          <w:rFonts w:ascii="Times New Roman" w:hAnsi="Times New Roman"/>
          <w:color w:val="000000"/>
          <w:sz w:val="24"/>
          <w:u w:val="single"/>
        </w:rPr>
        <w:t xml:space="preserve">/s/ Aziz Mottiwala </w:t>
      </w:r>
    </w:p>
    <w:p>
      <w:pPr>
        <w:pStyle w:val="TextBody"/>
        <w:bidi w:val="0"/>
        <w:ind w:left="1440" w:right="0" w:firstLine="720"/>
        <w:jc w:val="both"/>
        <w:rPr>
          <w:rFonts w:ascii="Times New Roman" w:hAnsi="Times New Roman"/>
          <w:color w:val="000000"/>
          <w:sz w:val="24"/>
        </w:rPr>
      </w:pPr>
      <w:r>
        <w:rPr>
          <w:rFonts w:ascii="Times New Roman" w:hAnsi="Times New Roman"/>
          <w:color w:val="000000"/>
          <w:sz w:val="24"/>
        </w:rPr>
        <w:t>Aziz Mottiwala</w:t>
      </w:r>
    </w:p>
    <w:p>
      <w:pPr>
        <w:pStyle w:val="TextBody"/>
        <w:bidi w:val="0"/>
        <w:spacing w:before="240" w:after="283"/>
        <w:ind w:left="2160" w:right="0" w:hanging="0"/>
        <w:jc w:val="both"/>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July 13, 2026 </w:t>
      </w:r>
    </w:p>
    <w:p>
      <w:pPr>
        <w:pStyle w:val="TextBody"/>
        <w:bidi w:val="0"/>
        <w:ind w:left="5040" w:right="0" w:hanging="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to Change in Control Severance Agreement]</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bookmarkStart w:id="25" w:name="rxst-ex10_3.htm"/>
      <w:bookmarkStart w:id="26" w:name="ksrxstex10_3"/>
      <w:bookmarkEnd w:id="25"/>
      <w:bookmarkEnd w:id="26"/>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10.3</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Certain identified information has been excluded from the exhibit because it is both (i) not material and (ii) is the type that the company treats as private or confidential.</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COLLABORATION AND DEVELOPMENT AGREEMENT</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ALCON PHARMACEUTICALS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LTD</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RXSIGHT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4"/>
        </w:rPr>
        <w:t>.</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June 30, 2026</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 DEFINITIONS 1</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2. LICENSES 21</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3. DEVELOPMENT 25</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4. GOVERNANCE 35</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5. TECHNOLOGY DISCLOSURE 37</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6. COMMERCIALIZATION, REGULATORY AND MANUFACTURING 38</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7. FINANCIAL PROVISIONS 44</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8. REPORTS AND PAYMENT TERMS 51</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9. INTELLECTUAL PROPERTY RIGHTS 54</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10. CONFIDENTIALITY 63</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11. TERM AND TERMINATION 67</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12. EFFECTS OF EXPIRATION OR TERMINATION 70</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13. REPRESENTATIONS AND WARRANTIES; COVENANTS 76</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14. INDEMNIFICATION AND LIABILITY 86</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15. COMPLIANCE 90</w:t>
      </w:r>
    </w:p>
    <w:p>
      <w:pPr>
        <w:pStyle w:val="TextBody"/>
        <w:pBdr/>
        <w:bidi w:val="0"/>
        <w:spacing w:before="0" w:after="240"/>
        <w:ind w:left="0" w:right="0" w:hanging="720"/>
        <w:jc w:val="both"/>
        <w:rPr>
          <w:rFonts w:ascii="Times New Roman" w:hAnsi="Times New Roman"/>
          <w:color w:val="000000"/>
          <w:sz w:val="24"/>
        </w:rPr>
      </w:pPr>
      <w:r>
        <w:rPr>
          <w:rFonts w:ascii="Times New Roman" w:hAnsi="Times New Roman"/>
          <w:color w:val="000000"/>
          <w:sz w:val="24"/>
        </w:rPr>
        <w:t>Article 16. GENERAL PROVISIONS 93</w:t>
      </w:r>
    </w:p>
    <w:p>
      <w:pPr>
        <w:pStyle w:val="TextBody"/>
        <w:bidi w:val="0"/>
        <w:spacing w:before="0" w:after="240"/>
        <w:ind w:left="0" w:right="720" w:hanging="0"/>
        <w:jc w:val="left"/>
        <w:rPr>
          <w:rFonts w:ascii="Times New Roman" w:hAnsi="Times New Roman"/>
          <w:b/>
          <w:color w:val="000000"/>
          <w:sz w:val="24"/>
          <w:u w:val="single"/>
        </w:rPr>
      </w:pPr>
      <w:r>
        <w:rPr>
          <w:rFonts w:ascii="Times New Roman" w:hAnsi="Times New Roman"/>
          <w:b/>
          <w:color w:val="000000"/>
          <w:sz w:val="24"/>
          <w:u w:val="single"/>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Baseball Arbitration</w:t>
      </w:r>
    </w:p>
    <w:p>
      <w:pPr>
        <w:pStyle w:val="TextBody"/>
        <w:bidi w:val="0"/>
        <w:jc w:val="left"/>
        <w:rPr>
          <w:rFonts w:ascii="Times New Roman" w:hAnsi="Times New Roman"/>
          <w:color w:val="000000"/>
          <w:sz w:val="24"/>
        </w:rPr>
      </w:pPr>
      <w:r>
        <w:rPr>
          <w:rFonts w:ascii="Times New Roman" w:hAnsi="Times New Roman"/>
          <w:color w:val="000000"/>
          <w:sz w:val="24"/>
        </w:rPr>
        <w:t>Exhibit B Demand Generation Activities</w:t>
      </w:r>
    </w:p>
    <w:p>
      <w:pPr>
        <w:pStyle w:val="TextBody"/>
        <w:bidi w:val="0"/>
        <w:jc w:val="left"/>
        <w:rPr>
          <w:rFonts w:ascii="Times New Roman" w:hAnsi="Times New Roman"/>
          <w:color w:val="000000"/>
          <w:sz w:val="24"/>
        </w:rPr>
      </w:pPr>
      <w:r>
        <w:rPr>
          <w:rFonts w:ascii="Times New Roman" w:hAnsi="Times New Roman"/>
          <w:color w:val="000000"/>
          <w:sz w:val="24"/>
        </w:rPr>
        <w:t>Exhibit C Industry Participants</w:t>
      </w:r>
    </w:p>
    <w:p>
      <w:pPr>
        <w:pStyle w:val="TextBody"/>
        <w:bidi w:val="0"/>
        <w:jc w:val="left"/>
        <w:rPr>
          <w:rFonts w:ascii="Times New Roman" w:hAnsi="Times New Roman"/>
          <w:color w:val="000000"/>
          <w:sz w:val="24"/>
        </w:rPr>
      </w:pPr>
      <w:r>
        <w:rPr>
          <w:rFonts w:ascii="Times New Roman" w:hAnsi="Times New Roman"/>
          <w:color w:val="000000"/>
          <w:sz w:val="24"/>
        </w:rPr>
        <w:t>Exhibit D Development Plan</w:t>
      </w:r>
    </w:p>
    <w:p>
      <w:pPr>
        <w:pStyle w:val="TextBody"/>
        <w:bidi w:val="0"/>
        <w:jc w:val="left"/>
        <w:rPr>
          <w:rFonts w:ascii="Times New Roman" w:hAnsi="Times New Roman"/>
          <w:color w:val="000000"/>
          <w:sz w:val="24"/>
        </w:rPr>
      </w:pPr>
      <w:r>
        <w:rPr>
          <w:rFonts w:ascii="Times New Roman" w:hAnsi="Times New Roman"/>
          <w:color w:val="000000"/>
          <w:sz w:val="24"/>
        </w:rPr>
        <w:t>Exhibit E Terms for Co-Promotion Agreement</w:t>
      </w:r>
    </w:p>
    <w:p>
      <w:pPr>
        <w:pStyle w:val="TextBody"/>
        <w:bidi w:val="0"/>
        <w:jc w:val="left"/>
        <w:rPr>
          <w:rFonts w:ascii="Times New Roman" w:hAnsi="Times New Roman"/>
          <w:color w:val="000000"/>
          <w:sz w:val="24"/>
        </w:rPr>
      </w:pPr>
      <w:r>
        <w:rPr>
          <w:rFonts w:ascii="Times New Roman" w:hAnsi="Times New Roman"/>
          <w:color w:val="000000"/>
          <w:sz w:val="24"/>
        </w:rPr>
        <w:t>Exhibit F Press Releases</w:t>
      </w:r>
    </w:p>
    <w:p>
      <w:pPr>
        <w:pStyle w:val="TextBody"/>
        <w:bidi w:val="0"/>
        <w:spacing w:before="120" w:after="120"/>
        <w:jc w:val="left"/>
        <w:rPr>
          <w:rFonts w:ascii="Times New Roman" w:hAnsi="Times New Roman"/>
          <w:b/>
          <w:color w:val="000000"/>
          <w:sz w:val="24"/>
          <w:u w:val="single"/>
        </w:rPr>
      </w:pPr>
      <w:r>
        <w:rPr>
          <w:rFonts w:ascii="Times New Roman" w:hAnsi="Times New Roman"/>
          <w:b/>
          <w:color w:val="000000"/>
          <w:sz w:val="24"/>
          <w:u w:val="single"/>
        </w:rPr>
        <w:t>Schedules</w:t>
      </w:r>
    </w:p>
    <w:p>
      <w:pPr>
        <w:pStyle w:val="TextBody"/>
        <w:bidi w:val="0"/>
        <w:jc w:val="left"/>
        <w:rPr>
          <w:rFonts w:ascii="Times New Roman" w:hAnsi="Times New Roman"/>
          <w:color w:val="000000"/>
          <w:sz w:val="24"/>
        </w:rPr>
      </w:pPr>
      <w:r>
        <w:rPr>
          <w:rFonts w:ascii="Times New Roman" w:hAnsi="Times New Roman"/>
          <w:color w:val="000000"/>
          <w:sz w:val="24"/>
        </w:rPr>
        <w:t>Schedule 1.150 Product-Specific Patents</w:t>
      </w:r>
    </w:p>
    <w:p>
      <w:pPr>
        <w:pStyle w:val="TextBody"/>
        <w:bidi w:val="0"/>
        <w:jc w:val="left"/>
        <w:rPr>
          <w:rFonts w:ascii="Times New Roman" w:hAnsi="Times New Roman"/>
          <w:color w:val="000000"/>
          <w:sz w:val="24"/>
        </w:rPr>
      </w:pPr>
      <w:r>
        <w:rPr>
          <w:rFonts w:ascii="Times New Roman" w:hAnsi="Times New Roman"/>
          <w:color w:val="000000"/>
          <w:sz w:val="24"/>
        </w:rPr>
        <w:t>Schedule 1.180 RxSight Trademarks</w:t>
      </w:r>
    </w:p>
    <w:p>
      <w:pPr>
        <w:pStyle w:val="TextBody"/>
        <w:bidi w:val="0"/>
        <w:jc w:val="left"/>
        <w:rPr>
          <w:rFonts w:ascii="Times New Roman" w:hAnsi="Times New Roman"/>
          <w:color w:val="000000"/>
          <w:sz w:val="24"/>
        </w:rPr>
      </w:pPr>
      <w:r>
        <w:rPr>
          <w:rFonts w:ascii="Times New Roman" w:hAnsi="Times New Roman"/>
          <w:color w:val="000000"/>
          <w:sz w:val="24"/>
        </w:rPr>
        <w:t>Schedule 3.1.5 Permitted Subcontractors</w:t>
      </w:r>
    </w:p>
    <w:p>
      <w:pPr>
        <w:pStyle w:val="TextBody"/>
        <w:bidi w:val="0"/>
        <w:jc w:val="left"/>
        <w:rPr>
          <w:rFonts w:ascii="Times New Roman" w:hAnsi="Times New Roman"/>
          <w:color w:val="000000"/>
          <w:sz w:val="24"/>
        </w:rPr>
      </w:pPr>
      <w:r>
        <w:rPr>
          <w:rFonts w:ascii="Times New Roman" w:hAnsi="Times New Roman"/>
          <w:color w:val="000000"/>
          <w:sz w:val="24"/>
        </w:rPr>
        <w:t>Schedule 13.2.3(a) Existing RxSight Patents</w:t>
      </w:r>
    </w:p>
    <w:p>
      <w:pPr>
        <w:pStyle w:val="TextBody"/>
        <w:bidi w:val="0"/>
        <w:jc w:val="left"/>
        <w:rPr>
          <w:rFonts w:ascii="Times New Roman" w:hAnsi="Times New Roman"/>
          <w:color w:val="000000"/>
          <w:sz w:val="24"/>
        </w:rPr>
      </w:pPr>
      <w:r>
        <w:rPr>
          <w:rFonts w:ascii="Times New Roman" w:hAnsi="Times New Roman"/>
          <w:color w:val="000000"/>
          <w:sz w:val="24"/>
        </w:rPr>
        <w:t>Schedule 13.3.3(a) Existing Alcon Patents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COLLABORATION AND DEVELOPMENT AGREEMENT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THIS LICENSE, COLLABORATION AND DEVELOPMENT AGREEMENT</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effective as of June 30,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is by and between Alcon Pharmaceuticals, Ltd, a Swiss limited company, with offices located at Rue Louis-d’Affry 6 Case postale, 1701 Fribourg, Switzerland (“</w:t>
      </w:r>
      <w:r>
        <w:rPr>
          <w:rFonts w:ascii="Times New Roman" w:hAnsi="Times New Roman"/>
          <w:b/>
          <w:color w:val="000000"/>
          <w:sz w:val="24"/>
        </w:rPr>
        <w:t>Alcon</w:t>
      </w:r>
      <w:r>
        <w:rPr>
          <w:rFonts w:ascii="Times New Roman" w:hAnsi="Times New Roman"/>
          <w:color w:val="000000"/>
          <w:sz w:val="20"/>
        </w:rPr>
        <w:t>”</w:t>
      </w:r>
      <w:r>
        <w:rPr>
          <w:rFonts w:ascii="Times New Roman" w:hAnsi="Times New Roman"/>
          <w:color w:val="000000"/>
          <w:sz w:val="24"/>
        </w:rPr>
        <w:t>), and RxSight, Inc., a Delaware corporation, with offices located at 100 Columbia, Aliso Viejo, California 92656, USA (“</w:t>
      </w:r>
      <w:r>
        <w:rPr>
          <w:rFonts w:ascii="Times New Roman" w:hAnsi="Times New Roman"/>
          <w:b/>
          <w:color w:val="000000"/>
          <w:sz w:val="24"/>
        </w:rPr>
        <w:t>RxSight</w:t>
      </w:r>
      <w:r>
        <w:rPr>
          <w:rFonts w:ascii="Times New Roman" w:hAnsi="Times New Roman"/>
          <w:color w:val="000000"/>
          <w:sz w:val="20"/>
        </w:rPr>
        <w:t>”</w:t>
      </w:r>
      <w:r>
        <w:rPr>
          <w:rFonts w:ascii="Times New Roman" w:hAnsi="Times New Roman"/>
          <w:color w:val="000000"/>
          <w:sz w:val="24"/>
        </w:rPr>
        <w:t>). RxSight and Alcon are each referred to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together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BACKGROUND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RxSight is a medical technology company engaged in the research and development, manufacture, and sale of light adjustable intraocular lenses;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Alcon is a pharmaceutical and medical device company specializing in eye care products;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intend to collaborate to create innovative, next-generation products; and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 furtherance of the foregoing, the Parties wish to collaborate with respect to the development of light adjustable versions of the Existing PanOptix Product (as defined herein) and the Existing Vivity Product (as defined herein) utilizing the RxSight Technology (as defined herein), all in accordance with the terms and conditions set forth in this Agreement.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NOW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THEREFORE</w:t>
      </w:r>
      <w:r>
        <w:rPr>
          <w:rFonts w:ascii="Times New Roman" w:hAnsi="Times New Roman"/>
          <w:color w:val="000000"/>
          <w:sz w:val="24"/>
        </w:rPr>
        <w:t>, in consideration of the mutual covenants and agreements contained herein, the sufficiency of which is acknowledged by both Parties, the Parties agree as follows:</w:t>
      </w:r>
    </w:p>
    <w:p>
      <w:pPr>
        <w:pStyle w:val="TextBody"/>
        <w:bidi w:val="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DEFINITIONS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Capitalized terms used in this Agreement shall have the meanings specified in this Article 1 or as defined elsewhere in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color w:val="000000"/>
        </w:rPr>
        <w:t>“</w:t>
      </w:r>
      <w:r>
        <w:rPr>
          <w:rFonts w:ascii="Times New Roman" w:hAnsi="Times New Roman"/>
          <w:b/>
          <w:color w:val="000000"/>
          <w:sz w:val="24"/>
        </w:rPr>
        <w:t>510(k)</w:t>
      </w:r>
      <w:r>
        <w:rPr>
          <w:color w:val="000000"/>
        </w:rPr>
        <w:t xml:space="preserve">” </w:t>
      </w:r>
      <w:r>
        <w:rPr>
          <w:rFonts w:ascii="Times New Roman" w:hAnsi="Times New Roman"/>
          <w:color w:val="000000"/>
          <w:sz w:val="24"/>
        </w:rPr>
        <w:t>means a premarket notification made to the FDA pursuant to section 510(k) of the FD&amp;C Act (21 U.S.C. § 360(k)) for clearance to market a class I or II medical device (for which a PMA is not required).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color w:val="000000"/>
        </w:rPr>
        <w:t>“</w:t>
      </w:r>
      <w:r>
        <w:rPr>
          <w:rFonts w:ascii="Times New Roman" w:hAnsi="Times New Roman"/>
          <w:b/>
          <w:color w:val="000000"/>
          <w:sz w:val="24"/>
        </w:rPr>
        <w:t>Accounting Standards</w:t>
      </w:r>
      <w:r>
        <w:rPr>
          <w:color w:val="000000"/>
        </w:rPr>
        <w:t xml:space="preserve">” </w:t>
      </w:r>
      <w:r>
        <w:rPr>
          <w:rFonts w:ascii="Times New Roman" w:hAnsi="Times New Roman"/>
          <w:color w:val="000000"/>
          <w:sz w:val="24"/>
        </w:rPr>
        <w:t>means, with respect to a Party or its Affiliates or its or their (sub)licensees/Sublicensees, either the (a) United States Generally Accepted Accounting Principles or (b) International Financial Reporting Standards as issued by the International Accounting Standards Board, as applicable, in each case, as such accounting standard is consistently applied by such Party or its Affiliates or its or their (sub)licensees/Sublicensees across all products owned by or licensed to, and sold by or on behalf of, such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color w:val="000000"/>
        </w:rPr>
        <w:t>“</w:t>
      </w:r>
      <w:r>
        <w:rPr>
          <w:rFonts w:ascii="Times New Roman" w:hAnsi="Times New Roman"/>
          <w:b/>
          <w:color w:val="000000"/>
          <w:sz w:val="24"/>
        </w:rPr>
        <w:t>Acquirer</w:t>
      </w:r>
      <w:r>
        <w:rPr>
          <w:color w:val="000000"/>
        </w:rPr>
        <w:t xml:space="preserve">” </w:t>
      </w:r>
      <w:r>
        <w:rPr>
          <w:rFonts w:ascii="Times New Roman" w:hAnsi="Times New Roman"/>
          <w:color w:val="000000"/>
          <w:sz w:val="24"/>
        </w:rPr>
        <w:t>has the meaning set forth in the definition of “Change of Control.”</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color w:val="000000"/>
        </w:rPr>
        <w:t>“</w:t>
      </w:r>
      <w:r>
        <w:rPr>
          <w:rFonts w:ascii="Times New Roman" w:hAnsi="Times New Roman"/>
          <w:b/>
          <w:color w:val="000000"/>
          <w:sz w:val="24"/>
        </w:rPr>
        <w:t>Additional Activities</w:t>
      </w:r>
      <w:r>
        <w:rPr>
          <w:color w:val="000000"/>
        </w:rPr>
        <w:t xml:space="preserve">” </w:t>
      </w:r>
      <w:r>
        <w:rPr>
          <w:rFonts w:ascii="Times New Roman" w:hAnsi="Times New Roman"/>
          <w:color w:val="000000"/>
          <w:sz w:val="24"/>
        </w:rPr>
        <w:t>has the meaning set forth in Section 3.3.4.</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with respect to any Person, any entity that, at the relevant time (whether as of the Effective Date or thereafter), directly or indirectly through one (1) or more intermediaries, controls, is controlled by or is under common control with such Person, for so long as such control exists. As used in this Section 1.5, “control” and, with correlative meanings, the terms “controlled by” and “under common control with” mean: (a) to possess, directly or indirectly, the power to direct or cause the direction of the management or policies of an entity, whether through ownership of voting securities or by contract relating to voting rights, corporate governance or otherwise; or (b) direct or indirect ownership of fifty percent (50%) or more of the voting share capital or other equity interest in such entity. The Parties acknowledge that, in the case of entities organized under the laws of certain countries where the maximum percentage ownership permitted by law for a foreign investor is less than fifty percent (50%), such lower percentage shall be substituted in the preceding sentence; provided</w:t>
      </w:r>
      <w:r>
        <w:rPr>
          <w:color w:val="000000"/>
        </w:rPr>
        <w:t xml:space="preserve"> </w:t>
      </w:r>
      <w:r>
        <w:rPr>
          <w:rFonts w:ascii="Times New Roman" w:hAnsi="Times New Roman"/>
          <w:color w:val="000000"/>
          <w:sz w:val="24"/>
        </w:rPr>
        <w:t>that such foreign investor has the power to direct the management and policies of such entity.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color w:val="000000"/>
        </w:rPr>
        <w:t>“</w:t>
      </w:r>
      <w:r>
        <w:rPr>
          <w:rFonts w:ascii="Times New Roman" w:hAnsi="Times New Roman"/>
          <w:b/>
          <w:color w:val="000000"/>
          <w:sz w:val="24"/>
        </w:rPr>
        <w:t>Agreement</w:t>
      </w:r>
      <w:r>
        <w:rPr>
          <w:color w:val="000000"/>
        </w:rPr>
        <w:t xml:space="preserve">” </w:t>
      </w:r>
      <w:r>
        <w:rPr>
          <w:rFonts w:ascii="Times New Roman" w:hAnsi="Times New Roman"/>
          <w:color w:val="000000"/>
          <w:sz w:val="24"/>
        </w:rPr>
        <w:t>has the meaning set forth in the Preamble.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color w:val="000000"/>
        </w:rPr>
        <w:t>“</w:t>
      </w:r>
      <w:r>
        <w:rPr>
          <w:rFonts w:ascii="Times New Roman" w:hAnsi="Times New Roman"/>
          <w:b/>
          <w:color w:val="000000"/>
          <w:sz w:val="24"/>
        </w:rPr>
        <w:t>Alcon</w:t>
      </w:r>
      <w:r>
        <w:rPr>
          <w:color w:val="000000"/>
        </w:rPr>
        <w:t xml:space="preserve">” </w:t>
      </w:r>
      <w:r>
        <w:rPr>
          <w:rFonts w:ascii="Times New Roman" w:hAnsi="Times New Roman"/>
          <w:color w:val="000000"/>
          <w:sz w:val="24"/>
        </w:rPr>
        <w:t>has the meaning set forth in the Preamble.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color w:val="000000"/>
        </w:rPr>
        <w:t>“</w:t>
      </w:r>
      <w:r>
        <w:rPr>
          <w:rFonts w:ascii="Times New Roman" w:hAnsi="Times New Roman"/>
          <w:b/>
          <w:color w:val="000000"/>
          <w:sz w:val="24"/>
        </w:rPr>
        <w:t>Alcon Arising Intellectual Property</w:t>
      </w:r>
      <w:r>
        <w:rPr>
          <w:color w:val="000000"/>
        </w:rPr>
        <w:t xml:space="preserve">” </w:t>
      </w:r>
      <w:r>
        <w:rPr>
          <w:rFonts w:ascii="Times New Roman" w:hAnsi="Times New Roman"/>
          <w:color w:val="000000"/>
          <w:sz w:val="24"/>
        </w:rPr>
        <w:t>has the meaning set forth in Section 9.2.2(a).</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color w:val="000000"/>
        </w:rPr>
        <w:t>“</w:t>
      </w:r>
      <w:r>
        <w:rPr>
          <w:rFonts w:ascii="Times New Roman" w:hAnsi="Times New Roman"/>
          <w:b/>
          <w:color w:val="000000"/>
          <w:sz w:val="24"/>
        </w:rPr>
        <w:t>Alcon Indemnified Party</w:t>
      </w:r>
      <w:r>
        <w:rPr>
          <w:color w:val="000000"/>
        </w:rPr>
        <w:t xml:space="preserve">” </w:t>
      </w:r>
      <w:r>
        <w:rPr>
          <w:rFonts w:ascii="Times New Roman" w:hAnsi="Times New Roman"/>
          <w:color w:val="000000"/>
          <w:sz w:val="24"/>
        </w:rPr>
        <w:t>has the meaning set forth in Section 14.1.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w:t>
      </w:r>
    </w:p>
    <w:p>
      <w:pPr>
        <w:pStyle w:val="TextBody"/>
        <w:bidi w:val="0"/>
        <w:spacing w:before="0" w:after="240"/>
        <w:jc w:val="both"/>
        <w:rPr/>
      </w:pPr>
      <w:r>
        <w:rPr>
          <w:color w:val="000000"/>
        </w:rPr>
        <w:t>“</w:t>
      </w:r>
      <w:r>
        <w:rPr>
          <w:rFonts w:ascii="Times New Roman" w:hAnsi="Times New Roman"/>
          <w:b/>
          <w:color w:val="000000"/>
          <w:sz w:val="24"/>
        </w:rPr>
        <w:t>Alcon LLC</w:t>
      </w:r>
      <w:r>
        <w:rPr>
          <w:color w:val="000000"/>
        </w:rPr>
        <w:t xml:space="preserve">” </w:t>
      </w:r>
      <w:r>
        <w:rPr>
          <w:rFonts w:ascii="Times New Roman" w:hAnsi="Times New Roman"/>
          <w:color w:val="000000"/>
          <w:sz w:val="24"/>
        </w:rPr>
        <w:t>has the meaning set forth in Section 6.3.2.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color w:val="000000"/>
        </w:rPr>
        <w:t>“</w:t>
      </w:r>
      <w:r>
        <w:rPr>
          <w:rFonts w:ascii="Times New Roman" w:hAnsi="Times New Roman"/>
          <w:b/>
          <w:color w:val="000000"/>
          <w:sz w:val="24"/>
        </w:rPr>
        <w:t>Alcon Materials</w:t>
      </w:r>
      <w:r>
        <w:rPr>
          <w:color w:val="000000"/>
        </w:rPr>
        <w:t xml:space="preserve">” </w:t>
      </w:r>
      <w:r>
        <w:rPr>
          <w:rFonts w:ascii="Times New Roman" w:hAnsi="Times New Roman"/>
          <w:color w:val="000000"/>
          <w:sz w:val="24"/>
        </w:rPr>
        <w:t>means the Existing PanOptix Product and the Existing Vivity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color w:val="000000"/>
        </w:rPr>
        <w:t>“</w:t>
      </w:r>
      <w:r>
        <w:rPr>
          <w:rFonts w:ascii="Times New Roman" w:hAnsi="Times New Roman"/>
          <w:b/>
          <w:color w:val="000000"/>
          <w:sz w:val="24"/>
        </w:rPr>
        <w:t>Alcon Reversion Product Intellectual Property</w:t>
      </w:r>
      <w:r>
        <w:rPr>
          <w:color w:val="000000"/>
        </w:rPr>
        <w:t xml:space="preserve">” </w:t>
      </w:r>
      <w:r>
        <w:rPr>
          <w:rFonts w:ascii="Times New Roman" w:hAnsi="Times New Roman"/>
          <w:color w:val="000000"/>
          <w:sz w:val="24"/>
        </w:rPr>
        <w:t>means any Intellectual Property (excluding Trademarks) that: (a) is Controlled by Alcon or any of its Affiliates as of the effective date of the applicable termination of this Agreement or at any time thereafter until RxSight or its Affiliates or licensee ceases all Exploitation of all Reversion Products, and (b) is necessary to Exploit the Reversion Products in the Field in the Territory.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color w:val="000000"/>
        </w:rPr>
        <w:t>“</w:t>
      </w:r>
      <w:r>
        <w:rPr>
          <w:rFonts w:ascii="Times New Roman" w:hAnsi="Times New Roman"/>
          <w:b/>
          <w:color w:val="000000"/>
          <w:sz w:val="24"/>
        </w:rPr>
        <w:t>Alcon Technology</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color w:val="000000"/>
        </w:rPr>
        <w:t>“</w:t>
      </w:r>
      <w:r>
        <w:rPr>
          <w:rFonts w:ascii="Times New Roman" w:hAnsi="Times New Roman"/>
          <w:b/>
          <w:color w:val="000000"/>
          <w:sz w:val="24"/>
        </w:rPr>
        <w:t>Alcon Trademarks</w:t>
      </w:r>
      <w:r>
        <w:rPr>
          <w:color w:val="000000"/>
        </w:rPr>
        <w:t xml:space="preserve">” </w:t>
      </w:r>
      <w:r>
        <w:rPr>
          <w:rFonts w:ascii="Times New Roman" w:hAnsi="Times New Roman"/>
          <w:color w:val="000000"/>
          <w:sz w:val="24"/>
        </w:rPr>
        <w:t>means any Trademark Controlled by Alcon or its Affiliates that are used or intended to be used by Alcon for the Collaboration Product and are not either a Product Trademark or a RxSight Trademark.</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color w:val="000000"/>
        </w:rPr>
        <w:t>“</w:t>
      </w:r>
      <w:r>
        <w:rPr>
          <w:rFonts w:ascii="Times New Roman" w:hAnsi="Times New Roman"/>
          <w:b/>
          <w:color w:val="000000"/>
          <w:sz w:val="24"/>
        </w:rPr>
        <w:t>Alliance Manager</w:t>
      </w:r>
      <w:r>
        <w:rPr>
          <w:color w:val="000000"/>
        </w:rPr>
        <w:t xml:space="preserve">” </w:t>
      </w:r>
      <w:r>
        <w:rPr>
          <w:rFonts w:ascii="Times New Roman" w:hAnsi="Times New Roman"/>
          <w:color w:val="000000"/>
          <w:sz w:val="24"/>
        </w:rPr>
        <w:t>has the meaning set forth in Section 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both"/>
        <w:rPr/>
      </w:pPr>
      <w:r>
        <w:rPr>
          <w:color w:val="000000"/>
        </w:rPr>
        <w:t>“</w:t>
      </w:r>
      <w:r>
        <w:rPr>
          <w:rFonts w:ascii="Times New Roman" w:hAnsi="Times New Roman"/>
          <w:b/>
          <w:color w:val="000000"/>
          <w:sz w:val="24"/>
        </w:rPr>
        <w:t>Alternative Manufacturer</w:t>
      </w:r>
      <w:r>
        <w:rPr>
          <w:color w:val="000000"/>
        </w:rPr>
        <w:t xml:space="preserve">” </w:t>
      </w:r>
      <w:r>
        <w:rPr>
          <w:rFonts w:ascii="Times New Roman" w:hAnsi="Times New Roman"/>
          <w:color w:val="000000"/>
          <w:sz w:val="24"/>
        </w:rPr>
        <w:t>has the meaning set forth in the Manufacturing and Supply Agreement.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both"/>
        <w:rPr/>
      </w:pPr>
      <w:r>
        <w:rPr>
          <w:color w:val="000000"/>
        </w:rPr>
        <w:t>“</w:t>
      </w:r>
      <w:r>
        <w:rPr>
          <w:rFonts w:ascii="Times New Roman" w:hAnsi="Times New Roman"/>
          <w:b/>
          <w:color w:val="000000"/>
          <w:sz w:val="24"/>
        </w:rPr>
        <w:t>Ancillary Agreements</w:t>
      </w:r>
      <w:r>
        <w:rPr>
          <w:color w:val="000000"/>
        </w:rPr>
        <w:t xml:space="preserve">” </w:t>
      </w:r>
      <w:r>
        <w:rPr>
          <w:rFonts w:ascii="Times New Roman" w:hAnsi="Times New Roman"/>
          <w:color w:val="000000"/>
          <w:sz w:val="24"/>
        </w:rPr>
        <w:t>means the Manufacturing and Supply Agreement, Quality Agreement, Materiovigilance Agreement(s), and any other agreements by and between the Parties that relate to the subject matter of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both"/>
        <w:rPr/>
      </w:pPr>
      <w:r>
        <w:rPr>
          <w:color w:val="000000"/>
        </w:rPr>
        <w:t>“</w:t>
      </w:r>
      <w:r>
        <w:rPr>
          <w:rFonts w:ascii="Times New Roman" w:hAnsi="Times New Roman"/>
          <w:b/>
          <w:color w:val="000000"/>
          <w:sz w:val="24"/>
        </w:rPr>
        <w:t>Anticipated Approval Date</w:t>
      </w:r>
      <w:r>
        <w:rPr>
          <w:color w:val="000000"/>
        </w:rPr>
        <w:t xml:space="preserve">” </w:t>
      </w:r>
      <w:r>
        <w:rPr>
          <w:rFonts w:ascii="Times New Roman" w:hAnsi="Times New Roman"/>
          <w:color w:val="000000"/>
          <w:sz w:val="24"/>
        </w:rPr>
        <w:t xml:space="preserve">has the meaning set forth in the Manufacturing and Supply Agreement.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both"/>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means the applicable provisions of any and all federal, national, supranational, foreign, regional, state and local laws, treaties, statutes, ordinances, rules, regulations, guidelines, requirements, standards, administrative codes, guidance, judgments, decrees, directives, injunctions, orders or permits of or from any court, arbitrator, Regulatory Authority, Governmental Authority, taxing authority, national securities exchange or exchange listing organization having jurisdiction over or related to the relevant subject activity or item that may be in effect from time to time during the Term, including Data Protection Laws and those applicable to the procurement, testing, design, development, research, manufacture, production, packaging, labeling, distribution, importation, exportation, storage, handling, quality, safety surveillance, reporting of serious incidents, adverse events and product complaints, post-market actions (including recalls), reprocessing, traceability, vigilance, Commercialization, sale, marketing or promotion of medical devices, including the Collaboration Products, or to the licensing, permitting, certification, accreditation, or registration of, and standards for, establishments involved in any such activities, including: (a) the FD&amp;C Act, the U.S. Public Health Service Act, 42 U.S.C. §§ 201 et seq., and all rules, regulations, and guidance promulgated thereunder; (b) current GMP, GCP and GLP requirements in each case as promulgated, endorsed, or enforced by a Governmental Authority, (including the regulations set forth in 21 C.F.R. Parts 11, 50, 54, 56, 58, 812, and 820), in each case as may be amended from time-to-time; (c) licensure laws, rules, regulations, ordinances, directives, guidelines, guidance, and requirements relating to the manufacture, distribution, storage, holding, dispensing and possession of medical products; (d) laws, rules, regulations, ordinances, directives, guidelines, guidance, and requirements regarding kickbacks, bribery, or corruption, including the federal Anti-Kickback Statute, 42 U.S.C. § 1320a-7b(b), the federal False Claims Act (31 U.S.C. §§ 3729 et seq.); the criminal false statements law (42 U.S.C. § 1320a-7b(a)), the Civil Monetary Penalties Law (42 U.S.C. § 1320a-7a), the exclusion laws (42 U.S.C. § 1320a-7), Transparency Laws, the criminal healthcare fraud statutes set forth at 18 U.S.C. §§ 286, 287, 1035, 1347 and 1349, and any other law pertaining to or governing a government sponsored or funded healthcare program, and, in each of the foregoing, its implementing regulations, and state equivalents, the U.S. Foreign Corrupt Practices Act, and the UK Bribery Act; (e) the U.S. Federal Trade Commission Act, 15 U.S.C. §§ 41 et seq., and all rules, regulations, and guidance promulgated thereunder; and (f) any supranational, international, foreign, state, and local laws, rules, regulations, ordinances, directives, guidelines, guidance, standards and requirements similar to any of the foregoing; each as may be amended from time-to-time, including the Medical Device Regulation (EU) 2017/745 and (UK) Medical Devices Regulations 2002, SI 2002/618.</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1.20</w:t>
      </w:r>
    </w:p>
    <w:p>
      <w:pPr>
        <w:pStyle w:val="TextBody"/>
        <w:bidi w:val="0"/>
        <w:spacing w:before="0" w:after="240"/>
        <w:jc w:val="both"/>
        <w:rPr/>
      </w:pPr>
      <w:r>
        <w:rPr>
          <w:color w:val="000000"/>
        </w:rPr>
        <w:t>“</w:t>
      </w:r>
      <w:r>
        <w:rPr>
          <w:rFonts w:ascii="Times New Roman" w:hAnsi="Times New Roman"/>
          <w:b/>
          <w:color w:val="000000"/>
          <w:sz w:val="24"/>
        </w:rPr>
        <w:t>Approval Milestone Payment</w:t>
      </w:r>
      <w:r>
        <w:rPr>
          <w:color w:val="000000"/>
        </w:rPr>
        <w:t xml:space="preserve">” </w:t>
      </w:r>
      <w:r>
        <w:rPr>
          <w:rFonts w:ascii="Times New Roman" w:hAnsi="Times New Roman"/>
          <w:color w:val="000000"/>
          <w:sz w:val="24"/>
        </w:rPr>
        <w:t>has the meaning set forth in Section 7.2.3.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both"/>
        <w:rPr/>
      </w:pPr>
      <w:r>
        <w:rPr>
          <w:color w:val="000000"/>
        </w:rPr>
        <w:t>“</w:t>
      </w:r>
      <w:r>
        <w:rPr>
          <w:rFonts w:ascii="Times New Roman" w:hAnsi="Times New Roman"/>
          <w:b/>
          <w:color w:val="000000"/>
          <w:sz w:val="24"/>
        </w:rPr>
        <w:t>Auditor</w:t>
      </w:r>
      <w:r>
        <w:rPr>
          <w:color w:val="000000"/>
        </w:rPr>
        <w:t xml:space="preserve">” </w:t>
      </w:r>
      <w:r>
        <w:rPr>
          <w:rFonts w:ascii="Times New Roman" w:hAnsi="Times New Roman"/>
          <w:color w:val="000000"/>
          <w:sz w:val="24"/>
        </w:rPr>
        <w:t>has the meaning set forth in Section 8.3.1.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1.24</w:t>
      </w:r>
    </w:p>
    <w:p>
      <w:pPr>
        <w:pStyle w:val="TextBody"/>
        <w:bidi w:val="0"/>
        <w:spacing w:before="0" w:after="240"/>
        <w:jc w:val="both"/>
        <w:rPr/>
      </w:pPr>
      <w:r>
        <w:rPr>
          <w:color w:val="000000"/>
        </w:rPr>
        <w:t>“</w:t>
      </w:r>
      <w:r>
        <w:rPr>
          <w:rFonts w:ascii="Times New Roman" w:hAnsi="Times New Roman"/>
          <w:b/>
          <w:color w:val="000000"/>
          <w:sz w:val="24"/>
        </w:rPr>
        <w:t>Baseball Arbitration</w:t>
      </w:r>
      <w:r>
        <w:rPr>
          <w:color w:val="000000"/>
        </w:rPr>
        <w:t xml:space="preserve">” </w:t>
      </w:r>
      <w:r>
        <w:rPr>
          <w:rFonts w:ascii="Times New Roman" w:hAnsi="Times New Roman"/>
          <w:color w:val="000000"/>
          <w:sz w:val="24"/>
        </w:rPr>
        <w:t xml:space="preserve">means the process set forth on </w:t>
      </w:r>
      <w:r>
        <w:rPr>
          <w:rFonts w:ascii="Times New Roman" w:hAnsi="Times New Roman"/>
          <w:b/>
          <w:color w:val="000000"/>
          <w:sz w:val="24"/>
        </w:rPr>
        <w:t>Exhibit A</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1.25</w:t>
      </w:r>
    </w:p>
    <w:p>
      <w:pPr>
        <w:pStyle w:val="TextBody"/>
        <w:bidi w:val="0"/>
        <w:spacing w:before="0" w:after="240"/>
        <w:jc w:val="both"/>
        <w:rPr/>
      </w:pPr>
      <w:r>
        <w:rPr>
          <w:color w:val="000000"/>
        </w:rPr>
        <w:t>“</w:t>
      </w:r>
      <w:r>
        <w:rPr>
          <w:rFonts w:ascii="Times New Roman" w:hAnsi="Times New Roman"/>
          <w:b/>
          <w:color w:val="000000"/>
          <w:sz w:val="24"/>
        </w:rPr>
        <w:t>Bayh-Dole Act</w:t>
      </w:r>
      <w:r>
        <w:rPr>
          <w:color w:val="000000"/>
        </w:rPr>
        <w:t xml:space="preserve">” </w:t>
      </w:r>
      <w:r>
        <w:rPr>
          <w:rFonts w:ascii="Times New Roman" w:hAnsi="Times New Roman"/>
          <w:color w:val="000000"/>
          <w:sz w:val="24"/>
        </w:rPr>
        <w:t>has the meaning set forth in Section 13.2.7.</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1.26</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means any day other than any Saturday, any Sunday or any day that banks are authorized or required to be closed in (a) Geneva, Switzerland, (b) New York, USA, or (c) California, USA.</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1.27</w:t>
      </w:r>
    </w:p>
    <w:p>
      <w:pPr>
        <w:pStyle w:val="TextBody"/>
        <w:bidi w:val="0"/>
        <w:spacing w:before="0" w:after="240"/>
        <w:jc w:val="both"/>
        <w:rPr/>
      </w:pPr>
      <w:r>
        <w:rPr>
          <w:color w:val="000000"/>
        </w:rPr>
        <w:t>“</w:t>
      </w:r>
      <w:r>
        <w:rPr>
          <w:rFonts w:ascii="Times New Roman" w:hAnsi="Times New Roman"/>
          <w:b/>
          <w:color w:val="000000"/>
          <w:sz w:val="24"/>
        </w:rPr>
        <w:t>Calendar Quarter</w:t>
      </w:r>
      <w:r>
        <w:rPr>
          <w:color w:val="000000"/>
        </w:rPr>
        <w:t xml:space="preserve">” </w:t>
      </w:r>
      <w:r>
        <w:rPr>
          <w:rFonts w:ascii="Times New Roman" w:hAnsi="Times New Roman"/>
          <w:color w:val="000000"/>
          <w:sz w:val="24"/>
        </w:rPr>
        <w:t>means each respective period of three (3) consecutive calendar months ending on March 31, June 30, September 30 or December 31 of any Calendar Year, except that the first Calendar Quarter of the Term shall commence on the Effective Date and end on the first to occur of March 31, June 30, September 30 and December 31 after the Effective Date and the last Calendar Quarter of the Term shall end on the last day of the Term.</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1.28</w:t>
      </w:r>
    </w:p>
    <w:p>
      <w:pPr>
        <w:pStyle w:val="TextBody"/>
        <w:bidi w:val="0"/>
        <w:spacing w:before="0" w:after="240"/>
        <w:jc w:val="both"/>
        <w:rPr/>
      </w:pPr>
      <w:r>
        <w:rPr>
          <w:color w:val="000000"/>
        </w:rPr>
        <w:t>“</w:t>
      </w:r>
      <w:r>
        <w:rPr>
          <w:rFonts w:ascii="Times New Roman" w:hAnsi="Times New Roman"/>
          <w:b/>
          <w:color w:val="000000"/>
          <w:sz w:val="24"/>
        </w:rPr>
        <w:t>Calendar Year</w:t>
      </w:r>
      <w:r>
        <w:rPr>
          <w:color w:val="000000"/>
        </w:rPr>
        <w:t xml:space="preserve">” </w:t>
      </w:r>
      <w:r>
        <w:rPr>
          <w:rFonts w:ascii="Times New Roman" w:hAnsi="Times New Roman"/>
          <w:color w:val="000000"/>
          <w:sz w:val="24"/>
        </w:rPr>
        <w:t>means each respective period of twelve (12) consecutive calendar months commencing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1.29</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with respect to either Party: (a) the acquisition by a Third Party, together with its Affiliates, in one (1) transaction or a series of related transactions, of direct or indirect beneficial ownership of fifty percent (50%) or more of the outstanding voting equity securities of such Party (or, if applicable, a controlling Affiliate of such Party); (b) a merger, reorganization, combination or consolidation involving such Party (or, if applicable, a controlling Affiliate of such Party), as a result of which a Third Party acquires direct or indirect beneficial ownership of fifty percent (50%) or more of the voting power of the surviving entity immediately after such merger, reorganization, combination or consolidation; (c) a sale, transfer or lease of all or substantially all of the assets of such Party (or, if applicable, a controlling Affiliate of such Party), in one (1) transaction or a series of related transactions, to a Third Party; or (d) the sale or other transfer to a Third Party of all or substantially all of such Party’s business or assets relating to this Agreement, including the Licensed Alcon Intellectual Property or Licensed RxSight Intellectual Property. The acquiring or combining Third Party in any of clauses (a), (b), (c) or (d), and any of such Third Party’s Affiliates (whether in existence as of or any time following the applicable transaction, but other than the acquired Party, its Affiliates in existence prior to the applicable transaction and its controlled Affiliates following the applicable transaction and any successors thereto) are referred to collectively herein as an “</w:t>
      </w:r>
      <w:r>
        <w:rPr>
          <w:rFonts w:ascii="Times New Roman" w:hAnsi="Times New Roman"/>
          <w:b/>
          <w:color w:val="000000"/>
          <w:sz w:val="24"/>
        </w:rPr>
        <w:t>Acquirer</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1.30</w:t>
      </w:r>
    </w:p>
    <w:p>
      <w:pPr>
        <w:pStyle w:val="TextBody"/>
        <w:bidi w:val="0"/>
        <w:spacing w:before="0" w:after="240"/>
        <w:jc w:val="both"/>
        <w:rPr/>
      </w:pPr>
      <w:r>
        <w:rPr>
          <w:color w:val="000000"/>
        </w:rPr>
        <w:t>“</w:t>
      </w:r>
      <w:r>
        <w:rPr>
          <w:rFonts w:ascii="Times New Roman" w:hAnsi="Times New Roman"/>
          <w:b/>
          <w:color w:val="000000"/>
          <w:sz w:val="24"/>
        </w:rPr>
        <w:t>Change of Control Agreement</w:t>
      </w:r>
      <w:r>
        <w:rPr>
          <w:color w:val="000000"/>
        </w:rPr>
        <w:t xml:space="preserve">” </w:t>
      </w:r>
      <w:r>
        <w:rPr>
          <w:rFonts w:ascii="Times New Roman" w:hAnsi="Times New Roman"/>
          <w:color w:val="000000"/>
          <w:sz w:val="24"/>
        </w:rPr>
        <w:t>has the meaning set forth in Section 16.9.2(a).</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both"/>
        <w:rPr/>
      </w:pPr>
      <w:r>
        <w:rPr>
          <w:color w:val="000000"/>
        </w:rPr>
        <w:t>“</w:t>
      </w:r>
      <w:r>
        <w:rPr>
          <w:rFonts w:ascii="Times New Roman" w:hAnsi="Times New Roman"/>
          <w:b/>
          <w:color w:val="000000"/>
          <w:sz w:val="24"/>
        </w:rPr>
        <w:t>Claims</w:t>
      </w:r>
      <w:r>
        <w:rPr>
          <w:color w:val="000000"/>
        </w:rPr>
        <w:t xml:space="preserve">” </w:t>
      </w:r>
      <w:r>
        <w:rPr>
          <w:rFonts w:ascii="Times New Roman" w:hAnsi="Times New Roman"/>
          <w:color w:val="000000"/>
          <w:sz w:val="24"/>
        </w:rPr>
        <w:t>has the meaning set forth in Section 14.1.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both"/>
        <w:rPr/>
      </w:pPr>
      <w:r>
        <w:rPr>
          <w:color w:val="000000"/>
        </w:rPr>
        <w:t>“</w:t>
      </w:r>
      <w:r>
        <w:rPr>
          <w:rFonts w:ascii="Times New Roman" w:hAnsi="Times New Roman"/>
          <w:b/>
          <w:color w:val="000000"/>
          <w:sz w:val="24"/>
        </w:rPr>
        <w:t>Clawback Amount</w:t>
      </w:r>
      <w:r>
        <w:rPr>
          <w:color w:val="000000"/>
        </w:rPr>
        <w:t xml:space="preserve">” </w:t>
      </w:r>
      <w:r>
        <w:rPr>
          <w:rFonts w:ascii="Times New Roman" w:hAnsi="Times New Roman"/>
          <w:color w:val="000000"/>
          <w:sz w:val="24"/>
        </w:rPr>
        <w:t>has the meaning set forth in Section 7.3.7(a)(iii)(D).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both"/>
        <w:rPr/>
      </w:pPr>
      <w:r>
        <w:rPr>
          <w:color w:val="000000"/>
        </w:rPr>
        <w:t>“</w:t>
      </w:r>
      <w:r>
        <w:rPr>
          <w:rFonts w:ascii="Times New Roman" w:hAnsi="Times New Roman"/>
          <w:b/>
          <w:color w:val="000000"/>
          <w:sz w:val="24"/>
        </w:rPr>
        <w:t>Clinical Trial</w:t>
      </w:r>
      <w:r>
        <w:rPr>
          <w:color w:val="000000"/>
        </w:rPr>
        <w:t xml:space="preserve">” </w:t>
      </w:r>
      <w:r>
        <w:rPr>
          <w:rFonts w:ascii="Times New Roman" w:hAnsi="Times New Roman"/>
          <w:color w:val="000000"/>
          <w:sz w:val="24"/>
        </w:rPr>
        <w:t xml:space="preserve">means any investigation or study in human subjects designed to evaluate the safety or performance of a medical device, including any clinical investigation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conducted to obtain data to support obtaining or maintaining Regulatory Approval, whether conducted prior to or following such Regulatory Approval.</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1.34</w:t>
      </w:r>
    </w:p>
    <w:p>
      <w:pPr>
        <w:pStyle w:val="TextBody"/>
        <w:bidi w:val="0"/>
        <w:spacing w:before="0" w:after="240"/>
        <w:jc w:val="both"/>
        <w:rPr/>
      </w:pPr>
      <w:r>
        <w:rPr>
          <w:color w:val="000000"/>
        </w:rPr>
        <w:t>“</w:t>
      </w:r>
      <w:r>
        <w:rPr>
          <w:rFonts w:ascii="Times New Roman" w:hAnsi="Times New Roman"/>
          <w:b/>
          <w:color w:val="000000"/>
          <w:sz w:val="24"/>
        </w:rPr>
        <w:t>Collaboration Data</w:t>
      </w:r>
      <w:r>
        <w:rPr>
          <w:color w:val="000000"/>
        </w:rPr>
        <w:t xml:space="preserve">” </w:t>
      </w:r>
      <w:r>
        <w:rPr>
          <w:rFonts w:ascii="Times New Roman" w:hAnsi="Times New Roman"/>
          <w:color w:val="000000"/>
          <w:sz w:val="24"/>
        </w:rPr>
        <w:t>has the meaning set forth in Section 3.1.4.</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1.35</w:t>
      </w:r>
    </w:p>
    <w:p>
      <w:pPr>
        <w:pStyle w:val="TextBody"/>
        <w:bidi w:val="0"/>
        <w:spacing w:before="0" w:after="240"/>
        <w:jc w:val="both"/>
        <w:rPr/>
      </w:pPr>
      <w:r>
        <w:rPr>
          <w:color w:val="000000"/>
        </w:rPr>
        <w:t>“</w:t>
      </w:r>
      <w:r>
        <w:rPr>
          <w:rFonts w:ascii="Times New Roman" w:hAnsi="Times New Roman"/>
          <w:b/>
          <w:color w:val="000000"/>
          <w:sz w:val="24"/>
        </w:rPr>
        <w:t>Collaboration Product</w:t>
      </w:r>
      <w:r>
        <w:rPr>
          <w:color w:val="000000"/>
        </w:rPr>
        <w:t xml:space="preserve">” </w:t>
      </w:r>
      <w:r>
        <w:rPr>
          <w:rFonts w:ascii="Times New Roman" w:hAnsi="Times New Roman"/>
          <w:color w:val="000000"/>
          <w:sz w:val="24"/>
        </w:rPr>
        <w:t>means any Hybrid PanOptix Product and Hybrid Vivity Product, including (a) any Minor Upgrades to such lens implemented in accordance with Section 3.6.1 after the Effective Date and (b) any Material Upgrades to such lens agreed in writing by the Parties to be incorporated into a Collaboration Product pursuant to Section 3.6.2.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1.36</w:t>
      </w:r>
    </w:p>
    <w:p>
      <w:pPr>
        <w:pStyle w:val="TextBody"/>
        <w:bidi w:val="0"/>
        <w:spacing w:before="0" w:after="240"/>
        <w:jc w:val="both"/>
        <w:rPr/>
      </w:pPr>
      <w:r>
        <w:rPr>
          <w:color w:val="000000"/>
        </w:rPr>
        <w:t>“</w:t>
      </w:r>
      <w:r>
        <w:rPr>
          <w:rFonts w:ascii="Times New Roman" w:hAnsi="Times New Roman"/>
          <w:b/>
          <w:color w:val="000000"/>
          <w:sz w:val="24"/>
        </w:rPr>
        <w:t>Commercialization</w:t>
      </w:r>
      <w:r>
        <w:rPr>
          <w:color w:val="000000"/>
        </w:rPr>
        <w:t xml:space="preserve">” </w:t>
      </w:r>
      <w:r>
        <w:rPr>
          <w:rFonts w:ascii="Times New Roman" w:hAnsi="Times New Roman"/>
          <w:color w:val="000000"/>
          <w:sz w:val="24"/>
        </w:rPr>
        <w:t>or “</w:t>
      </w:r>
      <w:r>
        <w:rPr>
          <w:rFonts w:ascii="Times New Roman" w:hAnsi="Times New Roman"/>
          <w:b/>
          <w:color w:val="000000"/>
          <w:sz w:val="24"/>
        </w:rPr>
        <w:t>Commercialize</w:t>
      </w:r>
      <w:r>
        <w:rPr>
          <w:color w:val="000000"/>
        </w:rPr>
        <w:t xml:space="preserve">” </w:t>
      </w:r>
      <w:r>
        <w:rPr>
          <w:rFonts w:ascii="Times New Roman" w:hAnsi="Times New Roman"/>
          <w:color w:val="000000"/>
          <w:sz w:val="24"/>
        </w:rPr>
        <w:t>means any and all activities directed to the preparation for sale of, offering for sale or sale of a medical device, including: (a) activities directed to storing, marketing, promoting, detailing, distributing, importing, exporting, selling and offering to sell that device; and (b) interacting with Regulatory Authorities regarding the foregoing. When used as a verb, to “Commercialize” and “Commercializing” means to engage in Commercialization and “Commercialized” has a corresponding meaning. For clarity, “Commercialization” shall not include any Manufacturing activities.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1.37</w:t>
      </w:r>
    </w:p>
    <w:p>
      <w:pPr>
        <w:pStyle w:val="TextBody"/>
        <w:bidi w:val="0"/>
        <w:spacing w:before="0" w:after="240"/>
        <w:jc w:val="both"/>
        <w:rPr/>
      </w:pPr>
      <w:r>
        <w:rPr>
          <w:color w:val="000000"/>
        </w:rPr>
        <w:t>“</w:t>
      </w:r>
      <w:r>
        <w:rPr>
          <w:rFonts w:ascii="Times New Roman" w:hAnsi="Times New Roman"/>
          <w:b/>
          <w:color w:val="000000"/>
          <w:sz w:val="24"/>
        </w:rPr>
        <w:t>Commercially Reasonable Efforts</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1.38</w:t>
      </w:r>
    </w:p>
    <w:p>
      <w:pPr>
        <w:pStyle w:val="TextBody"/>
        <w:bidi w:val="0"/>
        <w:spacing w:before="0" w:after="240"/>
        <w:jc w:val="both"/>
        <w:rPr/>
      </w:pPr>
      <w:r>
        <w:rPr>
          <w:color w:val="000000"/>
        </w:rPr>
        <w:t>“</w:t>
      </w:r>
      <w:r>
        <w:rPr>
          <w:rFonts w:ascii="Times New Roman" w:hAnsi="Times New Roman"/>
          <w:b/>
          <w:color w:val="000000"/>
          <w:sz w:val="24"/>
        </w:rPr>
        <w:t>Competitive Infringement</w:t>
      </w:r>
      <w:r>
        <w:rPr>
          <w:color w:val="000000"/>
        </w:rPr>
        <w:t xml:space="preserve">” </w:t>
      </w:r>
      <w:r>
        <w:rPr>
          <w:rFonts w:ascii="Times New Roman" w:hAnsi="Times New Roman"/>
          <w:color w:val="000000"/>
          <w:sz w:val="24"/>
        </w:rPr>
        <w:t>has the meaning set forth in Section 9.4.1.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1.39</w:t>
      </w:r>
    </w:p>
    <w:p>
      <w:pPr>
        <w:pStyle w:val="TextBody"/>
        <w:bidi w:val="0"/>
        <w:spacing w:before="0" w:after="240"/>
        <w:jc w:val="both"/>
        <w:rPr/>
      </w:pPr>
      <w:r>
        <w:rPr>
          <w:color w:val="000000"/>
        </w:rPr>
        <w:t>“</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has the meaning set forth in Section 10.1.1.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1.40</w:t>
      </w:r>
    </w:p>
    <w:p>
      <w:pPr>
        <w:pStyle w:val="TextBody"/>
        <w:bidi w:val="0"/>
        <w:spacing w:before="0" w:after="240"/>
        <w:jc w:val="both"/>
        <w:rPr/>
      </w:pPr>
      <w:r>
        <w:rPr>
          <w:color w:val="000000"/>
        </w:rPr>
        <w:t>“</w:t>
      </w:r>
      <w:r>
        <w:rPr>
          <w:rFonts w:ascii="Times New Roman" w:hAnsi="Times New Roman"/>
          <w:b/>
          <w:color w:val="000000"/>
          <w:sz w:val="24"/>
        </w:rPr>
        <w:t>Confidentiality Agreement</w:t>
      </w:r>
      <w:r>
        <w:rPr>
          <w:color w:val="000000"/>
        </w:rPr>
        <w:t xml:space="preserve">” </w:t>
      </w:r>
      <w:r>
        <w:rPr>
          <w:rFonts w:ascii="Times New Roman" w:hAnsi="Times New Roman"/>
          <w:color w:val="000000"/>
          <w:sz w:val="24"/>
        </w:rPr>
        <w:t>means the Confidentiality Agreement by and between Alcon Vision, LLC and RxSight, dated as of May 9, 2025.</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color w:val="000000"/>
          <w:sz w:val="24"/>
        </w:rPr>
        <w:t>or “</w:t>
      </w:r>
      <w:r>
        <w:rPr>
          <w:rFonts w:ascii="Times New Roman" w:hAnsi="Times New Roman"/>
          <w:b/>
          <w:color w:val="000000"/>
          <w:sz w:val="24"/>
        </w:rPr>
        <w:t>Controlled</w:t>
      </w:r>
      <w:r>
        <w:rPr>
          <w:color w:val="000000"/>
        </w:rPr>
        <w:t xml:space="preserve">” </w:t>
      </w:r>
      <w:r>
        <w:rPr>
          <w:rFonts w:ascii="Times New Roman" w:hAnsi="Times New Roman"/>
          <w:color w:val="000000"/>
          <w:sz w:val="24"/>
        </w:rPr>
        <w:t>means, with respect to any Intellectual Property rights that a Party has the ability (whether directly or indirectly and whether by ownership, license or otherwise) (other than by operation of the license grants in Section 2.1) to grant to the other Party a license, covenant not to sue, sublicense, access or right to use (as applicable) under such Intellectual Property, or to otherwise disclose such proprietary or trade secret information, on the terms and conditions set forth herein, in each case without breaching the terms of any agreement with a Third Party. Notwithstanding the foregoing, in the event a Party or its Affiliate undergoes a Change of Control transaction, then the rights to Intellectual Property of the Acquirer that were controlled by such Acquirer immediately prior to such transaction, or are developed or acquired by such Acquirer after the consummation of such transaction without the use of or reliance on the Licensed Alcon Intellectual Property (in the case of a Change of Control of RxSight) or Licensed RxSight Intellectual Property (in the case of a Change of Control of Alcon), as applicable, will be deemed not to be “Controlled” by such acquired Party or such Affiliate for purposes of this Agreement, unless (a) immediately prior to such Change of Control, such Intellectual Property was already Controlled by such acquired Party or such Affiliate, or (b) after the consummation of such Change of Control, such Acquirer, such acquired Party or any of its or their Affiliates uses such Intellectual Property of the Acquirer in the performance of activities or exercise of rights under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1.42</w:t>
      </w:r>
    </w:p>
    <w:p>
      <w:pPr>
        <w:pStyle w:val="TextBody"/>
        <w:bidi w:val="0"/>
        <w:spacing w:before="0" w:after="240"/>
        <w:jc w:val="both"/>
        <w:rPr/>
      </w:pPr>
      <w:r>
        <w:rPr>
          <w:color w:val="000000"/>
        </w:rPr>
        <w:t>“</w:t>
      </w:r>
      <w:r>
        <w:rPr>
          <w:rFonts w:ascii="Times New Roman" w:hAnsi="Times New Roman"/>
          <w:b/>
          <w:color w:val="000000"/>
          <w:sz w:val="24"/>
        </w:rPr>
        <w:t>Co-Promotion Agreement</w:t>
      </w:r>
      <w:r>
        <w:rPr>
          <w:color w:val="000000"/>
        </w:rPr>
        <w:t xml:space="preserve">” </w:t>
      </w:r>
      <w:r>
        <w:rPr>
          <w:rFonts w:ascii="Times New Roman" w:hAnsi="Times New Roman"/>
          <w:color w:val="000000"/>
          <w:sz w:val="24"/>
        </w:rPr>
        <w:t>has the meaning set forth in Section 7.3.4(b).</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both"/>
        <w:rPr/>
      </w:pPr>
      <w:r>
        <w:rPr>
          <w:color w:val="000000"/>
        </w:rPr>
        <w:t>“</w:t>
      </w:r>
      <w:r>
        <w:rPr>
          <w:rFonts w:ascii="Times New Roman" w:hAnsi="Times New Roman"/>
          <w:b/>
          <w:color w:val="000000"/>
          <w:sz w:val="24"/>
        </w:rPr>
        <w:t>Copyrights</w:t>
      </w:r>
      <w:r>
        <w:rPr>
          <w:color w:val="000000"/>
        </w:rPr>
        <w:t xml:space="preserve">” </w:t>
      </w:r>
      <w:r>
        <w:rPr>
          <w:rFonts w:ascii="Times New Roman" w:hAnsi="Times New Roman"/>
          <w:color w:val="000000"/>
          <w:sz w:val="24"/>
        </w:rPr>
        <w:t>means all copyrightable works, copyrights, works of authorship, mask work rights, Software (in source code and object code), databases, specifications and related items and registrations and applications for registration thereof.</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both"/>
        <w:rPr/>
      </w:pPr>
      <w:r>
        <w:rPr>
          <w:color w:val="000000"/>
        </w:rPr>
        <w:t>“</w:t>
      </w:r>
      <w:r>
        <w:rPr>
          <w:rFonts w:ascii="Times New Roman" w:hAnsi="Times New Roman"/>
          <w:b/>
          <w:color w:val="000000"/>
          <w:sz w:val="24"/>
        </w:rPr>
        <w:t>Covered</w:t>
      </w:r>
      <w:r>
        <w:rPr>
          <w:color w:val="000000"/>
        </w:rPr>
        <w:t xml:space="preserve">” </w:t>
      </w:r>
      <w:r>
        <w:rPr>
          <w:rFonts w:ascii="Times New Roman" w:hAnsi="Times New Roman"/>
          <w:color w:val="000000"/>
          <w:sz w:val="24"/>
        </w:rPr>
        <w:t>or “</w:t>
      </w:r>
      <w:r>
        <w:rPr>
          <w:rFonts w:ascii="Times New Roman" w:hAnsi="Times New Roman"/>
          <w:b/>
          <w:color w:val="000000"/>
          <w:sz w:val="24"/>
        </w:rPr>
        <w:t>Cover</w:t>
      </w:r>
      <w:r>
        <w:rPr>
          <w:color w:val="000000"/>
        </w:rPr>
        <w:t xml:space="preserve">” </w:t>
      </w:r>
      <w:r>
        <w:rPr>
          <w:rFonts w:ascii="Times New Roman" w:hAnsi="Times New Roman"/>
          <w:color w:val="000000"/>
          <w:sz w:val="24"/>
        </w:rPr>
        <w:t>means, with respect to a given subject matter and a Patent, that, in the absence of a license granted under, or ownership of, such Patent, the making, use, offering for sale, sale or importation of such subject matter would infringe a Valid Claim included in such Patent (wherein the claims of pending Patent applications are treated as if issued).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both"/>
        <w:rPr/>
      </w:pPr>
      <w:r>
        <w:rPr>
          <w:color w:val="000000"/>
        </w:rPr>
        <w:t>“</w:t>
      </w:r>
      <w:r>
        <w:rPr>
          <w:rFonts w:ascii="Times New Roman" w:hAnsi="Times New Roman"/>
          <w:b/>
          <w:color w:val="000000"/>
          <w:sz w:val="24"/>
        </w:rPr>
        <w:t>Data</w:t>
      </w:r>
      <w:r>
        <w:rPr>
          <w:color w:val="000000"/>
        </w:rPr>
        <w:t xml:space="preserve">” </w:t>
      </w:r>
      <w:r>
        <w:rPr>
          <w:rFonts w:ascii="Times New Roman" w:hAnsi="Times New Roman"/>
          <w:color w:val="000000"/>
          <w:sz w:val="24"/>
        </w:rPr>
        <w:t>means all information and results, whether in raw or aggregate form, including preclinical data, clinical data, regulatory, safety, performance and quality control data, and all other data generated in relation to a medical device.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both"/>
        <w:rPr/>
      </w:pPr>
      <w:r>
        <w:rPr>
          <w:color w:val="000000"/>
        </w:rPr>
        <w:t>“</w:t>
      </w:r>
      <w:r>
        <w:rPr>
          <w:rFonts w:ascii="Times New Roman" w:hAnsi="Times New Roman"/>
          <w:b/>
          <w:color w:val="000000"/>
          <w:sz w:val="24"/>
        </w:rPr>
        <w:t>Data Breach</w:t>
      </w:r>
      <w:r>
        <w:rPr>
          <w:color w:val="000000"/>
        </w:rPr>
        <w:t xml:space="preserve">” </w:t>
      </w:r>
      <w:r>
        <w:rPr>
          <w:rFonts w:ascii="Times New Roman" w:hAnsi="Times New Roman"/>
          <w:color w:val="000000"/>
          <w:sz w:val="24"/>
        </w:rPr>
        <w:t>has the meaning set forth in Section 15.2.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both"/>
        <w:rPr/>
      </w:pPr>
      <w:r>
        <w:rPr>
          <w:color w:val="000000"/>
        </w:rPr>
        <w:t>“</w:t>
      </w:r>
      <w:r>
        <w:rPr>
          <w:rFonts w:ascii="Times New Roman" w:hAnsi="Times New Roman"/>
          <w:b/>
          <w:color w:val="000000"/>
          <w:sz w:val="24"/>
        </w:rPr>
        <w:t>Data Protection Laws</w:t>
      </w:r>
      <w:r>
        <w:rPr>
          <w:color w:val="000000"/>
        </w:rPr>
        <w:t xml:space="preserve">” </w:t>
      </w:r>
      <w:r>
        <w:rPr>
          <w:rFonts w:ascii="Times New Roman" w:hAnsi="Times New Roman"/>
          <w:color w:val="000000"/>
          <w:sz w:val="24"/>
        </w:rPr>
        <w:t>means any laws, regulations and orders of any jurisdiction relating to the privacy, security, confidentiality or integrity of Personal Information applicable to the Processing of Personal Information, including the Health Insurance Portability and Accountability Act of 1996 (42 U.S.C. §§ 1320d et seq.), as amended by the Health Information Technology for Economic and Clinical Health Act (42 U.S.C. §§ 17921 et seq.) and comparable state data privacy and security laws and regulations; and the EU General Data Protection Regulation (2016/679).</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both"/>
        <w:rPr/>
      </w:pPr>
      <w:r>
        <w:rPr>
          <w:color w:val="000000"/>
        </w:rPr>
        <w:t>“</w:t>
      </w:r>
      <w:r>
        <w:rPr>
          <w:rFonts w:ascii="Times New Roman" w:hAnsi="Times New Roman"/>
          <w:b/>
          <w:color w:val="000000"/>
          <w:sz w:val="24"/>
        </w:rPr>
        <w:t>De Novo Classification Request</w:t>
      </w:r>
      <w:r>
        <w:rPr>
          <w:color w:val="000000"/>
        </w:rPr>
        <w:t xml:space="preserve">” </w:t>
      </w:r>
      <w:r>
        <w:rPr>
          <w:rFonts w:ascii="Times New Roman" w:hAnsi="Times New Roman"/>
          <w:color w:val="000000"/>
          <w:sz w:val="24"/>
        </w:rPr>
        <w:t>means a premarket submission to the FDA pursuant to section 513(f)(2) of the FD&amp;C Act (21 U.S.C. § 360c(f)(2)) for evaluation of an automatic class III designation for a medical device to reclassify and obtain marketing authorization for such medical device as a class I or class II medical device.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1.49</w:t>
      </w:r>
    </w:p>
    <w:p>
      <w:pPr>
        <w:pStyle w:val="TextBody"/>
        <w:bidi w:val="0"/>
        <w:spacing w:before="0" w:after="240"/>
        <w:jc w:val="both"/>
        <w:rPr/>
      </w:pPr>
      <w:r>
        <w:rPr>
          <w:color w:val="000000"/>
        </w:rPr>
        <w:t>“</w:t>
      </w:r>
      <w:r>
        <w:rPr>
          <w:rFonts w:ascii="Times New Roman" w:hAnsi="Times New Roman"/>
          <w:b/>
          <w:color w:val="000000"/>
          <w:sz w:val="24"/>
        </w:rPr>
        <w:t>Demand Generation Activities</w:t>
      </w:r>
      <w:r>
        <w:rPr>
          <w:color w:val="000000"/>
        </w:rPr>
        <w:t xml:space="preserve">” </w:t>
      </w:r>
      <w:r>
        <w:rPr>
          <w:rFonts w:ascii="Times New Roman" w:hAnsi="Times New Roman"/>
          <w:color w:val="000000"/>
          <w:sz w:val="24"/>
        </w:rPr>
        <w:t xml:space="preserve">means the activities set forth in </w:t>
      </w:r>
      <w:r>
        <w:rPr>
          <w:rFonts w:ascii="Times New Roman" w:hAnsi="Times New Roman"/>
          <w:b/>
          <w:color w:val="000000"/>
          <w:sz w:val="24"/>
        </w:rPr>
        <w:t>Exhibit B</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1.50</w:t>
      </w:r>
    </w:p>
    <w:p>
      <w:pPr>
        <w:pStyle w:val="TextBody"/>
        <w:bidi w:val="0"/>
        <w:spacing w:before="0" w:after="240"/>
        <w:jc w:val="both"/>
        <w:rPr/>
      </w:pPr>
      <w:r>
        <w:rPr>
          <w:color w:val="000000"/>
        </w:rPr>
        <w:t>“</w:t>
      </w:r>
      <w:r>
        <w:rPr>
          <w:rFonts w:ascii="Times New Roman" w:hAnsi="Times New Roman"/>
          <w:b/>
          <w:color w:val="000000"/>
          <w:sz w:val="24"/>
        </w:rPr>
        <w:t>Design Defect Claim</w:t>
      </w:r>
      <w:r>
        <w:rPr>
          <w:color w:val="000000"/>
        </w:rPr>
        <w:t xml:space="preserve">” </w:t>
      </w:r>
      <w:r>
        <w:rPr>
          <w:rFonts w:ascii="Times New Roman" w:hAnsi="Times New Roman"/>
          <w:color w:val="000000"/>
          <w:sz w:val="24"/>
        </w:rPr>
        <w:t>means any Third Party Claim alleging that a Collaboration Product is defective or unreasonably dangerous by reason of its design[***].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both"/>
        <w:rPr/>
      </w:pPr>
      <w:r>
        <w:rPr>
          <w:color w:val="000000"/>
        </w:rPr>
        <w:t>“</w:t>
      </w:r>
      <w:r>
        <w:rPr>
          <w:rFonts w:ascii="Times New Roman" w:hAnsi="Times New Roman"/>
          <w:b/>
          <w:color w:val="000000"/>
          <w:sz w:val="24"/>
        </w:rPr>
        <w:t>Development</w:t>
      </w:r>
      <w:r>
        <w:rPr>
          <w:color w:val="000000"/>
        </w:rPr>
        <w:t xml:space="preserve">” </w:t>
      </w:r>
      <w:r>
        <w:rPr>
          <w:rFonts w:ascii="Times New Roman" w:hAnsi="Times New Roman"/>
          <w:color w:val="000000"/>
          <w:sz w:val="24"/>
        </w:rPr>
        <w:t>or “</w:t>
      </w:r>
      <w:r>
        <w:rPr>
          <w:rFonts w:ascii="Times New Roman" w:hAnsi="Times New Roman"/>
          <w:b/>
          <w:color w:val="000000"/>
          <w:sz w:val="24"/>
        </w:rPr>
        <w:t>Develop</w:t>
      </w:r>
      <w:r>
        <w:rPr>
          <w:color w:val="000000"/>
        </w:rPr>
        <w:t xml:space="preserve">” </w:t>
      </w:r>
      <w:r>
        <w:rPr>
          <w:rFonts w:ascii="Times New Roman" w:hAnsi="Times New Roman"/>
          <w:color w:val="000000"/>
          <w:sz w:val="24"/>
        </w:rPr>
        <w:t>means any and all activities directed to the research, testing, design, pre-clinical and other non-clinical development and clinical development activities applicable to medical devices, including verification, validation, risk management, Manufacturing Process Development, statistical analysis and report writing, design and conduct of Clinical Trials and the preparation and filing of Regulatory Documentation, regulatory affairs related to any of the foregoing and all other activities necessary or useful, or otherwise requested or required by a Regulatory Authority, to obtain or maintain Regulatory Approval for a medical device. When used as a verb, “Developing” means to engage in Development and “Developed” has a corresponding meaning. For clarity, “Development” shall not include any Manufacturing or Commercialization activities.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both"/>
        <w:rPr/>
      </w:pPr>
      <w:r>
        <w:rPr>
          <w:color w:val="000000"/>
        </w:rPr>
        <w:t>“</w:t>
      </w:r>
      <w:r>
        <w:rPr>
          <w:rFonts w:ascii="Times New Roman" w:hAnsi="Times New Roman"/>
          <w:b/>
          <w:color w:val="000000"/>
          <w:sz w:val="24"/>
        </w:rPr>
        <w:t>Development Activities</w:t>
      </w:r>
      <w:r>
        <w:rPr>
          <w:color w:val="000000"/>
        </w:rPr>
        <w:t xml:space="preserve">” </w:t>
      </w:r>
      <w:r>
        <w:rPr>
          <w:rFonts w:ascii="Times New Roman" w:hAnsi="Times New Roman"/>
          <w:color w:val="000000"/>
          <w:sz w:val="24"/>
        </w:rPr>
        <w:t>has the meaning set forth in Section 3.1.2.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both"/>
        <w:rPr/>
      </w:pPr>
      <w:r>
        <w:rPr>
          <w:color w:val="000000"/>
        </w:rPr>
        <w:t>“</w:t>
      </w:r>
      <w:r>
        <w:rPr>
          <w:rFonts w:ascii="Times New Roman" w:hAnsi="Times New Roman"/>
          <w:b/>
          <w:color w:val="000000"/>
          <w:sz w:val="24"/>
        </w:rPr>
        <w:t>Development Breach</w:t>
      </w:r>
      <w:r>
        <w:rPr>
          <w:color w:val="000000"/>
        </w:rPr>
        <w:t xml:space="preserve">” </w:t>
      </w:r>
      <w:r>
        <w:rPr>
          <w:rFonts w:ascii="Times New Roman" w:hAnsi="Times New Roman"/>
          <w:color w:val="000000"/>
          <w:sz w:val="24"/>
        </w:rPr>
        <w:t>has the meaning set forth in Section 3.5.</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both"/>
        <w:rPr/>
      </w:pPr>
      <w:r>
        <w:rPr>
          <w:color w:val="000000"/>
        </w:rPr>
        <w:t>“</w:t>
      </w:r>
      <w:r>
        <w:rPr>
          <w:rFonts w:ascii="Times New Roman" w:hAnsi="Times New Roman"/>
          <w:b/>
          <w:color w:val="000000"/>
          <w:sz w:val="24"/>
        </w:rPr>
        <w:t>Development Futility</w:t>
      </w:r>
      <w:r>
        <w:rPr>
          <w:color w:val="000000"/>
        </w:rPr>
        <w:t xml:space="preserve">” </w:t>
      </w:r>
      <w:r>
        <w:rPr>
          <w:rFonts w:ascii="Times New Roman" w:hAnsi="Times New Roman"/>
          <w:color w:val="000000"/>
          <w:sz w:val="24"/>
        </w:rPr>
        <w:t>has the meaning set forth in Section 3.2.5(c).</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both"/>
        <w:rPr/>
      </w:pPr>
      <w:r>
        <w:rPr>
          <w:color w:val="000000"/>
        </w:rPr>
        <w:t>“</w:t>
      </w:r>
      <w:r>
        <w:rPr>
          <w:rFonts w:ascii="Times New Roman" w:hAnsi="Times New Roman"/>
          <w:b/>
          <w:color w:val="000000"/>
          <w:sz w:val="24"/>
        </w:rPr>
        <w:t>Development Plan</w:t>
      </w:r>
      <w:r>
        <w:rPr>
          <w:color w:val="000000"/>
        </w:rPr>
        <w:t xml:space="preserve">” </w:t>
      </w:r>
      <w:r>
        <w:rPr>
          <w:rFonts w:ascii="Times New Roman" w:hAnsi="Times New Roman"/>
          <w:color w:val="000000"/>
          <w:sz w:val="24"/>
        </w:rPr>
        <w:t>has the meaning set forth in Section 3.1.2.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1.56</w:t>
      </w:r>
    </w:p>
    <w:p>
      <w:pPr>
        <w:pStyle w:val="TextBody"/>
        <w:bidi w:val="0"/>
        <w:spacing w:before="0" w:after="240"/>
        <w:jc w:val="both"/>
        <w:rPr/>
      </w:pPr>
      <w:r>
        <w:rPr>
          <w:color w:val="000000"/>
        </w:rPr>
        <w:t>“</w:t>
      </w:r>
      <w:r>
        <w:rPr>
          <w:rFonts w:ascii="Times New Roman" w:hAnsi="Times New Roman"/>
          <w:b/>
          <w:color w:val="000000"/>
          <w:sz w:val="24"/>
        </w:rPr>
        <w:t>Development Program</w:t>
      </w:r>
      <w:r>
        <w:rPr>
          <w:color w:val="000000"/>
        </w:rPr>
        <w:t xml:space="preserve">” </w:t>
      </w:r>
      <w:r>
        <w:rPr>
          <w:rFonts w:ascii="Times New Roman" w:hAnsi="Times New Roman"/>
          <w:color w:val="000000"/>
          <w:sz w:val="24"/>
        </w:rPr>
        <w:t>has the meaning set forth in Section 3.1.1.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1.57</w:t>
      </w:r>
    </w:p>
    <w:p>
      <w:pPr>
        <w:pStyle w:val="TextBody"/>
        <w:bidi w:val="0"/>
        <w:spacing w:before="0" w:after="240"/>
        <w:jc w:val="both"/>
        <w:rPr/>
      </w:pPr>
      <w:r>
        <w:rPr>
          <w:color w:val="000000"/>
        </w:rPr>
        <w:t>“</w:t>
      </w:r>
      <w:r>
        <w:rPr>
          <w:rFonts w:ascii="Times New Roman" w:hAnsi="Times New Roman"/>
          <w:b/>
          <w:color w:val="000000"/>
          <w:sz w:val="24"/>
        </w:rPr>
        <w:t>Development Proposal</w:t>
      </w:r>
      <w:r>
        <w:rPr>
          <w:color w:val="000000"/>
        </w:rPr>
        <w:t xml:space="preserve">” </w:t>
      </w:r>
      <w:r>
        <w:rPr>
          <w:rFonts w:ascii="Times New Roman" w:hAnsi="Times New Roman"/>
          <w:color w:val="000000"/>
          <w:sz w:val="24"/>
        </w:rPr>
        <w:t>means any updates and additional detail proposed by RxSight to the Development Plan for Phase 2 Regulatory Activities, taking into account then-current Data and any observations from the applicable Phase 1 Feasibility Activities.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1.58</w:t>
      </w:r>
    </w:p>
    <w:p>
      <w:pPr>
        <w:pStyle w:val="TextBody"/>
        <w:bidi w:val="0"/>
        <w:spacing w:before="0" w:after="240"/>
        <w:jc w:val="both"/>
        <w:rPr/>
      </w:pPr>
      <w:r>
        <w:rPr>
          <w:color w:val="000000"/>
        </w:rPr>
        <w:t>“</w:t>
      </w:r>
      <w:r>
        <w:rPr>
          <w:rFonts w:ascii="Times New Roman" w:hAnsi="Times New Roman"/>
          <w:b/>
          <w:color w:val="000000"/>
          <w:sz w:val="24"/>
        </w:rPr>
        <w:t>Development Report</w:t>
      </w:r>
      <w:r>
        <w:rPr>
          <w:color w:val="000000"/>
        </w:rPr>
        <w:t xml:space="preserve">” </w:t>
      </w:r>
      <w:r>
        <w:rPr>
          <w:rFonts w:ascii="Times New Roman" w:hAnsi="Times New Roman"/>
          <w:color w:val="000000"/>
          <w:sz w:val="24"/>
        </w:rPr>
        <w:t>means a report that sets forth the results of, and deliverables generated from, the Phase 1 Feasibility Activities, as specified in the Development Plan.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1.59</w:t>
      </w:r>
    </w:p>
    <w:p>
      <w:pPr>
        <w:pStyle w:val="TextBody"/>
        <w:bidi w:val="0"/>
        <w:spacing w:before="0" w:after="240"/>
        <w:jc w:val="both"/>
        <w:rPr/>
      </w:pPr>
      <w:r>
        <w:rPr>
          <w:color w:val="000000"/>
        </w:rPr>
        <w:t>“</w:t>
      </w:r>
      <w:r>
        <w:rPr>
          <w:rFonts w:ascii="Times New Roman" w:hAnsi="Times New Roman"/>
          <w:b/>
          <w:color w:val="000000"/>
          <w:sz w:val="24"/>
        </w:rPr>
        <w:t>Development Term</w:t>
      </w:r>
      <w:r>
        <w:rPr>
          <w:color w:val="000000"/>
        </w:rPr>
        <w:t xml:space="preserve">” </w:t>
      </w:r>
      <w:r>
        <w:rPr>
          <w:rFonts w:ascii="Times New Roman" w:hAnsi="Times New Roman"/>
          <w:color w:val="000000"/>
          <w:sz w:val="24"/>
        </w:rPr>
        <w:t>means the period commencing on the Effective Date and ending on the completion of all Development Activities under the Development Plan.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1.60</w:t>
      </w:r>
    </w:p>
    <w:p>
      <w:pPr>
        <w:pStyle w:val="TextBody"/>
        <w:bidi w:val="0"/>
        <w:spacing w:before="0" w:after="240"/>
        <w:jc w:val="both"/>
        <w:rPr/>
      </w:pPr>
      <w:r>
        <w:rPr>
          <w:color w:val="000000"/>
        </w:rPr>
        <w:t>“</w:t>
      </w:r>
      <w:r>
        <w:rPr>
          <w:rFonts w:ascii="Times New Roman" w:hAnsi="Times New Roman"/>
          <w:b/>
          <w:color w:val="000000"/>
          <w:sz w:val="24"/>
        </w:rPr>
        <w:t>Disclosing Party</w:t>
      </w:r>
      <w:r>
        <w:rPr>
          <w:color w:val="000000"/>
        </w:rPr>
        <w:t xml:space="preserve">” </w:t>
      </w:r>
      <w:r>
        <w:rPr>
          <w:rFonts w:ascii="Times New Roman" w:hAnsi="Times New Roman"/>
          <w:color w:val="000000"/>
          <w:sz w:val="24"/>
        </w:rPr>
        <w:t>has the meaning set forth in Section 10.1.2.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w:t>
      </w:r>
    </w:p>
    <w:p>
      <w:pPr>
        <w:pStyle w:val="TextBody"/>
        <w:bidi w:val="0"/>
        <w:spacing w:before="0" w:after="240"/>
        <w:jc w:val="both"/>
        <w:rPr/>
      </w:pPr>
      <w:r>
        <w:rPr>
          <w:color w:val="000000"/>
        </w:rPr>
        <w:t>“</w:t>
      </w:r>
      <w:r>
        <w:rPr>
          <w:rFonts w:ascii="Times New Roman" w:hAnsi="Times New Roman"/>
          <w:b/>
          <w:color w:val="000000"/>
          <w:sz w:val="24"/>
        </w:rPr>
        <w:t>Discussion Notice</w:t>
      </w:r>
      <w:r>
        <w:rPr>
          <w:color w:val="000000"/>
        </w:rPr>
        <w:t xml:space="preserve">” </w:t>
      </w:r>
      <w:r>
        <w:rPr>
          <w:rFonts w:ascii="Times New Roman" w:hAnsi="Times New Roman"/>
          <w:color w:val="000000"/>
          <w:sz w:val="24"/>
        </w:rPr>
        <w:t>has the meaning set forth in Section 2.7.</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1.62</w:t>
      </w:r>
    </w:p>
    <w:p>
      <w:pPr>
        <w:pStyle w:val="TextBody"/>
        <w:bidi w:val="0"/>
        <w:spacing w:before="0" w:after="240"/>
        <w:jc w:val="both"/>
        <w:rPr/>
      </w:pPr>
      <w:r>
        <w:rPr>
          <w:color w:val="000000"/>
        </w:rPr>
        <w:t>“</w:t>
      </w:r>
      <w:r>
        <w:rPr>
          <w:rFonts w:ascii="Times New Roman" w:hAnsi="Times New Roman"/>
          <w:b/>
          <w:color w:val="000000"/>
          <w:sz w:val="24"/>
        </w:rPr>
        <w:t>Dispute</w:t>
      </w:r>
      <w:r>
        <w:rPr>
          <w:color w:val="000000"/>
        </w:rPr>
        <w:t xml:space="preserve">” </w:t>
      </w:r>
      <w:r>
        <w:rPr>
          <w:rFonts w:ascii="Times New Roman" w:hAnsi="Times New Roman"/>
          <w:color w:val="000000"/>
          <w:sz w:val="24"/>
        </w:rPr>
        <w:t>has the meaning set forth in Section 16.6.</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1.63</w:t>
      </w:r>
    </w:p>
    <w:p>
      <w:pPr>
        <w:pStyle w:val="TextBody"/>
        <w:bidi w:val="0"/>
        <w:spacing w:before="0" w:after="240"/>
        <w:jc w:val="both"/>
        <w:rPr/>
      </w:pPr>
      <w:r>
        <w:rPr>
          <w:color w:val="000000"/>
        </w:rPr>
        <w:t>“</w:t>
      </w:r>
      <w:r>
        <w:rPr>
          <w:rFonts w:ascii="Times New Roman" w:hAnsi="Times New Roman"/>
          <w:b/>
          <w:color w:val="000000"/>
          <w:sz w:val="24"/>
        </w:rPr>
        <w:t>Dollar</w:t>
      </w:r>
      <w:r>
        <w:rPr>
          <w:color w:val="000000"/>
        </w:rPr>
        <w:t xml:space="preserve">” </w:t>
      </w:r>
      <w:r>
        <w:rPr>
          <w:rFonts w:ascii="Times New Roman" w:hAnsi="Times New Roman"/>
          <w:color w:val="000000"/>
          <w:sz w:val="24"/>
        </w:rPr>
        <w:t>means the U.S. dollar, and “$” shall be interpreted accordingly.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1.64</w:t>
      </w:r>
    </w:p>
    <w:p>
      <w:pPr>
        <w:pStyle w:val="TextBody"/>
        <w:bidi w:val="0"/>
        <w:spacing w:before="0" w:after="240"/>
        <w:jc w:val="both"/>
        <w:rPr/>
      </w:pPr>
      <w:r>
        <w:rPr>
          <w:color w:val="000000"/>
        </w:rPr>
        <w:t>“</w:t>
      </w:r>
      <w:r>
        <w:rPr>
          <w:rFonts w:ascii="Times New Roman" w:hAnsi="Times New Roman"/>
          <w:b/>
          <w:color w:val="000000"/>
          <w:sz w:val="24"/>
        </w:rPr>
        <w:t>Due Diligence Period</w:t>
      </w:r>
      <w:r>
        <w:rPr>
          <w:color w:val="000000"/>
        </w:rPr>
        <w:t xml:space="preserve">” </w:t>
      </w:r>
      <w:r>
        <w:rPr>
          <w:rFonts w:ascii="Times New Roman" w:hAnsi="Times New Roman"/>
          <w:color w:val="000000"/>
          <w:sz w:val="24"/>
        </w:rPr>
        <w:t>has the meaning set forth in Section 2.7.1.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1.65</w:t>
      </w:r>
    </w:p>
    <w:p>
      <w:pPr>
        <w:pStyle w:val="TextBody"/>
        <w:bidi w:val="0"/>
        <w:spacing w:before="0" w:after="240"/>
        <w:jc w:val="both"/>
        <w:rPr/>
      </w:pPr>
      <w:r>
        <w:rPr>
          <w:color w:val="000000"/>
        </w:rPr>
        <w:t>“</w:t>
      </w:r>
      <w:r>
        <w:rPr>
          <w:rFonts w:ascii="Times New Roman" w:hAnsi="Times New Roman"/>
          <w:b/>
          <w:color w:val="000000"/>
          <w:sz w:val="24"/>
        </w:rPr>
        <w:t>EDOF</w:t>
      </w:r>
      <w:r>
        <w:rPr>
          <w:color w:val="000000"/>
        </w:rPr>
        <w:t xml:space="preserve">” </w:t>
      </w:r>
      <w:r>
        <w:rPr>
          <w:rFonts w:ascii="Times New Roman" w:hAnsi="Times New Roman"/>
          <w:color w:val="000000"/>
          <w:sz w:val="24"/>
        </w:rPr>
        <w:t>has the meaning set forth in the definition of “Alcon Technology”.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1.66</w:t>
      </w:r>
    </w:p>
    <w:p>
      <w:pPr>
        <w:pStyle w:val="TextBody"/>
        <w:bidi w:val="0"/>
        <w:spacing w:before="0" w:after="240"/>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has the meaning set forth in the Preamble.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1.67</w:t>
      </w:r>
    </w:p>
    <w:p>
      <w:pPr>
        <w:pStyle w:val="TextBody"/>
        <w:bidi w:val="0"/>
        <w:spacing w:before="0" w:after="240"/>
        <w:jc w:val="both"/>
        <w:rPr/>
      </w:pPr>
      <w:r>
        <w:rPr>
          <w:color w:val="000000"/>
        </w:rPr>
        <w:t>“</w:t>
      </w:r>
      <w:r>
        <w:rPr>
          <w:rFonts w:ascii="Times New Roman" w:hAnsi="Times New Roman"/>
          <w:b/>
          <w:color w:val="000000"/>
          <w:sz w:val="24"/>
        </w:rPr>
        <w:t>European Union</w:t>
      </w:r>
      <w:r>
        <w:rPr>
          <w:color w:val="000000"/>
        </w:rPr>
        <w:t xml:space="preserve">” </w:t>
      </w:r>
      <w:r>
        <w:rPr>
          <w:rFonts w:ascii="Times New Roman" w:hAnsi="Times New Roman"/>
          <w:color w:val="000000"/>
          <w:sz w:val="24"/>
        </w:rPr>
        <w:t>or “</w:t>
      </w:r>
      <w:r>
        <w:rPr>
          <w:rFonts w:ascii="Times New Roman" w:hAnsi="Times New Roman"/>
          <w:b/>
          <w:color w:val="000000"/>
          <w:sz w:val="24"/>
        </w:rPr>
        <w:t>EU</w:t>
      </w:r>
      <w:r>
        <w:rPr>
          <w:color w:val="000000"/>
        </w:rPr>
        <w:t xml:space="preserve">” </w:t>
      </w:r>
      <w:r>
        <w:rPr>
          <w:rFonts w:ascii="Times New Roman" w:hAnsi="Times New Roman"/>
          <w:color w:val="000000"/>
          <w:sz w:val="24"/>
        </w:rPr>
        <w:t>means the economic, scientific and political organization of member states of the European Union, as its membership may be altered from time to time.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1.68</w:t>
      </w:r>
    </w:p>
    <w:p>
      <w:pPr>
        <w:pStyle w:val="TextBody"/>
        <w:bidi w:val="0"/>
        <w:spacing w:before="0" w:after="240"/>
        <w:jc w:val="both"/>
        <w:rPr/>
      </w:pPr>
      <w:r>
        <w:rPr>
          <w:color w:val="000000"/>
        </w:rPr>
        <w:t>“</w:t>
      </w:r>
      <w:r>
        <w:rPr>
          <w:rFonts w:ascii="Times New Roman" w:hAnsi="Times New Roman"/>
          <w:b/>
          <w:color w:val="000000"/>
          <w:sz w:val="24"/>
        </w:rPr>
        <w:t>Exclusive Negotiation Period</w:t>
      </w:r>
      <w:r>
        <w:rPr>
          <w:color w:val="000000"/>
        </w:rPr>
        <w:t xml:space="preserve">” </w:t>
      </w:r>
      <w:r>
        <w:rPr>
          <w:rFonts w:ascii="Times New Roman" w:hAnsi="Times New Roman"/>
          <w:color w:val="000000"/>
          <w:sz w:val="24"/>
        </w:rPr>
        <w:t>has the meaning set forth in Section 2.7.2.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1.69</w:t>
      </w:r>
    </w:p>
    <w:p>
      <w:pPr>
        <w:pStyle w:val="TextBody"/>
        <w:bidi w:val="0"/>
        <w:spacing w:before="0" w:after="240"/>
        <w:jc w:val="both"/>
        <w:rPr/>
      </w:pPr>
      <w:r>
        <w:rPr>
          <w:color w:val="000000"/>
        </w:rPr>
        <w:t>“</w:t>
      </w:r>
      <w:r>
        <w:rPr>
          <w:rFonts w:ascii="Times New Roman" w:hAnsi="Times New Roman"/>
          <w:b/>
          <w:color w:val="000000"/>
          <w:sz w:val="24"/>
        </w:rPr>
        <w:t>Executive Officers</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1.70</w:t>
      </w:r>
    </w:p>
    <w:p>
      <w:pPr>
        <w:pStyle w:val="TextBody"/>
        <w:bidi w:val="0"/>
        <w:spacing w:before="0" w:after="240"/>
        <w:jc w:val="both"/>
        <w:rPr/>
      </w:pPr>
      <w:r>
        <w:rPr>
          <w:color w:val="000000"/>
        </w:rPr>
        <w:t>“</w:t>
      </w:r>
      <w:r>
        <w:rPr>
          <w:rFonts w:ascii="Times New Roman" w:hAnsi="Times New Roman"/>
          <w:b/>
          <w:color w:val="000000"/>
          <w:sz w:val="24"/>
        </w:rPr>
        <w:t>Existing PanOptix Product</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1.71</w:t>
      </w:r>
    </w:p>
    <w:p>
      <w:pPr>
        <w:pStyle w:val="TextBody"/>
        <w:bidi w:val="0"/>
        <w:spacing w:before="0" w:after="240"/>
        <w:jc w:val="both"/>
        <w:rPr/>
      </w:pPr>
      <w:r>
        <w:rPr>
          <w:color w:val="000000"/>
        </w:rPr>
        <w:t>“</w:t>
      </w:r>
      <w:r>
        <w:rPr>
          <w:rFonts w:ascii="Times New Roman" w:hAnsi="Times New Roman"/>
          <w:b/>
          <w:color w:val="000000"/>
          <w:sz w:val="24"/>
        </w:rPr>
        <w:t>Existing RxSight Patents</w:t>
      </w:r>
      <w:r>
        <w:rPr>
          <w:color w:val="000000"/>
        </w:rPr>
        <w:t xml:space="preserve">” </w:t>
      </w:r>
      <w:r>
        <w:rPr>
          <w:rFonts w:ascii="Times New Roman" w:hAnsi="Times New Roman"/>
          <w:color w:val="000000"/>
          <w:sz w:val="24"/>
        </w:rPr>
        <w:t>has the meaning set forth in Section 13.2.3(a).</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1.72</w:t>
      </w:r>
    </w:p>
    <w:p>
      <w:pPr>
        <w:pStyle w:val="TextBody"/>
        <w:bidi w:val="0"/>
        <w:spacing w:before="0" w:after="240"/>
        <w:jc w:val="both"/>
        <w:rPr/>
      </w:pPr>
      <w:r>
        <w:rPr>
          <w:color w:val="000000"/>
        </w:rPr>
        <w:t>“</w:t>
      </w:r>
      <w:r>
        <w:rPr>
          <w:rFonts w:ascii="Times New Roman" w:hAnsi="Times New Roman"/>
          <w:b/>
          <w:color w:val="000000"/>
          <w:sz w:val="24"/>
        </w:rPr>
        <w:t>Existing Vivity Product</w:t>
      </w:r>
      <w:r>
        <w:rPr>
          <w:color w:val="000000"/>
        </w:rPr>
        <w:t xml:space="preserve">” </w:t>
      </w:r>
      <w:r>
        <w:rPr>
          <w:rFonts w:ascii="Times New Roman" w:hAnsi="Times New Roman"/>
          <w:color w:val="000000"/>
          <w:sz w:val="24"/>
        </w:rPr>
        <w:t xml:space="preserve">means [***].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1.73</w:t>
      </w:r>
    </w:p>
    <w:p>
      <w:pPr>
        <w:pStyle w:val="TextBody"/>
        <w:bidi w:val="0"/>
        <w:spacing w:before="0" w:after="240"/>
        <w:jc w:val="both"/>
        <w:rPr/>
      </w:pPr>
      <w:r>
        <w:rPr>
          <w:color w:val="000000"/>
        </w:rPr>
        <w:t>“</w:t>
      </w:r>
      <w:r>
        <w:rPr>
          <w:rFonts w:ascii="Times New Roman" w:hAnsi="Times New Roman"/>
          <w:b/>
          <w:color w:val="000000"/>
          <w:sz w:val="24"/>
        </w:rPr>
        <w:t>Expert</w:t>
      </w:r>
      <w:r>
        <w:rPr>
          <w:color w:val="000000"/>
        </w:rPr>
        <w:t xml:space="preserve">” </w:t>
      </w:r>
      <w:r>
        <w:rPr>
          <w:rFonts w:ascii="Times New Roman" w:hAnsi="Times New Roman"/>
          <w:color w:val="000000"/>
          <w:sz w:val="24"/>
        </w:rPr>
        <w:t>has the meaning set forth in Section 3.2.3.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1.74</w:t>
      </w:r>
    </w:p>
    <w:p>
      <w:pPr>
        <w:pStyle w:val="TextBody"/>
        <w:bidi w:val="0"/>
        <w:spacing w:before="0" w:after="240"/>
        <w:jc w:val="both"/>
        <w:rPr/>
      </w:pPr>
      <w:r>
        <w:rPr>
          <w:color w:val="000000"/>
        </w:rPr>
        <w:t>“</w:t>
      </w:r>
      <w:r>
        <w:rPr>
          <w:rFonts w:ascii="Times New Roman" w:hAnsi="Times New Roman"/>
          <w:b/>
          <w:color w:val="000000"/>
          <w:sz w:val="24"/>
        </w:rPr>
        <w:t>Exploitation</w:t>
      </w:r>
      <w:r>
        <w:rPr>
          <w:color w:val="000000"/>
        </w:rPr>
        <w:t xml:space="preserve">” </w:t>
      </w:r>
      <w:r>
        <w:rPr>
          <w:rFonts w:ascii="Times New Roman" w:hAnsi="Times New Roman"/>
          <w:color w:val="000000"/>
          <w:sz w:val="24"/>
        </w:rPr>
        <w:t xml:space="preserve">means, individually or collectively, the Development, registration, Manufacture, having Manufactured, use, having used, Commercializing, having Commercialized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other exploitation of medical device. When used as a verb, “to Exploit” and “Exploiting” mean to engage in Exploitation, and “Exploited” has a corresponding meaning.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1.75</w:t>
      </w:r>
    </w:p>
    <w:p>
      <w:pPr>
        <w:pStyle w:val="TextBody"/>
        <w:bidi w:val="0"/>
        <w:spacing w:before="0" w:after="240"/>
        <w:jc w:val="both"/>
        <w:rPr/>
      </w:pPr>
      <w:r>
        <w:rPr>
          <w:color w:val="000000"/>
        </w:rPr>
        <w:t>“</w:t>
      </w:r>
      <w:r>
        <w:rPr>
          <w:rFonts w:ascii="Times New Roman" w:hAnsi="Times New Roman"/>
          <w:b/>
          <w:color w:val="000000"/>
          <w:sz w:val="24"/>
        </w:rPr>
        <w:t>Extension Period</w:t>
      </w:r>
      <w:r>
        <w:rPr>
          <w:color w:val="000000"/>
        </w:rPr>
        <w:t xml:space="preserve">” </w:t>
      </w:r>
      <w:r>
        <w:rPr>
          <w:rFonts w:ascii="Times New Roman" w:hAnsi="Times New Roman"/>
          <w:color w:val="000000"/>
          <w:sz w:val="24"/>
        </w:rPr>
        <w:t>has the meaning set forth in Section 3.2.2.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1.76</w:t>
      </w:r>
    </w:p>
    <w:p>
      <w:pPr>
        <w:pStyle w:val="TextBody"/>
        <w:bidi w:val="0"/>
        <w:spacing w:before="0" w:after="240"/>
        <w:jc w:val="both"/>
        <w:rPr/>
      </w:pPr>
      <w:r>
        <w:rPr>
          <w:color w:val="000000"/>
        </w:rPr>
        <w:t>“</w:t>
      </w:r>
      <w:r>
        <w:rPr>
          <w:rFonts w:ascii="Times New Roman" w:hAnsi="Times New Roman"/>
          <w:b/>
          <w:color w:val="000000"/>
          <w:sz w:val="24"/>
        </w:rPr>
        <w:t>FD&amp;C Act</w:t>
      </w:r>
      <w:r>
        <w:rPr>
          <w:color w:val="000000"/>
        </w:rPr>
        <w:t xml:space="preserve">” </w:t>
      </w:r>
      <w:r>
        <w:rPr>
          <w:rFonts w:ascii="Times New Roman" w:hAnsi="Times New Roman"/>
          <w:color w:val="000000"/>
          <w:sz w:val="24"/>
        </w:rPr>
        <w:t>means the United States Federal Food, Drug, and Cosmetic Act (21 U.S.C. §§ 301 et seq.), as amended, together with any rules, regulations and requirements promulgated thereunder (including all additions, supplements, extensions and modifications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1.77</w:t>
      </w:r>
    </w:p>
    <w:p>
      <w:pPr>
        <w:pStyle w:val="TextBody"/>
        <w:bidi w:val="0"/>
        <w:spacing w:before="0" w:after="240"/>
        <w:jc w:val="both"/>
        <w:rPr/>
      </w:pPr>
      <w:r>
        <w:rPr>
          <w:color w:val="000000"/>
        </w:rPr>
        <w:t>“</w:t>
      </w:r>
      <w:r>
        <w:rPr>
          <w:rFonts w:ascii="Times New Roman" w:hAnsi="Times New Roman"/>
          <w:b/>
          <w:color w:val="000000"/>
          <w:sz w:val="24"/>
        </w:rPr>
        <w:t>FDA</w:t>
      </w:r>
      <w:r>
        <w:rPr>
          <w:color w:val="000000"/>
        </w:rPr>
        <w:t xml:space="preserve">” </w:t>
      </w:r>
      <w:r>
        <w:rPr>
          <w:rFonts w:ascii="Times New Roman" w:hAnsi="Times New Roman"/>
          <w:color w:val="000000"/>
          <w:sz w:val="24"/>
        </w:rPr>
        <w:t>means the United States Food and Drug Administration and any successor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1.78</w:t>
      </w:r>
    </w:p>
    <w:p>
      <w:pPr>
        <w:pStyle w:val="TextBody"/>
        <w:bidi w:val="0"/>
        <w:spacing w:before="0" w:after="240"/>
        <w:jc w:val="both"/>
        <w:rPr/>
      </w:pPr>
      <w:r>
        <w:rPr>
          <w:color w:val="000000"/>
        </w:rPr>
        <w:t>“</w:t>
      </w:r>
      <w:r>
        <w:rPr>
          <w:rFonts w:ascii="Times New Roman" w:hAnsi="Times New Roman"/>
          <w:b/>
          <w:color w:val="000000"/>
          <w:sz w:val="24"/>
        </w:rPr>
        <w:t>Feasibility Milestone Payment</w:t>
      </w:r>
      <w:r>
        <w:rPr>
          <w:color w:val="000000"/>
        </w:rPr>
        <w:t xml:space="preserve">” </w:t>
      </w:r>
      <w:r>
        <w:rPr>
          <w:rFonts w:ascii="Times New Roman" w:hAnsi="Times New Roman"/>
          <w:color w:val="000000"/>
          <w:sz w:val="24"/>
        </w:rPr>
        <w:t>has the meaning set forth in Section 7.2.1.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1.79</w:t>
      </w:r>
    </w:p>
    <w:p>
      <w:pPr>
        <w:pStyle w:val="TextBody"/>
        <w:bidi w:val="0"/>
        <w:spacing w:before="0" w:after="240"/>
        <w:jc w:val="both"/>
        <w:rPr/>
      </w:pPr>
      <w:r>
        <w:rPr>
          <w:color w:val="000000"/>
        </w:rPr>
        <w:t>“</w:t>
      </w:r>
      <w:r>
        <w:rPr>
          <w:rFonts w:ascii="Times New Roman" w:hAnsi="Times New Roman"/>
          <w:b/>
          <w:color w:val="000000"/>
          <w:sz w:val="24"/>
        </w:rPr>
        <w:t>Field</w:t>
      </w:r>
      <w:r>
        <w:rPr>
          <w:color w:val="000000"/>
        </w:rPr>
        <w:t xml:space="preserve">” </w:t>
      </w:r>
      <w:r>
        <w:rPr>
          <w:rFonts w:ascii="Times New Roman" w:hAnsi="Times New Roman"/>
          <w:color w:val="000000"/>
          <w:sz w:val="24"/>
        </w:rPr>
        <w:t>means any and all uses in human patients.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1.80</w:t>
      </w:r>
    </w:p>
    <w:p>
      <w:pPr>
        <w:pStyle w:val="TextBody"/>
        <w:bidi w:val="0"/>
        <w:spacing w:before="0" w:after="240"/>
        <w:jc w:val="both"/>
        <w:rPr/>
      </w:pPr>
      <w:r>
        <w:rPr>
          <w:color w:val="000000"/>
        </w:rPr>
        <w:t>“</w:t>
      </w:r>
      <w:r>
        <w:rPr>
          <w:rFonts w:ascii="Times New Roman" w:hAnsi="Times New Roman"/>
          <w:b/>
          <w:color w:val="000000"/>
          <w:sz w:val="24"/>
        </w:rPr>
        <w:t>First Commercial Sale</w:t>
      </w:r>
      <w:r>
        <w:rPr>
          <w:color w:val="000000"/>
        </w:rPr>
        <w:t xml:space="preserve">” </w:t>
      </w:r>
      <w:r>
        <w:rPr>
          <w:rFonts w:ascii="Times New Roman" w:hAnsi="Times New Roman"/>
          <w:color w:val="000000"/>
          <w:sz w:val="24"/>
        </w:rPr>
        <w:t>means, with respect to a product and a country, the first sale of such product by a Person, its Affiliate, or their Sublicensee to a Third Party or Governmental Authority in an arms’ length transaction in a country following Regulatory Approval of such product in such country. Sales or transfers of reasonable quantities of a product at or below cost for Development, including proof of concept studies or other Clinical Trial purposes, or for national derogation, exceptional use mechanism, compassionate or similar use, shall not be considered a First Commercial Sale, even if reimbursed.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1.81</w:t>
      </w:r>
    </w:p>
    <w:p>
      <w:pPr>
        <w:pStyle w:val="TextBody"/>
        <w:bidi w:val="0"/>
        <w:spacing w:before="0" w:after="240"/>
        <w:jc w:val="both"/>
        <w:rPr/>
      </w:pPr>
      <w:r>
        <w:rPr>
          <w:color w:val="000000"/>
        </w:rPr>
        <w:t>“</w:t>
      </w:r>
      <w:r>
        <w:rPr>
          <w:rFonts w:ascii="Times New Roman" w:hAnsi="Times New Roman"/>
          <w:b/>
          <w:color w:val="000000"/>
          <w:sz w:val="24"/>
        </w:rPr>
        <w:t>Force Majeure</w:t>
      </w:r>
      <w:r>
        <w:rPr>
          <w:color w:val="000000"/>
        </w:rPr>
        <w:t xml:space="preserve">” </w:t>
      </w:r>
      <w:r>
        <w:rPr>
          <w:rFonts w:ascii="Times New Roman" w:hAnsi="Times New Roman"/>
          <w:color w:val="000000"/>
          <w:sz w:val="24"/>
        </w:rPr>
        <w:t>has the meaning set forth in Section 16.8.</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1.82</w:t>
      </w:r>
    </w:p>
    <w:p>
      <w:pPr>
        <w:pStyle w:val="TextBody"/>
        <w:bidi w:val="0"/>
        <w:spacing w:before="0" w:after="240"/>
        <w:jc w:val="both"/>
        <w:rPr/>
      </w:pPr>
      <w:r>
        <w:rPr>
          <w:color w:val="000000"/>
        </w:rPr>
        <w:t>“</w:t>
      </w:r>
      <w:r>
        <w:rPr>
          <w:rFonts w:ascii="Times New Roman" w:hAnsi="Times New Roman"/>
          <w:b/>
          <w:color w:val="000000"/>
          <w:sz w:val="24"/>
        </w:rPr>
        <w:t>FTE</w:t>
      </w:r>
      <w:r>
        <w:rPr>
          <w:color w:val="000000"/>
        </w:rPr>
        <w:t xml:space="preserve">” </w:t>
      </w:r>
      <w:r>
        <w:rPr>
          <w:rFonts w:ascii="Times New Roman" w:hAnsi="Times New Roman"/>
          <w:color w:val="000000"/>
          <w:sz w:val="24"/>
        </w:rPr>
        <w:t xml:space="preserve">means the equivalent of the work of one employee full time for one Calendar Year (consisting of at least a total of [***] per Calendar Year) of work performing Development, Manufacturing or Commercialization activities for a Collaboration Product.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1.83</w:t>
      </w:r>
    </w:p>
    <w:p>
      <w:pPr>
        <w:pStyle w:val="TextBody"/>
        <w:bidi w:val="0"/>
        <w:spacing w:before="0" w:after="240"/>
        <w:jc w:val="both"/>
        <w:rPr/>
      </w:pPr>
      <w:r>
        <w:rPr>
          <w:color w:val="000000"/>
        </w:rPr>
        <w:t>“</w:t>
      </w:r>
      <w:r>
        <w:rPr>
          <w:rFonts w:ascii="Times New Roman" w:hAnsi="Times New Roman"/>
          <w:b/>
          <w:color w:val="000000"/>
          <w:sz w:val="24"/>
        </w:rPr>
        <w:t>GCP</w:t>
      </w:r>
      <w:r>
        <w:rPr>
          <w:color w:val="000000"/>
        </w:rPr>
        <w:t xml:space="preserve">” </w:t>
      </w:r>
      <w:r>
        <w:rPr>
          <w:rFonts w:ascii="Times New Roman" w:hAnsi="Times New Roman"/>
          <w:color w:val="000000"/>
          <w:sz w:val="24"/>
        </w:rPr>
        <w:t>means the then-current good clinical practice standards for Clinical Trials for medical device products, as set forth in the FD&amp;C Act or other Applicable Law, and such standards of good clinical practice as are required by the applicable Regulatory Authority(ies) for which the applicable medical device product is intended to be developed, to the extent such standards are not less stringent than United States GCP.</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1.84</w:t>
      </w:r>
    </w:p>
    <w:p>
      <w:pPr>
        <w:pStyle w:val="TextBody"/>
        <w:bidi w:val="0"/>
        <w:spacing w:before="0" w:after="240"/>
        <w:jc w:val="both"/>
        <w:rPr/>
      </w:pPr>
      <w:r>
        <w:rPr>
          <w:color w:val="000000"/>
        </w:rPr>
        <w:t>“</w:t>
      </w:r>
      <w:r>
        <w:rPr>
          <w:rFonts w:ascii="Times New Roman" w:hAnsi="Times New Roman"/>
          <w:b/>
          <w:color w:val="000000"/>
          <w:sz w:val="24"/>
        </w:rPr>
        <w:t>Glasses</w:t>
      </w:r>
      <w:r>
        <w:rPr>
          <w:color w:val="000000"/>
        </w:rPr>
        <w:t xml:space="preserve">” </w:t>
      </w:r>
      <w:r>
        <w:rPr>
          <w:rFonts w:ascii="Times New Roman" w:hAnsi="Times New Roman"/>
          <w:color w:val="000000"/>
          <w:sz w:val="24"/>
        </w:rPr>
        <w:t>has the meaning set forth in the Manufacturing and Supply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GLP</w:t>
      </w:r>
      <w:r>
        <w:rPr>
          <w:color w:val="000000"/>
        </w:rPr>
        <w:t xml:space="preserve">” </w:t>
      </w:r>
      <w:r>
        <w:rPr>
          <w:rFonts w:ascii="Times New Roman" w:hAnsi="Times New Roman"/>
          <w:color w:val="000000"/>
          <w:sz w:val="24"/>
        </w:rPr>
        <w:t>means the then-current good laboratory practice standards as promulgated or endorsed by FDA as defined in 21 C.F.R. Part 58</w:t>
      </w:r>
      <w:r>
        <w:rPr>
          <w:color w:val="000000"/>
        </w:rPr>
        <w:t xml:space="preserve"> </w:t>
      </w:r>
      <w:r>
        <w:rPr>
          <w:rFonts w:ascii="Times New Roman" w:hAnsi="Times New Roman"/>
          <w:color w:val="000000"/>
          <w:sz w:val="24"/>
        </w:rPr>
        <w:t>or the successor thereto, or comparable regulatory standards in jurisdictions outside the United States.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GMP</w:t>
      </w:r>
      <w:r>
        <w:rPr>
          <w:color w:val="000000"/>
        </w:rPr>
        <w:t xml:space="preserve">” </w:t>
      </w:r>
      <w:r>
        <w:rPr>
          <w:rFonts w:ascii="Times New Roman" w:hAnsi="Times New Roman"/>
          <w:color w:val="000000"/>
          <w:sz w:val="24"/>
        </w:rPr>
        <w:t xml:space="preserve">means the then-current good manufacturing practices as specified in 21 C.F.R. Parts 11, 210 and </w:t>
      </w:r>
      <w:bookmarkStart w:id="27" w:name="docxtextref36"/>
      <w:bookmarkEnd w:id="27"/>
      <w:r>
        <w:rPr>
          <w:rFonts w:ascii="Times New Roman" w:hAnsi="Times New Roman"/>
          <w:color w:val="000000"/>
          <w:sz w:val="24"/>
        </w:rPr>
        <w:t>211, ICH Guideline Q7A, or equivalent laws, rules, or regulations of an applicable Regulatory Authority at the time of Manufacture.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1.87</w:t>
      </w:r>
    </w:p>
    <w:p>
      <w:pPr>
        <w:pStyle w:val="TextBody"/>
        <w:bidi w:val="0"/>
        <w:spacing w:before="0" w:after="240"/>
        <w:jc w:val="both"/>
        <w:rPr/>
      </w:pPr>
      <w:r>
        <w:rPr>
          <w:color w:val="000000"/>
        </w:rPr>
        <w:t>“</w:t>
      </w:r>
      <w:r>
        <w:rPr>
          <w:rFonts w:ascii="Times New Roman" w:hAnsi="Times New Roman"/>
          <w:b/>
          <w:color w:val="000000"/>
          <w:sz w:val="24"/>
        </w:rPr>
        <w:t>Government Official</w:t>
      </w:r>
      <w:r>
        <w:rPr>
          <w:color w:val="000000"/>
        </w:rPr>
        <w:t xml:space="preserve">” </w:t>
      </w:r>
      <w:r>
        <w:rPr>
          <w:rFonts w:ascii="Times New Roman" w:hAnsi="Times New Roman"/>
          <w:color w:val="000000"/>
          <w:sz w:val="24"/>
        </w:rPr>
        <w:t>means (a) any person employed by or acting on behalf of: (i) a government or any department or agency thereof; (ii) a government-owned or controlled company, institution or other entity, including a government-owned hospital or university; or (iii) a public international organization (such as the United Nations, the International Monetary Fund, the International Committee of the Red Cross and the World Health Organization) or any department or agency thereof, (b) any political party, party official or candidate for public or political party office, (c) any person categorized as a government official under local law, (d) any person employed or acting on behalf of any of the foregoing or (e) any Person who holds themselves out to be the authorized intermediary of any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1.88</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color w:val="000000"/>
          <w:sz w:val="24"/>
        </w:rPr>
        <w:t>means any national, international, federal, state, provincial or local government, or political subdivision thereof, or any multinational organization or any authority, agency, Notified Body, or commission entitled to exercise any administrative, executive, judicial, legislative, police, regulatory or taxing authority or power, and any court or tribunal (or any department, bureau or division thereof), or any governmental arbitrator or arbitral body.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1.89</w:t>
      </w:r>
    </w:p>
    <w:p>
      <w:pPr>
        <w:pStyle w:val="TextBody"/>
        <w:bidi w:val="0"/>
        <w:spacing w:before="0" w:after="240"/>
        <w:jc w:val="both"/>
        <w:rPr/>
      </w:pPr>
      <w:r>
        <w:rPr>
          <w:color w:val="000000"/>
        </w:rPr>
        <w:t>“</w:t>
      </w:r>
      <w:r>
        <w:rPr>
          <w:rFonts w:ascii="Times New Roman" w:hAnsi="Times New Roman"/>
          <w:b/>
          <w:color w:val="000000"/>
          <w:sz w:val="24"/>
        </w:rPr>
        <w:t>High Water Mark</w:t>
      </w:r>
      <w:r>
        <w:rPr>
          <w:color w:val="000000"/>
        </w:rPr>
        <w:t xml:space="preserve">” </w:t>
      </w:r>
      <w:r>
        <w:rPr>
          <w:rFonts w:ascii="Times New Roman" w:hAnsi="Times New Roman"/>
          <w:color w:val="000000"/>
          <w:sz w:val="24"/>
        </w:rPr>
        <w:t>has the meaning set forth in Section 7.3.4(b).</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1.90</w:t>
      </w:r>
    </w:p>
    <w:p>
      <w:pPr>
        <w:pStyle w:val="TextBody"/>
        <w:bidi w:val="0"/>
        <w:spacing w:before="0" w:after="240"/>
        <w:jc w:val="both"/>
        <w:rPr/>
      </w:pPr>
      <w:r>
        <w:rPr>
          <w:color w:val="000000"/>
        </w:rPr>
        <w:t>“</w:t>
      </w:r>
      <w:r>
        <w:rPr>
          <w:rFonts w:ascii="Times New Roman" w:hAnsi="Times New Roman"/>
          <w:b/>
          <w:color w:val="000000"/>
          <w:sz w:val="24"/>
        </w:rPr>
        <w:t>Hybrid PanOptix Product</w:t>
      </w:r>
      <w:r>
        <w:rPr>
          <w:color w:val="000000"/>
        </w:rPr>
        <w:t xml:space="preserve">” </w:t>
      </w:r>
      <w:r>
        <w:rPr>
          <w:rFonts w:ascii="Times New Roman" w:hAnsi="Times New Roman"/>
          <w:color w:val="000000"/>
          <w:sz w:val="24"/>
        </w:rPr>
        <w:t>means a [***] adjustable version of the Existing PanOptix Product that is Developed under the Development Plan using or otherwise incorporating or relying on both the Alcon Technology and the RxSight Technology.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1.91</w:t>
      </w:r>
    </w:p>
    <w:p>
      <w:pPr>
        <w:pStyle w:val="TextBody"/>
        <w:bidi w:val="0"/>
        <w:spacing w:before="0" w:after="240"/>
        <w:jc w:val="both"/>
        <w:rPr/>
      </w:pPr>
      <w:r>
        <w:rPr>
          <w:color w:val="000000"/>
        </w:rPr>
        <w:t>“</w:t>
      </w:r>
      <w:r>
        <w:rPr>
          <w:rFonts w:ascii="Times New Roman" w:hAnsi="Times New Roman"/>
          <w:b/>
          <w:color w:val="000000"/>
          <w:sz w:val="24"/>
        </w:rPr>
        <w:t>Hybrid SVIOL</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1.92</w:t>
      </w:r>
    </w:p>
    <w:p>
      <w:pPr>
        <w:pStyle w:val="TextBody"/>
        <w:bidi w:val="0"/>
        <w:spacing w:before="0" w:after="240"/>
        <w:jc w:val="both"/>
        <w:rPr/>
      </w:pPr>
      <w:r>
        <w:rPr>
          <w:color w:val="000000"/>
        </w:rPr>
        <w:t>“</w:t>
      </w:r>
      <w:r>
        <w:rPr>
          <w:rFonts w:ascii="Times New Roman" w:hAnsi="Times New Roman"/>
          <w:b/>
          <w:color w:val="000000"/>
          <w:sz w:val="24"/>
        </w:rPr>
        <w:t>Hybrid Vivity Product</w:t>
      </w:r>
      <w:r>
        <w:rPr>
          <w:color w:val="000000"/>
        </w:rPr>
        <w:t xml:space="preserve">” </w:t>
      </w:r>
      <w:r>
        <w:rPr>
          <w:rFonts w:ascii="Times New Roman" w:hAnsi="Times New Roman"/>
          <w:color w:val="000000"/>
          <w:sz w:val="24"/>
        </w:rPr>
        <w:t>means a [***] adjustable version of the Existing Vivity Product that is Developed under the Development Plan using or otherwise incorporating or relying on both the Alcon Technology and the RxSight Technology.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1.93</w:t>
      </w:r>
    </w:p>
    <w:p>
      <w:pPr>
        <w:pStyle w:val="TextBody"/>
        <w:bidi w:val="0"/>
        <w:spacing w:before="0" w:after="240"/>
        <w:jc w:val="both"/>
        <w:rPr/>
      </w:pPr>
      <w:r>
        <w:rPr>
          <w:color w:val="000000"/>
        </w:rPr>
        <w:t>“</w:t>
      </w:r>
      <w:r>
        <w:rPr>
          <w:rFonts w:ascii="Times New Roman" w:hAnsi="Times New Roman"/>
          <w:b/>
          <w:color w:val="000000"/>
          <w:sz w:val="24"/>
        </w:rPr>
        <w:t>IDE</w:t>
      </w:r>
      <w:r>
        <w:rPr>
          <w:color w:val="000000"/>
        </w:rPr>
        <w:t xml:space="preserve">” </w:t>
      </w:r>
      <w:r>
        <w:rPr>
          <w:rFonts w:ascii="Times New Roman" w:hAnsi="Times New Roman"/>
          <w:color w:val="000000"/>
          <w:sz w:val="24"/>
        </w:rPr>
        <w:t>means an investigational device exemption, as defined in the FDA regulations at 21 C.F.R. Part 812 (or any successor thereto), or an equivalent application filed with a Regulatory Authority in a country other than the United States to commence a Clinical Trial of an investigational device, including all information submitted with or incorporated by reference into such application and all amendments and supplements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1.94</w:t>
      </w:r>
    </w:p>
    <w:p>
      <w:pPr>
        <w:pStyle w:val="TextBody"/>
        <w:bidi w:val="0"/>
        <w:spacing w:before="0" w:after="240"/>
        <w:jc w:val="both"/>
        <w:rPr/>
      </w:pPr>
      <w:r>
        <w:rPr>
          <w:color w:val="000000"/>
        </w:rPr>
        <w:t>“</w:t>
      </w:r>
      <w:r>
        <w:rPr>
          <w:rFonts w:ascii="Times New Roman" w:hAnsi="Times New Roman"/>
          <w:b/>
          <w:color w:val="000000"/>
          <w:sz w:val="24"/>
        </w:rPr>
        <w:t>Improvements</w:t>
      </w:r>
      <w:r>
        <w:rPr>
          <w:color w:val="000000"/>
        </w:rPr>
        <w:t xml:space="preserve">” </w:t>
      </w:r>
      <w:r>
        <w:rPr>
          <w:rFonts w:ascii="Times New Roman" w:hAnsi="Times New Roman"/>
          <w:color w:val="000000"/>
          <w:sz w:val="24"/>
        </w:rPr>
        <w:t>means, with respect to any intraocular lens or technology, whether or not marketed under the same brand name, any improvements, enhancements, modifications, derivatives, refinements, or extensions to such intraocular lens and based in whole or in material part on the design of such intraocular lens or a material aspect of such technology.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1.95</w:t>
      </w:r>
    </w:p>
    <w:p>
      <w:pPr>
        <w:pStyle w:val="TextBody"/>
        <w:bidi w:val="0"/>
        <w:spacing w:before="0" w:after="240"/>
        <w:jc w:val="both"/>
        <w:rPr/>
      </w:pPr>
      <w:r>
        <w:rPr>
          <w:color w:val="000000"/>
        </w:rPr>
        <w:t>“</w:t>
      </w:r>
      <w:r>
        <w:rPr>
          <w:rFonts w:ascii="Times New Roman" w:hAnsi="Times New Roman"/>
          <w:b/>
          <w:color w:val="000000"/>
          <w:sz w:val="24"/>
        </w:rPr>
        <w:t>Indemnitee</w:t>
      </w:r>
      <w:r>
        <w:rPr>
          <w:color w:val="000000"/>
        </w:rPr>
        <w:t xml:space="preserve">” </w:t>
      </w:r>
      <w:r>
        <w:rPr>
          <w:rFonts w:ascii="Times New Roman" w:hAnsi="Times New Roman"/>
          <w:color w:val="000000"/>
          <w:sz w:val="24"/>
        </w:rPr>
        <w:t>has the meaning set forth in Section 14.4.1.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1.96</w:t>
      </w:r>
    </w:p>
    <w:p>
      <w:pPr>
        <w:pStyle w:val="TextBody"/>
        <w:bidi w:val="0"/>
        <w:spacing w:before="0" w:after="240"/>
        <w:jc w:val="both"/>
        <w:rPr/>
      </w:pPr>
      <w:r>
        <w:rPr>
          <w:color w:val="000000"/>
        </w:rPr>
        <w:t>“</w:t>
      </w:r>
      <w:r>
        <w:rPr>
          <w:rFonts w:ascii="Times New Roman" w:hAnsi="Times New Roman"/>
          <w:b/>
          <w:color w:val="000000"/>
          <w:sz w:val="24"/>
        </w:rPr>
        <w:t>Indemnitor</w:t>
      </w:r>
      <w:r>
        <w:rPr>
          <w:color w:val="000000"/>
        </w:rPr>
        <w:t xml:space="preserve">” </w:t>
      </w:r>
      <w:r>
        <w:rPr>
          <w:rFonts w:ascii="Times New Roman" w:hAnsi="Times New Roman"/>
          <w:color w:val="000000"/>
          <w:sz w:val="24"/>
        </w:rPr>
        <w:t>has the meaning set forth in Section 14.4.1.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1.97</w:t>
      </w:r>
    </w:p>
    <w:p>
      <w:pPr>
        <w:pStyle w:val="TextBody"/>
        <w:bidi w:val="0"/>
        <w:spacing w:before="0" w:after="240"/>
        <w:jc w:val="both"/>
        <w:rPr/>
      </w:pPr>
      <w:r>
        <w:rPr>
          <w:color w:val="000000"/>
        </w:rPr>
        <w:t>“</w:t>
      </w:r>
      <w:r>
        <w:rPr>
          <w:rFonts w:ascii="Times New Roman" w:hAnsi="Times New Roman"/>
          <w:b/>
          <w:color w:val="000000"/>
          <w:sz w:val="24"/>
        </w:rPr>
        <w:t>Indirect Taxes</w:t>
      </w:r>
      <w:r>
        <w:rPr>
          <w:color w:val="000000"/>
        </w:rPr>
        <w:t xml:space="preserve">” </w:t>
      </w:r>
      <w:r>
        <w:rPr>
          <w:rFonts w:ascii="Times New Roman" w:hAnsi="Times New Roman"/>
          <w:color w:val="000000"/>
          <w:sz w:val="24"/>
        </w:rPr>
        <w:t>has the meaning set forth in Section 8.4.3.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1.98</w:t>
      </w:r>
    </w:p>
    <w:p>
      <w:pPr>
        <w:pStyle w:val="TextBody"/>
        <w:bidi w:val="0"/>
        <w:spacing w:before="0" w:after="240"/>
        <w:jc w:val="both"/>
        <w:rPr/>
      </w:pPr>
      <w:r>
        <w:rPr>
          <w:color w:val="000000"/>
        </w:rPr>
        <w:t>“</w:t>
      </w:r>
      <w:r>
        <w:rPr>
          <w:rFonts w:ascii="Times New Roman" w:hAnsi="Times New Roman"/>
          <w:b/>
          <w:color w:val="000000"/>
          <w:sz w:val="24"/>
        </w:rPr>
        <w:t>Industry Participants</w:t>
      </w:r>
      <w:r>
        <w:rPr>
          <w:color w:val="000000"/>
        </w:rPr>
        <w:t xml:space="preserve">” </w:t>
      </w:r>
      <w:r>
        <w:rPr>
          <w:rFonts w:ascii="Times New Roman" w:hAnsi="Times New Roman"/>
          <w:color w:val="000000"/>
          <w:sz w:val="24"/>
        </w:rPr>
        <w:t>means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1.99</w:t>
      </w:r>
    </w:p>
    <w:p>
      <w:pPr>
        <w:pStyle w:val="TextBody"/>
        <w:bidi w:val="0"/>
        <w:spacing w:before="0" w:after="240"/>
        <w:jc w:val="both"/>
        <w:rPr/>
      </w:pPr>
      <w:r>
        <w:rPr>
          <w:color w:val="000000"/>
        </w:rPr>
        <w:t>“</w:t>
      </w:r>
      <w:r>
        <w:rPr>
          <w:rFonts w:ascii="Times New Roman" w:hAnsi="Times New Roman"/>
          <w:b/>
          <w:color w:val="000000"/>
          <w:sz w:val="24"/>
        </w:rPr>
        <w:t>Initial Term</w:t>
      </w:r>
      <w:r>
        <w:rPr>
          <w:color w:val="000000"/>
        </w:rPr>
        <w:t xml:space="preserve">” </w:t>
      </w:r>
      <w:r>
        <w:rPr>
          <w:rFonts w:ascii="Times New Roman" w:hAnsi="Times New Roman"/>
          <w:color w:val="000000"/>
          <w:sz w:val="24"/>
        </w:rPr>
        <w:t>has the meaning set forth in Section 11.1.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1.100</w:t>
      </w:r>
    </w:p>
    <w:p>
      <w:pPr>
        <w:pStyle w:val="TextBody"/>
        <w:bidi w:val="0"/>
        <w:spacing w:before="0" w:after="240"/>
        <w:jc w:val="both"/>
        <w:rPr/>
      </w:pPr>
      <w:r>
        <w:rPr>
          <w:color w:val="000000"/>
        </w:rPr>
        <w:t>“</w:t>
      </w:r>
      <w:r>
        <w:rPr>
          <w:rFonts w:ascii="Times New Roman" w:hAnsi="Times New Roman"/>
          <w:b/>
          <w:color w:val="000000"/>
          <w:sz w:val="24"/>
        </w:rPr>
        <w:t>Injector System</w:t>
      </w:r>
      <w:r>
        <w:rPr>
          <w:color w:val="000000"/>
        </w:rPr>
        <w:t xml:space="preserve">” </w:t>
      </w:r>
      <w:r>
        <w:rPr>
          <w:rFonts w:ascii="Times New Roman" w:hAnsi="Times New Roman"/>
          <w:color w:val="000000"/>
          <w:sz w:val="24"/>
        </w:rPr>
        <w:t>has the meaning set forth in the Manufacturing and Supply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1.101</w:t>
      </w:r>
    </w:p>
    <w:p>
      <w:pPr>
        <w:pStyle w:val="TextBody"/>
        <w:bidi w:val="0"/>
        <w:spacing w:before="0" w:after="240"/>
        <w:jc w:val="both"/>
        <w:rPr/>
      </w:pPr>
      <w:r>
        <w:rPr>
          <w:color w:val="000000"/>
        </w:rPr>
        <w:t>“</w:t>
      </w:r>
      <w:r>
        <w:rPr>
          <w:rFonts w:ascii="Times New Roman" w:hAnsi="Times New Roman"/>
          <w:b/>
          <w:color w:val="000000"/>
          <w:sz w:val="24"/>
        </w:rPr>
        <w:t>Insolvency Event</w:t>
      </w:r>
      <w:r>
        <w:rPr>
          <w:color w:val="000000"/>
        </w:rPr>
        <w:t xml:space="preserve">” </w:t>
      </w:r>
      <w:r>
        <w:rPr>
          <w:rFonts w:ascii="Times New Roman" w:hAnsi="Times New Roman"/>
          <w:color w:val="000000"/>
          <w:sz w:val="24"/>
        </w:rPr>
        <w:t>has the meaning set forth in Section 11.4.</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1.102</w:t>
      </w:r>
    </w:p>
    <w:p>
      <w:pPr>
        <w:pStyle w:val="TextBody"/>
        <w:bidi w:val="0"/>
        <w:spacing w:before="0" w:after="240"/>
        <w:jc w:val="both"/>
        <w:rPr/>
      </w:pPr>
      <w:r>
        <w:rPr>
          <w:color w:val="000000"/>
        </w:rPr>
        <w:t>“</w:t>
      </w:r>
      <w:r>
        <w:rPr>
          <w:rFonts w:ascii="Times New Roman" w:hAnsi="Times New Roman"/>
          <w:b/>
          <w:color w:val="000000"/>
          <w:sz w:val="24"/>
        </w:rPr>
        <w:t>Intellectual Property</w:t>
      </w:r>
      <w:r>
        <w:rPr>
          <w:color w:val="000000"/>
        </w:rPr>
        <w:t xml:space="preserve">” </w:t>
      </w:r>
      <w:r>
        <w:rPr>
          <w:rFonts w:ascii="Times New Roman" w:hAnsi="Times New Roman"/>
          <w:color w:val="000000"/>
          <w:sz w:val="24"/>
        </w:rPr>
        <w:t>means all (a) Patents, (b) Know-How, (c) Trademarks, (d) Copyrights, (e) Software, and (f) all proprietary rights in any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1.103</w:t>
      </w:r>
    </w:p>
    <w:p>
      <w:pPr>
        <w:pStyle w:val="TextBody"/>
        <w:bidi w:val="0"/>
        <w:spacing w:before="0" w:after="240"/>
        <w:jc w:val="both"/>
        <w:rPr/>
      </w:pPr>
      <w:r>
        <w:rPr>
          <w:color w:val="000000"/>
        </w:rPr>
        <w:t>“</w:t>
      </w:r>
      <w:r>
        <w:rPr>
          <w:rFonts w:ascii="Times New Roman" w:hAnsi="Times New Roman"/>
          <w:b/>
          <w:color w:val="000000"/>
          <w:sz w:val="24"/>
        </w:rPr>
        <w:t>Joint Arising Intellectual Property</w:t>
      </w:r>
      <w:r>
        <w:rPr>
          <w:color w:val="000000"/>
        </w:rPr>
        <w:t xml:space="preserve">” </w:t>
      </w:r>
      <w:r>
        <w:rPr>
          <w:rFonts w:ascii="Times New Roman" w:hAnsi="Times New Roman"/>
          <w:color w:val="000000"/>
          <w:sz w:val="24"/>
        </w:rPr>
        <w:t>has the meaning set forth in Section 9.2.2(c).</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1.104</w:t>
      </w:r>
    </w:p>
    <w:p>
      <w:pPr>
        <w:pStyle w:val="TextBody"/>
        <w:bidi w:val="0"/>
        <w:spacing w:before="0" w:after="240"/>
        <w:jc w:val="both"/>
        <w:rPr/>
      </w:pPr>
      <w:r>
        <w:rPr>
          <w:color w:val="000000"/>
        </w:rPr>
        <w:t>“</w:t>
      </w:r>
      <w:r>
        <w:rPr>
          <w:rFonts w:ascii="Times New Roman" w:hAnsi="Times New Roman"/>
          <w:b/>
          <w:color w:val="000000"/>
          <w:sz w:val="24"/>
        </w:rPr>
        <w:t>JSC</w:t>
      </w:r>
      <w:r>
        <w:rPr>
          <w:color w:val="000000"/>
        </w:rPr>
        <w:t xml:space="preserve">” </w:t>
      </w:r>
      <w:r>
        <w:rPr>
          <w:rFonts w:ascii="Times New Roman" w:hAnsi="Times New Roman"/>
          <w:color w:val="000000"/>
          <w:sz w:val="24"/>
        </w:rPr>
        <w:t>has the meaning set forth in Section 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1.105</w:t>
      </w:r>
    </w:p>
    <w:p>
      <w:pPr>
        <w:pStyle w:val="TextBody"/>
        <w:bidi w:val="0"/>
        <w:spacing w:before="0" w:after="240"/>
        <w:jc w:val="both"/>
        <w:rPr/>
      </w:pPr>
      <w:r>
        <w:rPr>
          <w:color w:val="000000"/>
        </w:rPr>
        <w:t>“</w:t>
      </w:r>
      <w:r>
        <w:rPr>
          <w:rFonts w:ascii="Times New Roman" w:hAnsi="Times New Roman"/>
          <w:b/>
          <w:color w:val="000000"/>
          <w:sz w:val="24"/>
        </w:rPr>
        <w:t>JSC Dispute</w:t>
      </w:r>
      <w:r>
        <w:rPr>
          <w:color w:val="000000"/>
        </w:rPr>
        <w:t xml:space="preserve">” </w:t>
      </w:r>
      <w:r>
        <w:rPr>
          <w:rFonts w:ascii="Times New Roman" w:hAnsi="Times New Roman"/>
          <w:color w:val="000000"/>
          <w:sz w:val="24"/>
        </w:rPr>
        <w:t>has the meaning set forth in Section 4.3.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1.106</w:t>
      </w:r>
    </w:p>
    <w:p>
      <w:pPr>
        <w:pStyle w:val="TextBody"/>
        <w:bidi w:val="0"/>
        <w:spacing w:before="0" w:after="240"/>
        <w:jc w:val="both"/>
        <w:rPr/>
      </w:pPr>
      <w:r>
        <w:rPr>
          <w:color w:val="000000"/>
        </w:rPr>
        <w:t>“</w:t>
      </w:r>
      <w:r>
        <w:rPr>
          <w:rFonts w:ascii="Times New Roman" w:hAnsi="Times New Roman"/>
          <w:b/>
          <w:color w:val="000000"/>
          <w:sz w:val="24"/>
        </w:rPr>
        <w:t>Know-How</w:t>
      </w:r>
      <w:r>
        <w:rPr>
          <w:color w:val="000000"/>
        </w:rPr>
        <w:t xml:space="preserve">” </w:t>
      </w:r>
      <w:r>
        <w:rPr>
          <w:rFonts w:ascii="Times New Roman" w:hAnsi="Times New Roman"/>
          <w:color w:val="000000"/>
          <w:sz w:val="24"/>
        </w:rPr>
        <w:t>means any scientific or technical information, inventions, discoveries, results and Data of any type whatsoever, in any tangible or intangible form, including inventions, discoveries, databases, safety information, practices, methods, instructions, techniques, processes, drawings, documentation, specifications, formulations, formulae, knowledge, know-how, trade secrets, materials, skill, experience, test data and other information and technology.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1.107</w:t>
      </w:r>
    </w:p>
    <w:p>
      <w:pPr>
        <w:pStyle w:val="TextBody"/>
        <w:bidi w:val="0"/>
        <w:spacing w:before="0" w:after="240"/>
        <w:jc w:val="both"/>
        <w:rPr/>
      </w:pPr>
      <w:r>
        <w:rPr>
          <w:color w:val="000000"/>
        </w:rPr>
        <w:t>“</w:t>
      </w:r>
      <w:r>
        <w:rPr>
          <w:rFonts w:ascii="Times New Roman" w:hAnsi="Times New Roman"/>
          <w:b/>
          <w:color w:val="000000"/>
          <w:sz w:val="24"/>
        </w:rPr>
        <w:t>Knowledge</w:t>
      </w:r>
      <w:r>
        <w:rPr>
          <w:color w:val="000000"/>
        </w:rPr>
        <w:t xml:space="preserve">” </w:t>
      </w:r>
      <w:r>
        <w:rPr>
          <w:rFonts w:ascii="Times New Roman" w:hAnsi="Times New Roman"/>
          <w:color w:val="000000"/>
          <w:sz w:val="24"/>
        </w:rPr>
        <w:t>means (a) with respect to RxSight[***], and (b) with respect to Alcon,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1.108</w:t>
      </w:r>
    </w:p>
    <w:p>
      <w:pPr>
        <w:pStyle w:val="TextBody"/>
        <w:bidi w:val="0"/>
        <w:spacing w:before="0" w:after="240"/>
        <w:jc w:val="both"/>
        <w:rPr/>
      </w:pPr>
      <w:r>
        <w:rPr>
          <w:color w:val="000000"/>
        </w:rPr>
        <w:t>“</w:t>
      </w:r>
      <w:r>
        <w:rPr>
          <w:rFonts w:ascii="Times New Roman" w:hAnsi="Times New Roman"/>
          <w:b/>
          <w:color w:val="000000"/>
          <w:sz w:val="24"/>
        </w:rPr>
        <w:t>LDD</w:t>
      </w:r>
      <w:r>
        <w:rPr>
          <w:color w:val="000000"/>
        </w:rPr>
        <w:t xml:space="preserve">” </w:t>
      </w:r>
      <w:r>
        <w:rPr>
          <w:rFonts w:ascii="Times New Roman" w:hAnsi="Times New Roman"/>
          <w:color w:val="000000"/>
          <w:sz w:val="24"/>
        </w:rPr>
        <w:t>means RxSight’s proprietary Light Delivery Device[***].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1.109</w:t>
      </w:r>
    </w:p>
    <w:p>
      <w:pPr>
        <w:pStyle w:val="TextBody"/>
        <w:bidi w:val="0"/>
        <w:spacing w:before="0" w:after="240"/>
        <w:jc w:val="both"/>
        <w:rPr/>
      </w:pPr>
      <w:r>
        <w:rPr>
          <w:color w:val="000000"/>
        </w:rPr>
        <w:t>“</w:t>
      </w:r>
      <w:r>
        <w:rPr>
          <w:rFonts w:ascii="Times New Roman" w:hAnsi="Times New Roman"/>
          <w:b/>
          <w:color w:val="000000"/>
          <w:sz w:val="24"/>
        </w:rPr>
        <w:t>LDD Distribution Agreement</w:t>
      </w:r>
      <w:r>
        <w:rPr>
          <w:color w:val="000000"/>
        </w:rPr>
        <w:t xml:space="preserve">” </w:t>
      </w:r>
      <w:r>
        <w:rPr>
          <w:rFonts w:ascii="Times New Roman" w:hAnsi="Times New Roman"/>
          <w:color w:val="000000"/>
          <w:sz w:val="24"/>
        </w:rPr>
        <w:t>has the meaning set forth in Section 6.4(c).</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1.110</w:t>
      </w:r>
    </w:p>
    <w:p>
      <w:pPr>
        <w:pStyle w:val="TextBody"/>
        <w:bidi w:val="0"/>
        <w:spacing w:before="0" w:after="240"/>
        <w:jc w:val="both"/>
        <w:rPr/>
      </w:pPr>
      <w:r>
        <w:rPr>
          <w:color w:val="000000"/>
        </w:rPr>
        <w:t>“</w:t>
      </w:r>
      <w:r>
        <w:rPr>
          <w:rFonts w:ascii="Times New Roman" w:hAnsi="Times New Roman"/>
          <w:b/>
          <w:color w:val="000000"/>
          <w:sz w:val="24"/>
        </w:rPr>
        <w:t>LDD Step-In Right</w:t>
      </w:r>
      <w:r>
        <w:rPr>
          <w:color w:val="000000"/>
        </w:rPr>
        <w:t xml:space="preserve">” </w:t>
      </w:r>
      <w:r>
        <w:rPr>
          <w:rFonts w:ascii="Times New Roman" w:hAnsi="Times New Roman"/>
          <w:color w:val="000000"/>
          <w:sz w:val="24"/>
        </w:rPr>
        <w:t>has the meaning set forth in Section 6.4(b).</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1.111</w:t>
      </w:r>
    </w:p>
    <w:p>
      <w:pPr>
        <w:pStyle w:val="TextBody"/>
        <w:bidi w:val="0"/>
        <w:spacing w:before="0" w:after="240"/>
        <w:jc w:val="both"/>
        <w:rPr/>
      </w:pPr>
      <w:r>
        <w:rPr>
          <w:color w:val="000000"/>
        </w:rPr>
        <w:t>“</w:t>
      </w:r>
      <w:r>
        <w:rPr>
          <w:rFonts w:ascii="Times New Roman" w:hAnsi="Times New Roman"/>
          <w:b/>
          <w:color w:val="000000"/>
          <w:sz w:val="24"/>
        </w:rPr>
        <w:t>Licensed Alcon Intellectual Property</w:t>
      </w:r>
      <w:r>
        <w:rPr>
          <w:color w:val="000000"/>
        </w:rPr>
        <w:t xml:space="preserve">” </w:t>
      </w:r>
      <w:r>
        <w:rPr>
          <w:rFonts w:ascii="Times New Roman" w:hAnsi="Times New Roman"/>
          <w:color w:val="000000"/>
          <w:sz w:val="24"/>
        </w:rPr>
        <w:t>means any Intellectual Property that is (a) Controlled by Alcon or any of its Affiliates as of the Effective Date or at any time during the Term, and (b) necessary or reasonably useful for RxSight to Develop, Manufacture and, if applicable, to conduct Demand Generation Activities pursuant to the Co-Promotion Agreement for, the Collaboration Products in the Field in the Territory as permitted under this Agreement. Without limiting the foregoing, the Licensed Alcon Intellectual Property includes all Licensed Alcon Patents, all Alcon Arising Intellectual Property and Alcon’s rights and interests in Joint Arising Intellectual Property.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1.112</w:t>
      </w:r>
    </w:p>
    <w:p>
      <w:pPr>
        <w:pStyle w:val="TextBody"/>
        <w:bidi w:val="0"/>
        <w:spacing w:before="0" w:after="240"/>
        <w:jc w:val="both"/>
        <w:rPr/>
      </w:pPr>
      <w:r>
        <w:rPr>
          <w:color w:val="000000"/>
        </w:rPr>
        <w:t>“</w:t>
      </w:r>
      <w:r>
        <w:rPr>
          <w:rFonts w:ascii="Times New Roman" w:hAnsi="Times New Roman"/>
          <w:b/>
          <w:color w:val="000000"/>
          <w:sz w:val="24"/>
        </w:rPr>
        <w:t>Licensed Alcon Patents</w:t>
      </w:r>
      <w:r>
        <w:rPr>
          <w:color w:val="000000"/>
        </w:rPr>
        <w:t xml:space="preserve">” </w:t>
      </w:r>
      <w:r>
        <w:rPr>
          <w:rFonts w:ascii="Times New Roman" w:hAnsi="Times New Roman"/>
          <w:color w:val="000000"/>
          <w:sz w:val="24"/>
        </w:rPr>
        <w:t>means all Patents Controlled by Alcon or any of its Affiliates as of the Effective Date or at any time during the Term that Cover the Exploitation of the Collaboration Products in the Field in the Territory. Without limiting the foregoing, Licensed Alcon Patents includes all Patents that constitute the Alcon Arising Intellectual Property.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1.113</w:t>
      </w:r>
    </w:p>
    <w:p>
      <w:pPr>
        <w:pStyle w:val="TextBody"/>
        <w:bidi w:val="0"/>
        <w:spacing w:before="0" w:after="240"/>
        <w:jc w:val="both"/>
        <w:rPr/>
      </w:pPr>
      <w:r>
        <w:rPr>
          <w:color w:val="000000"/>
        </w:rPr>
        <w:t>“</w:t>
      </w:r>
      <w:r>
        <w:rPr>
          <w:rFonts w:ascii="Times New Roman" w:hAnsi="Times New Roman"/>
          <w:b/>
          <w:color w:val="000000"/>
          <w:sz w:val="24"/>
        </w:rPr>
        <w:t>Licensed RxSight Intellectual Property</w:t>
      </w:r>
      <w:r>
        <w:rPr>
          <w:color w:val="000000"/>
        </w:rPr>
        <w:t xml:space="preserve">” </w:t>
      </w:r>
      <w:r>
        <w:rPr>
          <w:rFonts w:ascii="Times New Roman" w:hAnsi="Times New Roman"/>
          <w:color w:val="000000"/>
          <w:sz w:val="24"/>
        </w:rPr>
        <w:t xml:space="preserve">means all Intellectual Property that is (a) Controlled by RxSight or any of its Affiliates as of the Effective Date or at any time during the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 and (b) necessary or reasonably useful to Develop, Commercialize and, if applicable Manufacture or have Manufactured the Collaboration Products in the Field in the Territory as permitted under this Agreement. Without limiting the foregoing, the Licensed RxSight Intellectual Property includes all Licensed RxSight Patents, all RxSight Arising Intellectual Property, RxSight’s rights and interests in Joint Arising Intellectual Property and RxSight Trademarks.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1.114</w:t>
      </w:r>
    </w:p>
    <w:p>
      <w:pPr>
        <w:pStyle w:val="TextBody"/>
        <w:bidi w:val="0"/>
        <w:spacing w:before="0" w:after="240"/>
        <w:jc w:val="both"/>
        <w:rPr/>
      </w:pPr>
      <w:r>
        <w:rPr>
          <w:color w:val="000000"/>
        </w:rPr>
        <w:t>“</w:t>
      </w:r>
      <w:r>
        <w:rPr>
          <w:rFonts w:ascii="Times New Roman" w:hAnsi="Times New Roman"/>
          <w:b/>
          <w:color w:val="000000"/>
          <w:sz w:val="24"/>
        </w:rPr>
        <w:t>Licensed RxSight Patents</w:t>
      </w:r>
      <w:r>
        <w:rPr>
          <w:color w:val="000000"/>
        </w:rPr>
        <w:t xml:space="preserve">” </w:t>
      </w:r>
      <w:r>
        <w:rPr>
          <w:rFonts w:ascii="Times New Roman" w:hAnsi="Times New Roman"/>
          <w:color w:val="000000"/>
          <w:sz w:val="24"/>
        </w:rPr>
        <w:t>means all Patents Controlled by RxSight or any of its Affiliates as of the Effective Date or at any time during the Term that Cover the Exploitation of the Collaboration Products in the Field in the Territory. Without limiting the foregoing, Licensed RxSight Patents includes all Patents that constitute RxSight Arising Intellectual Property.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1.115</w:t>
      </w:r>
    </w:p>
    <w:p>
      <w:pPr>
        <w:pStyle w:val="TextBody"/>
        <w:bidi w:val="0"/>
        <w:spacing w:before="0" w:after="240"/>
        <w:jc w:val="both"/>
        <w:rPr/>
      </w:pPr>
      <w:r>
        <w:rPr>
          <w:color w:val="000000"/>
        </w:rPr>
        <w:t>“</w:t>
      </w:r>
      <w:r>
        <w:rPr>
          <w:rFonts w:ascii="Times New Roman" w:hAnsi="Times New Roman"/>
          <w:b/>
          <w:color w:val="000000"/>
          <w:sz w:val="24"/>
        </w:rPr>
        <w:t>Losses</w:t>
      </w:r>
      <w:r>
        <w:rPr>
          <w:color w:val="000000"/>
        </w:rPr>
        <w:t xml:space="preserve">” </w:t>
      </w:r>
      <w:r>
        <w:rPr>
          <w:rFonts w:ascii="Times New Roman" w:hAnsi="Times New Roman"/>
          <w:color w:val="000000"/>
          <w:sz w:val="24"/>
        </w:rPr>
        <w:t>has the meaning set forth in Section 14.1.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1.116</w:t>
      </w:r>
    </w:p>
    <w:p>
      <w:pPr>
        <w:pStyle w:val="TextBody"/>
        <w:bidi w:val="0"/>
        <w:spacing w:before="0" w:after="240"/>
        <w:jc w:val="both"/>
        <w:rPr/>
      </w:pPr>
      <w:r>
        <w:rPr>
          <w:color w:val="000000"/>
        </w:rPr>
        <w:t>“</w:t>
      </w:r>
      <w:r>
        <w:rPr>
          <w:rFonts w:ascii="Times New Roman" w:hAnsi="Times New Roman"/>
          <w:b/>
          <w:color w:val="000000"/>
          <w:sz w:val="24"/>
        </w:rPr>
        <w:t>Manufacture</w:t>
      </w:r>
      <w:r>
        <w:rPr>
          <w:color w:val="000000"/>
        </w:rPr>
        <w:t xml:space="preserve">” </w:t>
      </w:r>
      <w:r>
        <w:rPr>
          <w:rFonts w:ascii="Times New Roman" w:hAnsi="Times New Roman"/>
          <w:color w:val="000000"/>
          <w:sz w:val="24"/>
        </w:rPr>
        <w:t>and “</w:t>
      </w:r>
      <w:r>
        <w:rPr>
          <w:rFonts w:ascii="Times New Roman" w:hAnsi="Times New Roman"/>
          <w:b/>
          <w:color w:val="000000"/>
          <w:sz w:val="24"/>
        </w:rPr>
        <w:t>Manufacturing</w:t>
      </w:r>
      <w:r>
        <w:rPr>
          <w:color w:val="000000"/>
        </w:rPr>
        <w:t xml:space="preserve">” </w:t>
      </w:r>
      <w:r>
        <w:rPr>
          <w:rFonts w:ascii="Times New Roman" w:hAnsi="Times New Roman"/>
          <w:color w:val="000000"/>
          <w:sz w:val="24"/>
        </w:rPr>
        <w:t>means all activities related to the production, manufacture processing, assembly, sterilization (where applicable), packaging, labeling, storage, shipping and holding of any medical device, or any component thereof, including nonclinical, pre-clinical, clinical and commercial manufacture, quality assurance and quality control (including testing and release). For clarity, “Manufacturing” shall not include any Manufacturing Process Development activities.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1.117</w:t>
      </w:r>
    </w:p>
    <w:p>
      <w:pPr>
        <w:pStyle w:val="TextBody"/>
        <w:bidi w:val="0"/>
        <w:spacing w:before="0" w:after="240"/>
        <w:jc w:val="both"/>
        <w:rPr/>
      </w:pPr>
      <w:r>
        <w:rPr>
          <w:color w:val="000000"/>
        </w:rPr>
        <w:t>“</w:t>
      </w:r>
      <w:r>
        <w:rPr>
          <w:rFonts w:ascii="Times New Roman" w:hAnsi="Times New Roman"/>
          <w:b/>
          <w:color w:val="000000"/>
          <w:sz w:val="24"/>
        </w:rPr>
        <w:t>Manufacturing Know-How</w:t>
      </w:r>
      <w:r>
        <w:rPr>
          <w:color w:val="000000"/>
        </w:rPr>
        <w:t xml:space="preserve">” </w:t>
      </w:r>
      <w:r>
        <w:rPr>
          <w:rFonts w:ascii="Times New Roman" w:hAnsi="Times New Roman"/>
          <w:color w:val="000000"/>
          <w:sz w:val="24"/>
        </w:rPr>
        <w:t>means all Know-How Controlled by RxSight or any of its Affiliates that is necessary or actually used for the Manufacture of the Collaboration Products.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1.118</w:t>
      </w:r>
    </w:p>
    <w:p>
      <w:pPr>
        <w:pStyle w:val="TextBody"/>
        <w:bidi w:val="0"/>
        <w:spacing w:before="0" w:after="240"/>
        <w:jc w:val="both"/>
        <w:rPr/>
      </w:pPr>
      <w:r>
        <w:rPr>
          <w:color w:val="000000"/>
        </w:rPr>
        <w:t>“</w:t>
      </w:r>
      <w:r>
        <w:rPr>
          <w:rFonts w:ascii="Times New Roman" w:hAnsi="Times New Roman"/>
          <w:b/>
          <w:color w:val="000000"/>
          <w:sz w:val="24"/>
        </w:rPr>
        <w:t>Manufacturing and Supply Agreement</w:t>
      </w:r>
      <w:r>
        <w:rPr>
          <w:color w:val="000000"/>
        </w:rPr>
        <w:t xml:space="preserve">” </w:t>
      </w:r>
      <w:r>
        <w:rPr>
          <w:rFonts w:ascii="Times New Roman" w:hAnsi="Times New Roman"/>
          <w:color w:val="000000"/>
          <w:sz w:val="24"/>
        </w:rPr>
        <w:t>has the meaning set forth in Section 6.3.2.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1.119</w:t>
      </w:r>
    </w:p>
    <w:p>
      <w:pPr>
        <w:pStyle w:val="TextBody"/>
        <w:bidi w:val="0"/>
        <w:spacing w:before="0" w:after="240"/>
        <w:jc w:val="both"/>
        <w:rPr/>
      </w:pPr>
      <w:r>
        <w:rPr>
          <w:color w:val="000000"/>
        </w:rPr>
        <w:t>“</w:t>
      </w:r>
      <w:r>
        <w:rPr>
          <w:rFonts w:ascii="Times New Roman" w:hAnsi="Times New Roman"/>
          <w:b/>
          <w:color w:val="000000"/>
          <w:sz w:val="24"/>
        </w:rPr>
        <w:t>Manufacturing Process Development</w:t>
      </w:r>
      <w:r>
        <w:rPr>
          <w:color w:val="000000"/>
        </w:rPr>
        <w:t xml:space="preserve">” </w:t>
      </w:r>
      <w:r>
        <w:rPr>
          <w:rFonts w:ascii="Times New Roman" w:hAnsi="Times New Roman"/>
          <w:color w:val="000000"/>
          <w:sz w:val="24"/>
        </w:rPr>
        <w:t>means, with respect to a medical device, all process design, Development, product characterization, Manufacturing scale-up, qualification and validation and quality assurance/quality control development with respect to such device or any part or component thereof, including the transfer of the Manufacturing process to a Party or its contract manufacturing organization in support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1.120</w:t>
      </w:r>
    </w:p>
    <w:p>
      <w:pPr>
        <w:pStyle w:val="TextBody"/>
        <w:bidi w:val="0"/>
        <w:spacing w:before="0" w:after="240"/>
        <w:jc w:val="both"/>
        <w:rPr/>
      </w:pPr>
      <w:r>
        <w:rPr>
          <w:color w:val="000000"/>
        </w:rPr>
        <w:t>“</w:t>
      </w:r>
      <w:r>
        <w:rPr>
          <w:rFonts w:ascii="Times New Roman" w:hAnsi="Times New Roman"/>
          <w:b/>
          <w:color w:val="000000"/>
          <w:sz w:val="24"/>
        </w:rPr>
        <w:t>Materials</w:t>
      </w:r>
      <w:r>
        <w:rPr>
          <w:color w:val="000000"/>
        </w:rPr>
        <w:t xml:space="preserve">” </w:t>
      </w:r>
      <w:r>
        <w:rPr>
          <w:rFonts w:ascii="Times New Roman" w:hAnsi="Times New Roman"/>
          <w:color w:val="000000"/>
          <w:sz w:val="24"/>
        </w:rPr>
        <w:t>means any tangible compositions of matter, articles of manufacture, prototypes, devices, components, subcomponents, and other physical materials[***] as well as any packaging and labeling materials and components (including printed and non-printed components, where applicable).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1.121</w:t>
      </w:r>
    </w:p>
    <w:p>
      <w:pPr>
        <w:pStyle w:val="TextBody"/>
        <w:bidi w:val="0"/>
        <w:spacing w:before="0" w:after="240"/>
        <w:jc w:val="both"/>
        <w:rPr/>
      </w:pPr>
      <w:r>
        <w:rPr>
          <w:color w:val="000000"/>
        </w:rPr>
        <w:t>“</w:t>
      </w:r>
      <w:r>
        <w:rPr>
          <w:rFonts w:ascii="Times New Roman" w:hAnsi="Times New Roman"/>
          <w:b/>
          <w:color w:val="000000"/>
          <w:sz w:val="24"/>
        </w:rPr>
        <w:t>Material Safety Issue</w:t>
      </w:r>
      <w:r>
        <w:rPr>
          <w:color w:val="000000"/>
        </w:rPr>
        <w:t xml:space="preserve">” </w:t>
      </w:r>
      <w:r>
        <w:rPr>
          <w:rFonts w:ascii="Times New Roman" w:hAnsi="Times New Roman"/>
          <w:color w:val="000000"/>
          <w:sz w:val="24"/>
        </w:rPr>
        <w:t>means, with respect to a Collaboration Product, (a) the existence of data, information or analysis that demonstrates, or would reasonably be expected to demonstrate, an unacceptable risk of harm to human subjects or patients, as determined in accordance with generally accepted scientific and medical standards by a reasonable and prudent person with relevant expertise, based on available Know-How related to such Collaboration Product, or (b) any determination, order, or communication by a Regulatory Authority (including any warning, safety alert, withdrawal order or similar action) that there is an unacceptable risk for harm in humans based upon any Know-How or analysis of Know-How available to such Regulatory Authority.</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1.122</w:t>
      </w:r>
    </w:p>
    <w:p>
      <w:pPr>
        <w:pStyle w:val="TextBody"/>
        <w:bidi w:val="0"/>
        <w:spacing w:before="0" w:after="240"/>
        <w:jc w:val="both"/>
        <w:rPr/>
      </w:pPr>
      <w:r>
        <w:rPr>
          <w:color w:val="000000"/>
        </w:rPr>
        <w:t>“</w:t>
      </w:r>
      <w:r>
        <w:rPr>
          <w:rFonts w:ascii="Times New Roman" w:hAnsi="Times New Roman"/>
          <w:b/>
          <w:color w:val="000000"/>
          <w:sz w:val="24"/>
        </w:rPr>
        <w:t>Material Upgrade</w:t>
      </w:r>
      <w:r>
        <w:rPr>
          <w:color w:val="000000"/>
        </w:rPr>
        <w:t xml:space="preserve">” </w:t>
      </w:r>
      <w:r>
        <w:rPr>
          <w:rFonts w:ascii="Times New Roman" w:hAnsi="Times New Roman"/>
          <w:color w:val="000000"/>
          <w:sz w:val="24"/>
        </w:rPr>
        <w:t>means any modification, enhancement or improvement to the Hybrid PanOptix Product or Hybrid Vivity Product that is not a Minor Upgrade.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1.123</w:t>
      </w:r>
    </w:p>
    <w:p>
      <w:pPr>
        <w:pStyle w:val="TextBody"/>
        <w:bidi w:val="0"/>
        <w:spacing w:before="0" w:after="240"/>
        <w:jc w:val="both"/>
        <w:rPr/>
      </w:pPr>
      <w:r>
        <w:rPr>
          <w:color w:val="000000"/>
        </w:rPr>
        <w:t>“</w:t>
      </w:r>
      <w:r>
        <w:rPr>
          <w:rFonts w:ascii="Times New Roman" w:hAnsi="Times New Roman"/>
          <w:b/>
          <w:color w:val="000000"/>
          <w:sz w:val="24"/>
        </w:rPr>
        <w:t>Materiovigilance Agreement</w:t>
      </w:r>
      <w:r>
        <w:rPr>
          <w:color w:val="000000"/>
        </w:rPr>
        <w:t xml:space="preserve">” </w:t>
      </w:r>
      <w:r>
        <w:rPr>
          <w:rFonts w:ascii="Times New Roman" w:hAnsi="Times New Roman"/>
          <w:color w:val="000000"/>
          <w:sz w:val="24"/>
        </w:rPr>
        <w:t>has the meaning set forth in Section 6.2.7.</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1.124</w:t>
      </w:r>
    </w:p>
    <w:p>
      <w:pPr>
        <w:pStyle w:val="TextBody"/>
        <w:bidi w:val="0"/>
        <w:spacing w:before="0" w:after="240"/>
        <w:jc w:val="both"/>
        <w:rPr/>
      </w:pPr>
      <w:r>
        <w:rPr>
          <w:color w:val="000000"/>
        </w:rPr>
        <w:t>“</w:t>
      </w:r>
      <w:r>
        <w:rPr>
          <w:rFonts w:ascii="Times New Roman" w:hAnsi="Times New Roman"/>
          <w:b/>
          <w:color w:val="000000"/>
          <w:sz w:val="24"/>
        </w:rPr>
        <w:t>MFN Pricing</w:t>
      </w:r>
      <w:r>
        <w:rPr>
          <w:color w:val="000000"/>
        </w:rPr>
        <w:t xml:space="preserve">” </w:t>
      </w:r>
      <w:r>
        <w:rPr>
          <w:rFonts w:ascii="Times New Roman" w:hAnsi="Times New Roman"/>
          <w:color w:val="000000"/>
          <w:sz w:val="24"/>
        </w:rPr>
        <w:t>has the meaning set forth in Section 7.3.6(b).</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1.125</w:t>
      </w:r>
    </w:p>
    <w:p>
      <w:pPr>
        <w:pStyle w:val="TextBody"/>
        <w:bidi w:val="0"/>
        <w:spacing w:before="0" w:after="240"/>
        <w:jc w:val="both"/>
        <w:rPr/>
      </w:pPr>
      <w:r>
        <w:rPr>
          <w:color w:val="000000"/>
        </w:rPr>
        <w:t>“</w:t>
      </w:r>
      <w:r>
        <w:rPr>
          <w:rFonts w:ascii="Times New Roman" w:hAnsi="Times New Roman"/>
          <w:b/>
          <w:color w:val="000000"/>
          <w:sz w:val="24"/>
        </w:rPr>
        <w:t>Milestone Payment</w:t>
      </w:r>
      <w:r>
        <w:rPr>
          <w:color w:val="000000"/>
        </w:rPr>
        <w:t xml:space="preserve">” </w:t>
      </w:r>
      <w:r>
        <w:rPr>
          <w:rFonts w:ascii="Times New Roman" w:hAnsi="Times New Roman"/>
          <w:color w:val="000000"/>
          <w:sz w:val="24"/>
        </w:rPr>
        <w:t>means the Feasibility Milestone Payment, the Regulatory Submission Milestone Payment, or the Approval Milestone Payment, as applicable.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1.126</w:t>
      </w:r>
    </w:p>
    <w:p>
      <w:pPr>
        <w:pStyle w:val="TextBody"/>
        <w:bidi w:val="0"/>
        <w:spacing w:before="0" w:after="240"/>
        <w:jc w:val="both"/>
        <w:rPr/>
      </w:pPr>
      <w:r>
        <w:rPr>
          <w:color w:val="000000"/>
        </w:rPr>
        <w:t>“</w:t>
      </w:r>
      <w:r>
        <w:rPr>
          <w:rFonts w:ascii="Times New Roman" w:hAnsi="Times New Roman"/>
          <w:b/>
          <w:color w:val="000000"/>
          <w:sz w:val="24"/>
        </w:rPr>
        <w:t>Minimum Royalty Payment</w:t>
      </w:r>
      <w:r>
        <w:rPr>
          <w:color w:val="000000"/>
        </w:rPr>
        <w:t xml:space="preserve">” </w:t>
      </w:r>
      <w:r>
        <w:rPr>
          <w:rFonts w:ascii="Times New Roman" w:hAnsi="Times New Roman"/>
          <w:color w:val="000000"/>
          <w:sz w:val="24"/>
        </w:rPr>
        <w:t>has the meaning set forth in Section 7.3.3.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1.127</w:t>
      </w:r>
    </w:p>
    <w:p>
      <w:pPr>
        <w:pStyle w:val="TextBody"/>
        <w:bidi w:val="0"/>
        <w:spacing w:before="0" w:after="240"/>
        <w:jc w:val="both"/>
        <w:rPr/>
      </w:pPr>
      <w:r>
        <w:rPr>
          <w:color w:val="000000"/>
        </w:rPr>
        <w:t>“</w:t>
      </w:r>
      <w:r>
        <w:rPr>
          <w:rFonts w:ascii="Times New Roman" w:hAnsi="Times New Roman"/>
          <w:b/>
          <w:color w:val="000000"/>
          <w:sz w:val="24"/>
        </w:rPr>
        <w:t>Minor Upgrade</w:t>
      </w:r>
      <w:r>
        <w:rPr>
          <w:color w:val="000000"/>
        </w:rPr>
        <w:t xml:space="preserve">” </w:t>
      </w:r>
      <w:r>
        <w:rPr>
          <w:rFonts w:ascii="Times New Roman" w:hAnsi="Times New Roman"/>
          <w:color w:val="000000"/>
          <w:sz w:val="24"/>
        </w:rPr>
        <w:t xml:space="preserve">means [***].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1.128</w:t>
      </w:r>
    </w:p>
    <w:p>
      <w:pPr>
        <w:pStyle w:val="TextBody"/>
        <w:bidi w:val="0"/>
        <w:spacing w:before="0" w:after="240"/>
        <w:jc w:val="both"/>
        <w:rPr/>
      </w:pPr>
      <w:r>
        <w:rPr>
          <w:color w:val="000000"/>
        </w:rPr>
        <w:t>“</w:t>
      </w:r>
      <w:r>
        <w:rPr>
          <w:rFonts w:ascii="Times New Roman" w:hAnsi="Times New Roman"/>
          <w:b/>
          <w:color w:val="000000"/>
          <w:sz w:val="24"/>
        </w:rPr>
        <w:t>Monetization Transaction</w:t>
      </w:r>
      <w:r>
        <w:rPr>
          <w:color w:val="000000"/>
        </w:rPr>
        <w:t xml:space="preserve">” </w:t>
      </w:r>
      <w:r>
        <w:rPr>
          <w:rFonts w:ascii="Times New Roman" w:hAnsi="Times New Roman"/>
          <w:color w:val="000000"/>
          <w:sz w:val="24"/>
        </w:rPr>
        <w:t>has the meaning set forth in Section 16.1.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1.129</w:t>
      </w:r>
    </w:p>
    <w:p>
      <w:pPr>
        <w:pStyle w:val="TextBody"/>
        <w:bidi w:val="0"/>
        <w:spacing w:before="0" w:after="240"/>
        <w:jc w:val="both"/>
        <w:rPr/>
      </w:pPr>
      <w:r>
        <w:rPr>
          <w:color w:val="000000"/>
        </w:rPr>
        <w:t>“</w:t>
      </w:r>
      <w:r>
        <w:rPr>
          <w:rFonts w:ascii="Times New Roman" w:hAnsi="Times New Roman"/>
          <w:b/>
          <w:color w:val="000000"/>
          <w:sz w:val="24"/>
        </w:rPr>
        <w:t>Net Sales</w:t>
      </w:r>
      <w:r>
        <w:rPr>
          <w:color w:val="000000"/>
        </w:rPr>
        <w:t xml:space="preserve">” </w:t>
      </w:r>
      <w:r>
        <w:rPr>
          <w:rFonts w:ascii="Times New Roman" w:hAnsi="Times New Roman"/>
          <w:color w:val="000000"/>
          <w:sz w:val="24"/>
        </w:rPr>
        <w:t>means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1.130</w:t>
      </w:r>
    </w:p>
    <w:p>
      <w:pPr>
        <w:pStyle w:val="TextBody"/>
        <w:bidi w:val="0"/>
        <w:spacing w:before="0" w:after="240"/>
        <w:jc w:val="both"/>
        <w:rPr/>
      </w:pPr>
      <w:r>
        <w:rPr>
          <w:color w:val="000000"/>
        </w:rPr>
        <w:t>“</w:t>
      </w:r>
      <w:r>
        <w:rPr>
          <w:rFonts w:ascii="Times New Roman" w:hAnsi="Times New Roman"/>
          <w:b/>
          <w:color w:val="000000"/>
          <w:sz w:val="24"/>
        </w:rPr>
        <w:t>Notices and Consents</w:t>
      </w:r>
      <w:r>
        <w:rPr>
          <w:color w:val="000000"/>
        </w:rPr>
        <w:t xml:space="preserve">” </w:t>
      </w:r>
      <w:r>
        <w:rPr>
          <w:rFonts w:ascii="Times New Roman" w:hAnsi="Times New Roman"/>
          <w:color w:val="000000"/>
          <w:sz w:val="24"/>
        </w:rPr>
        <w:t>has the meaning set forth in Section 15.2.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1.131</w:t>
      </w:r>
    </w:p>
    <w:p>
      <w:pPr>
        <w:pStyle w:val="TextBody"/>
        <w:bidi w:val="0"/>
        <w:spacing w:before="0" w:after="240"/>
        <w:jc w:val="both"/>
        <w:rPr/>
      </w:pPr>
      <w:r>
        <w:rPr>
          <w:color w:val="000000"/>
        </w:rPr>
        <w:t>“</w:t>
      </w:r>
      <w:r>
        <w:rPr>
          <w:rFonts w:ascii="Times New Roman" w:hAnsi="Times New Roman"/>
          <w:b/>
          <w:color w:val="000000"/>
          <w:sz w:val="24"/>
        </w:rPr>
        <w:t>Notified Body</w:t>
      </w:r>
      <w:r>
        <w:rPr>
          <w:color w:val="000000"/>
        </w:rPr>
        <w:t xml:space="preserve">” </w:t>
      </w:r>
      <w:r>
        <w:rPr>
          <w:rFonts w:ascii="Times New Roman" w:hAnsi="Times New Roman"/>
          <w:color w:val="000000"/>
          <w:sz w:val="24"/>
        </w:rPr>
        <w:t xml:space="preserve">means any organization accredited, designated, licensed, authorized or approved under Applicable Laws by an EU member state or the United Kingdom to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assess and certify the conformity of medical devices in accordance with Applicable Laws and any applicable harmonized standards.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1.132</w:t>
      </w:r>
    </w:p>
    <w:p>
      <w:pPr>
        <w:pStyle w:val="TextBody"/>
        <w:bidi w:val="0"/>
        <w:spacing w:before="0" w:after="240"/>
        <w:jc w:val="both"/>
        <w:rPr/>
      </w:pPr>
      <w:r>
        <w:rPr>
          <w:color w:val="000000"/>
        </w:rPr>
        <w:t>“</w:t>
      </w:r>
      <w:r>
        <w:rPr>
          <w:rFonts w:ascii="Times New Roman" w:hAnsi="Times New Roman"/>
          <w:b/>
          <w:color w:val="000000"/>
          <w:sz w:val="24"/>
        </w:rPr>
        <w:t>Other Arising Intellectual Property</w:t>
      </w:r>
      <w:r>
        <w:rPr>
          <w:color w:val="000000"/>
        </w:rPr>
        <w:t xml:space="preserve">” </w:t>
      </w:r>
      <w:r>
        <w:rPr>
          <w:rFonts w:ascii="Times New Roman" w:hAnsi="Times New Roman"/>
          <w:color w:val="000000"/>
          <w:sz w:val="24"/>
        </w:rPr>
        <w:t>has the meaning set forth in Section 9.2.2(c).</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1.133</w:t>
      </w:r>
    </w:p>
    <w:p>
      <w:pPr>
        <w:pStyle w:val="TextBody"/>
        <w:bidi w:val="0"/>
        <w:spacing w:before="0" w:after="240"/>
        <w:jc w:val="both"/>
        <w:rPr/>
      </w:pPr>
      <w:r>
        <w:rPr>
          <w:color w:val="000000"/>
        </w:rPr>
        <w:t>“</w:t>
      </w:r>
      <w:r>
        <w:rPr>
          <w:rFonts w:ascii="Times New Roman" w:hAnsi="Times New Roman"/>
          <w:b/>
          <w:color w:val="000000"/>
          <w:sz w:val="24"/>
        </w:rPr>
        <w:t>Party</w:t>
      </w:r>
      <w:r>
        <w:rPr>
          <w:color w:val="000000"/>
        </w:rPr>
        <w:t xml:space="preserve">” </w:t>
      </w:r>
      <w:r>
        <w:rPr>
          <w:rFonts w:ascii="Times New Roman" w:hAnsi="Times New Roman"/>
          <w:color w:val="000000"/>
          <w:sz w:val="24"/>
        </w:rPr>
        <w:t>and “</w:t>
      </w:r>
      <w:r>
        <w:rPr>
          <w:rFonts w:ascii="Times New Roman" w:hAnsi="Times New Roman"/>
          <w:b/>
          <w:color w:val="000000"/>
          <w:sz w:val="24"/>
        </w:rPr>
        <w:t>Parties</w:t>
      </w:r>
      <w:r>
        <w:rPr>
          <w:color w:val="000000"/>
        </w:rPr>
        <w:t xml:space="preserve">” </w:t>
      </w:r>
      <w:r>
        <w:rPr>
          <w:rFonts w:ascii="Times New Roman" w:hAnsi="Times New Roman"/>
          <w:color w:val="000000"/>
          <w:sz w:val="24"/>
        </w:rPr>
        <w:t>has the meaning set forth in the Preamble.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1.134</w:t>
      </w:r>
    </w:p>
    <w:p>
      <w:pPr>
        <w:pStyle w:val="TextBody"/>
        <w:bidi w:val="0"/>
        <w:spacing w:before="0" w:after="240"/>
        <w:jc w:val="both"/>
        <w:rPr/>
      </w:pPr>
      <w:r>
        <w:rPr>
          <w:color w:val="000000"/>
        </w:rPr>
        <w:t>“</w:t>
      </w:r>
      <w:r>
        <w:rPr>
          <w:rFonts w:ascii="Times New Roman" w:hAnsi="Times New Roman"/>
          <w:b/>
          <w:color w:val="000000"/>
          <w:sz w:val="24"/>
        </w:rPr>
        <w:t>Patents</w:t>
      </w:r>
      <w:r>
        <w:rPr>
          <w:color w:val="000000"/>
        </w:rPr>
        <w:t xml:space="preserve">” </w:t>
      </w:r>
      <w:r>
        <w:rPr>
          <w:rFonts w:ascii="Times New Roman" w:hAnsi="Times New Roman"/>
          <w:color w:val="000000"/>
          <w:sz w:val="24"/>
        </w:rPr>
        <w:t>means: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1.135</w:t>
      </w:r>
    </w:p>
    <w:p>
      <w:pPr>
        <w:pStyle w:val="TextBody"/>
        <w:bidi w:val="0"/>
        <w:spacing w:before="0" w:after="240"/>
        <w:jc w:val="both"/>
        <w:rPr/>
      </w:pPr>
      <w:r>
        <w:rPr>
          <w:color w:val="000000"/>
        </w:rPr>
        <w:t>“</w:t>
      </w:r>
      <w:r>
        <w:rPr>
          <w:rFonts w:ascii="Times New Roman" w:hAnsi="Times New Roman"/>
          <w:b/>
          <w:color w:val="000000"/>
          <w:sz w:val="24"/>
        </w:rPr>
        <w:t>Payment</w:t>
      </w:r>
      <w:r>
        <w:rPr>
          <w:color w:val="000000"/>
        </w:rPr>
        <w:t xml:space="preserve">” </w:t>
      </w:r>
      <w:r>
        <w:rPr>
          <w:rFonts w:ascii="Times New Roman" w:hAnsi="Times New Roman"/>
          <w:color w:val="000000"/>
          <w:sz w:val="24"/>
        </w:rPr>
        <w:t>has the meaning set forth in Section 8.4.2.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1.136</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any individual, corporation, partnership, association, joint-stock company, trust, entity, unincorporated organization or government or political subdivision thereof.</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1.137</w:t>
      </w:r>
    </w:p>
    <w:p>
      <w:pPr>
        <w:pStyle w:val="TextBody"/>
        <w:bidi w:val="0"/>
        <w:spacing w:before="0" w:after="240"/>
        <w:jc w:val="both"/>
        <w:rPr/>
      </w:pPr>
      <w:r>
        <w:rPr>
          <w:color w:val="000000"/>
        </w:rPr>
        <w:t>“</w:t>
      </w:r>
      <w:r>
        <w:rPr>
          <w:rFonts w:ascii="Times New Roman" w:hAnsi="Times New Roman"/>
          <w:b/>
          <w:color w:val="000000"/>
          <w:sz w:val="24"/>
        </w:rPr>
        <w:t>Personal Information</w:t>
      </w:r>
      <w:r>
        <w:rPr>
          <w:color w:val="000000"/>
        </w:rPr>
        <w:t xml:space="preserve">” </w:t>
      </w:r>
      <w:r>
        <w:rPr>
          <w:rFonts w:ascii="Times New Roman" w:hAnsi="Times New Roman"/>
          <w:color w:val="000000"/>
          <w:sz w:val="24"/>
        </w:rPr>
        <w:t>means (a) all information that identifies, could be used to identify or is otherwise associated with an individual person, whether or not such information is associated with an identified individual person and (b) any other information included in any definition of “Personal Information” or any similar term (e.g., “personal data” or “personally identifiable information” or “PII”) provided by Applicable Laws or by either Party in any of its own privacy policies, notices or contracts.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1.138</w:t>
      </w:r>
    </w:p>
    <w:p>
      <w:pPr>
        <w:pStyle w:val="TextBody"/>
        <w:bidi w:val="0"/>
        <w:spacing w:before="0" w:after="240"/>
        <w:jc w:val="both"/>
        <w:rPr/>
      </w:pPr>
      <w:r>
        <w:rPr>
          <w:color w:val="000000"/>
        </w:rPr>
        <w:t>“</w:t>
      </w:r>
      <w:r>
        <w:rPr>
          <w:rFonts w:ascii="Times New Roman" w:hAnsi="Times New Roman"/>
          <w:b/>
          <w:color w:val="000000"/>
          <w:sz w:val="24"/>
        </w:rPr>
        <w:t>Phase 1 Completion Requirements</w:t>
      </w:r>
      <w:r>
        <w:rPr>
          <w:color w:val="000000"/>
        </w:rPr>
        <w:t xml:space="preserve">” </w:t>
      </w:r>
      <w:r>
        <w:rPr>
          <w:rFonts w:ascii="Times New Roman" w:hAnsi="Times New Roman"/>
          <w:color w:val="000000"/>
          <w:sz w:val="24"/>
        </w:rPr>
        <w:t>has the meaning set forth in Section 3.2.1.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1.139</w:t>
      </w:r>
    </w:p>
    <w:p>
      <w:pPr>
        <w:pStyle w:val="TextBody"/>
        <w:bidi w:val="0"/>
        <w:spacing w:before="0" w:after="240"/>
        <w:jc w:val="both"/>
        <w:rPr/>
      </w:pPr>
      <w:r>
        <w:rPr>
          <w:color w:val="000000"/>
        </w:rPr>
        <w:t>“</w:t>
      </w:r>
      <w:r>
        <w:rPr>
          <w:rFonts w:ascii="Times New Roman" w:hAnsi="Times New Roman"/>
          <w:b/>
          <w:color w:val="000000"/>
          <w:sz w:val="24"/>
        </w:rPr>
        <w:t>Phase 1 Deficiency</w:t>
      </w:r>
      <w:r>
        <w:rPr>
          <w:color w:val="000000"/>
        </w:rPr>
        <w:t xml:space="preserve">” </w:t>
      </w:r>
      <w:r>
        <w:rPr>
          <w:rFonts w:ascii="Times New Roman" w:hAnsi="Times New Roman"/>
          <w:color w:val="000000"/>
          <w:sz w:val="24"/>
        </w:rPr>
        <w:t>has the meaning set forth in Section 3.2.1.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1.140</w:t>
      </w:r>
    </w:p>
    <w:p>
      <w:pPr>
        <w:pStyle w:val="TextBody"/>
        <w:bidi w:val="0"/>
        <w:spacing w:before="0" w:after="240"/>
        <w:jc w:val="both"/>
        <w:rPr/>
      </w:pPr>
      <w:r>
        <w:rPr>
          <w:color w:val="000000"/>
        </w:rPr>
        <w:t>“</w:t>
      </w:r>
      <w:r>
        <w:rPr>
          <w:rFonts w:ascii="Times New Roman" w:hAnsi="Times New Roman"/>
          <w:b/>
          <w:color w:val="000000"/>
          <w:sz w:val="24"/>
        </w:rPr>
        <w:t>Phase 1 Feasibility Activities</w:t>
      </w:r>
      <w:r>
        <w:rPr>
          <w:color w:val="000000"/>
        </w:rPr>
        <w:t xml:space="preserve">” </w:t>
      </w:r>
      <w:r>
        <w:rPr>
          <w:rFonts w:ascii="Times New Roman" w:hAnsi="Times New Roman"/>
          <w:color w:val="000000"/>
          <w:sz w:val="24"/>
        </w:rPr>
        <w:t>means, on a Collaboration Product-by-Collaboration Product basis, the Development Activities for such Collaboration Product set forth in the Phase 1 section of the Development Plan.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1.141</w:t>
      </w:r>
    </w:p>
    <w:p>
      <w:pPr>
        <w:pStyle w:val="TextBody"/>
        <w:bidi w:val="0"/>
        <w:spacing w:before="0" w:after="240"/>
        <w:jc w:val="both"/>
        <w:rPr/>
      </w:pPr>
      <w:r>
        <w:rPr>
          <w:color w:val="000000"/>
        </w:rPr>
        <w:t>“</w:t>
      </w:r>
      <w:r>
        <w:rPr>
          <w:rFonts w:ascii="Times New Roman" w:hAnsi="Times New Roman"/>
          <w:b/>
          <w:color w:val="000000"/>
          <w:sz w:val="24"/>
        </w:rPr>
        <w:t>Phase 1 Feasibility Requirements</w:t>
      </w:r>
      <w:r>
        <w:rPr>
          <w:color w:val="000000"/>
        </w:rPr>
        <w:t xml:space="preserve">” </w:t>
      </w:r>
      <w:r>
        <w:rPr>
          <w:rFonts w:ascii="Times New Roman" w:hAnsi="Times New Roman"/>
          <w:color w:val="000000"/>
          <w:sz w:val="24"/>
        </w:rPr>
        <w:t>means, on a Collaboration Product-by-Collaboration Product basis[***].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1.142</w:t>
      </w:r>
    </w:p>
    <w:p>
      <w:pPr>
        <w:pStyle w:val="TextBody"/>
        <w:bidi w:val="0"/>
        <w:spacing w:before="0" w:after="240"/>
        <w:jc w:val="both"/>
        <w:rPr/>
      </w:pPr>
      <w:r>
        <w:rPr>
          <w:color w:val="000000"/>
        </w:rPr>
        <w:t>“</w:t>
      </w:r>
      <w:r>
        <w:rPr>
          <w:rFonts w:ascii="Times New Roman" w:hAnsi="Times New Roman"/>
          <w:b/>
          <w:color w:val="000000"/>
          <w:sz w:val="24"/>
        </w:rPr>
        <w:t>Phase 1 Regulatory Activities</w:t>
      </w:r>
      <w:r>
        <w:rPr>
          <w:color w:val="000000"/>
        </w:rPr>
        <w:t xml:space="preserve">” </w:t>
      </w:r>
      <w:r>
        <w:rPr>
          <w:rFonts w:ascii="Times New Roman" w:hAnsi="Times New Roman"/>
          <w:color w:val="000000"/>
          <w:sz w:val="24"/>
        </w:rPr>
        <w:t>means, on a Collaboration Product-by-Collaboration Product basis[***].</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1.143</w:t>
      </w:r>
    </w:p>
    <w:p>
      <w:pPr>
        <w:pStyle w:val="TextBody"/>
        <w:bidi w:val="0"/>
        <w:spacing w:before="0" w:after="240"/>
        <w:jc w:val="both"/>
        <w:rPr/>
      </w:pPr>
      <w:r>
        <w:rPr>
          <w:color w:val="000000"/>
        </w:rPr>
        <w:t>“</w:t>
      </w:r>
      <w:r>
        <w:rPr>
          <w:rFonts w:ascii="Times New Roman" w:hAnsi="Times New Roman"/>
          <w:b/>
          <w:color w:val="000000"/>
          <w:sz w:val="24"/>
        </w:rPr>
        <w:t>Phase 1 Review Period</w:t>
      </w:r>
      <w:r>
        <w:rPr>
          <w:color w:val="000000"/>
        </w:rPr>
        <w:t xml:space="preserve">” </w:t>
      </w:r>
      <w:r>
        <w:rPr>
          <w:rFonts w:ascii="Times New Roman" w:hAnsi="Times New Roman"/>
          <w:color w:val="000000"/>
          <w:sz w:val="24"/>
        </w:rPr>
        <w:t>has the meaning set forth in Section 3.2.1.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1.144</w:t>
      </w:r>
    </w:p>
    <w:p>
      <w:pPr>
        <w:pStyle w:val="TextBody"/>
        <w:bidi w:val="0"/>
        <w:spacing w:before="0" w:after="240"/>
        <w:jc w:val="both"/>
        <w:rPr/>
      </w:pPr>
      <w:r>
        <w:rPr>
          <w:color w:val="000000"/>
        </w:rPr>
        <w:t>“</w:t>
      </w:r>
      <w:r>
        <w:rPr>
          <w:rFonts w:ascii="Times New Roman" w:hAnsi="Times New Roman"/>
          <w:b/>
          <w:color w:val="000000"/>
          <w:sz w:val="24"/>
        </w:rPr>
        <w:t>Phase 2 Regulatory Activities</w:t>
      </w:r>
      <w:r>
        <w:rPr>
          <w:color w:val="000000"/>
        </w:rPr>
        <w:t xml:space="preserve">” </w:t>
      </w:r>
      <w:r>
        <w:rPr>
          <w:rFonts w:ascii="Times New Roman" w:hAnsi="Times New Roman"/>
          <w:color w:val="000000"/>
          <w:sz w:val="24"/>
        </w:rPr>
        <w:t>means, on a Collaboration Product-by-Collaboration Product basis[***].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1.145</w:t>
      </w:r>
    </w:p>
    <w:p>
      <w:pPr>
        <w:pStyle w:val="TextBody"/>
        <w:bidi w:val="0"/>
        <w:spacing w:before="0" w:after="240"/>
        <w:jc w:val="both"/>
        <w:rPr/>
      </w:pPr>
      <w:r>
        <w:rPr>
          <w:color w:val="000000"/>
        </w:rPr>
        <w:t>“</w:t>
      </w:r>
      <w:r>
        <w:rPr>
          <w:rFonts w:ascii="Times New Roman" w:hAnsi="Times New Roman"/>
          <w:b/>
          <w:color w:val="000000"/>
          <w:sz w:val="24"/>
        </w:rPr>
        <w:t>Phase 2 Review Period</w:t>
      </w:r>
      <w:r>
        <w:rPr>
          <w:color w:val="000000"/>
        </w:rPr>
        <w:t xml:space="preserve">” </w:t>
      </w:r>
      <w:r>
        <w:rPr>
          <w:rFonts w:ascii="Times New Roman" w:hAnsi="Times New Roman"/>
          <w:color w:val="000000"/>
          <w:sz w:val="24"/>
        </w:rPr>
        <w:t>has the meaning set forth in Section 3.3.2.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1.146</w:t>
      </w:r>
    </w:p>
    <w:p>
      <w:pPr>
        <w:pStyle w:val="TextBody"/>
        <w:bidi w:val="0"/>
        <w:spacing w:before="0" w:after="240"/>
        <w:jc w:val="both"/>
        <w:rPr/>
      </w:pPr>
      <w:r>
        <w:rPr>
          <w:color w:val="000000"/>
        </w:rPr>
        <w:t>“</w:t>
      </w:r>
      <w:r>
        <w:rPr>
          <w:rFonts w:ascii="Times New Roman" w:hAnsi="Times New Roman"/>
          <w:b/>
          <w:color w:val="000000"/>
          <w:sz w:val="24"/>
        </w:rPr>
        <w:t>PMA</w:t>
      </w:r>
      <w:r>
        <w:rPr>
          <w:color w:val="000000"/>
        </w:rPr>
        <w:t xml:space="preserve">” </w:t>
      </w:r>
      <w:r>
        <w:rPr>
          <w:rFonts w:ascii="Times New Roman" w:hAnsi="Times New Roman"/>
          <w:color w:val="000000"/>
          <w:sz w:val="24"/>
        </w:rPr>
        <w:t>means a premarket approval application submitted to the FDA pursuant to section 515 of the FD&amp;C Act (21 U.S.C. 360e) for approval to market a class III medical device, including all information submitted with or incorporated by reference into such application and all amendments and supplements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1.147</w:t>
      </w:r>
    </w:p>
    <w:p>
      <w:pPr>
        <w:pStyle w:val="TextBody"/>
        <w:bidi w:val="0"/>
        <w:spacing w:before="0" w:after="240"/>
        <w:jc w:val="both"/>
        <w:rPr/>
      </w:pPr>
      <w:r>
        <w:rPr>
          <w:color w:val="000000"/>
        </w:rPr>
        <w:t>“</w:t>
      </w:r>
      <w:r>
        <w:rPr>
          <w:rFonts w:ascii="Times New Roman" w:hAnsi="Times New Roman"/>
          <w:b/>
          <w:color w:val="000000"/>
          <w:sz w:val="24"/>
        </w:rPr>
        <w:t>Privacy and Security Obligations</w:t>
      </w:r>
      <w:r>
        <w:rPr>
          <w:color w:val="000000"/>
        </w:rPr>
        <w:t xml:space="preserve">” </w:t>
      </w:r>
      <w:r>
        <w:rPr>
          <w:rFonts w:ascii="Times New Roman" w:hAnsi="Times New Roman"/>
          <w:color w:val="000000"/>
          <w:sz w:val="24"/>
        </w:rPr>
        <w:t>has the meaning set forth in Section 13.4.3.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1.148</w:t>
      </w:r>
    </w:p>
    <w:p>
      <w:pPr>
        <w:pStyle w:val="TextBody"/>
        <w:bidi w:val="0"/>
        <w:spacing w:before="0" w:after="240"/>
        <w:jc w:val="both"/>
        <w:rPr/>
      </w:pPr>
      <w:r>
        <w:rPr>
          <w:color w:val="000000"/>
        </w:rPr>
        <w:t>“</w:t>
      </w:r>
      <w:r>
        <w:rPr>
          <w:rFonts w:ascii="Times New Roman" w:hAnsi="Times New Roman"/>
          <w:b/>
          <w:color w:val="000000"/>
          <w:sz w:val="24"/>
        </w:rPr>
        <w:t>Processing</w:t>
      </w:r>
      <w:r>
        <w:rPr>
          <w:color w:val="000000"/>
        </w:rPr>
        <w:t xml:space="preserve">” </w:t>
      </w:r>
      <w:r>
        <w:rPr>
          <w:rFonts w:ascii="Times New Roman" w:hAnsi="Times New Roman"/>
          <w:color w:val="000000"/>
          <w:sz w:val="24"/>
        </w:rPr>
        <w:t>means any operation or set of operations that is subject to Data Protection Laws and which is performed on Personal Information or on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1.149</w:t>
      </w:r>
    </w:p>
    <w:p>
      <w:pPr>
        <w:pStyle w:val="TextBody"/>
        <w:bidi w:val="0"/>
        <w:spacing w:before="0" w:after="240"/>
        <w:jc w:val="both"/>
        <w:rPr/>
      </w:pPr>
      <w:r>
        <w:rPr>
          <w:color w:val="000000"/>
        </w:rPr>
        <w:t>“</w:t>
      </w:r>
      <w:r>
        <w:rPr>
          <w:rFonts w:ascii="Times New Roman" w:hAnsi="Times New Roman"/>
          <w:b/>
          <w:color w:val="000000"/>
          <w:sz w:val="24"/>
        </w:rPr>
        <w:t>Product Evolution</w:t>
      </w:r>
      <w:r>
        <w:rPr>
          <w:color w:val="000000"/>
        </w:rPr>
        <w:t xml:space="preserve">” </w:t>
      </w:r>
      <w:r>
        <w:rPr>
          <w:rFonts w:ascii="Times New Roman" w:hAnsi="Times New Roman"/>
          <w:color w:val="000000"/>
          <w:sz w:val="24"/>
        </w:rPr>
        <w:t>has the meaning set forth in Section 3.6.2.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1.150</w:t>
      </w:r>
    </w:p>
    <w:p>
      <w:pPr>
        <w:pStyle w:val="TextBody"/>
        <w:bidi w:val="0"/>
        <w:spacing w:before="0" w:after="240"/>
        <w:jc w:val="both"/>
        <w:rPr/>
      </w:pPr>
      <w:r>
        <w:rPr>
          <w:color w:val="000000"/>
        </w:rPr>
        <w:t>“</w:t>
      </w:r>
      <w:r>
        <w:rPr>
          <w:rFonts w:ascii="Times New Roman" w:hAnsi="Times New Roman"/>
          <w:b/>
          <w:color w:val="000000"/>
          <w:sz w:val="24"/>
        </w:rPr>
        <w:t>Product-Specific Patents</w:t>
      </w:r>
      <w:r>
        <w:rPr>
          <w:color w:val="000000"/>
        </w:rPr>
        <w:t xml:space="preserve">” </w:t>
      </w:r>
      <w:r>
        <w:rPr>
          <w:rFonts w:ascii="Times New Roman" w:hAnsi="Times New Roman"/>
          <w:color w:val="000000"/>
          <w:sz w:val="24"/>
        </w:rPr>
        <w:t>means any Licensed RxSight Patent that Covers a Collaboration Product and does not otherwise specifically Cover RxSight Technology or a product owned or in-licensed, or otherwise Exploited, by RxSight that is not a Collaboration Product. The Product-Specific Patents existing as of the Effective Date are listed in Schedule 1.150.</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1.151</w:t>
      </w:r>
    </w:p>
    <w:p>
      <w:pPr>
        <w:pStyle w:val="TextBody"/>
        <w:bidi w:val="0"/>
        <w:spacing w:before="0" w:after="240"/>
        <w:jc w:val="both"/>
        <w:rPr/>
      </w:pPr>
      <w:r>
        <w:rPr>
          <w:color w:val="000000"/>
        </w:rPr>
        <w:t>“</w:t>
      </w:r>
      <w:r>
        <w:rPr>
          <w:rFonts w:ascii="Times New Roman" w:hAnsi="Times New Roman"/>
          <w:b/>
          <w:color w:val="000000"/>
          <w:sz w:val="24"/>
        </w:rPr>
        <w:t>Product Trademark</w:t>
      </w:r>
      <w:r>
        <w:rPr>
          <w:color w:val="000000"/>
        </w:rPr>
        <w:t xml:space="preserve">” </w:t>
      </w:r>
      <w:r>
        <w:rPr>
          <w:rFonts w:ascii="Times New Roman" w:hAnsi="Times New Roman"/>
          <w:color w:val="000000"/>
          <w:sz w:val="24"/>
        </w:rPr>
        <w:t xml:space="preserve">means any Trademark that is used or intended to be used solely for the branding or marketing of a Collaboration Product.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1.152</w:t>
      </w:r>
    </w:p>
    <w:p>
      <w:pPr>
        <w:pStyle w:val="TextBody"/>
        <w:bidi w:val="0"/>
        <w:spacing w:before="0" w:after="240"/>
        <w:jc w:val="both"/>
        <w:rPr/>
      </w:pPr>
      <w:r>
        <w:rPr>
          <w:color w:val="000000"/>
        </w:rPr>
        <w:t>“</w:t>
      </w:r>
      <w:r>
        <w:rPr>
          <w:rFonts w:ascii="Times New Roman" w:hAnsi="Times New Roman"/>
          <w:b/>
          <w:color w:val="000000"/>
          <w:sz w:val="24"/>
        </w:rPr>
        <w:t>Prosecute and Maintain</w:t>
      </w:r>
      <w:r>
        <w:rPr>
          <w:color w:val="000000"/>
        </w:rPr>
        <w:t xml:space="preserve">” </w:t>
      </w:r>
      <w:r>
        <w:rPr>
          <w:rFonts w:ascii="Times New Roman" w:hAnsi="Times New Roman"/>
          <w:color w:val="000000"/>
          <w:sz w:val="24"/>
        </w:rPr>
        <w:t>or “</w:t>
      </w:r>
      <w:r>
        <w:rPr>
          <w:rFonts w:ascii="Times New Roman" w:hAnsi="Times New Roman"/>
          <w:b/>
          <w:color w:val="000000"/>
          <w:sz w:val="24"/>
        </w:rPr>
        <w:t>Prosecution and Maintenance</w:t>
      </w:r>
      <w:r>
        <w:rPr>
          <w:color w:val="000000"/>
        </w:rPr>
        <w:t xml:space="preserve">” </w:t>
      </w:r>
      <w:r>
        <w:rPr>
          <w:rFonts w:ascii="Times New Roman" w:hAnsi="Times New Roman"/>
          <w:color w:val="000000"/>
          <w:sz w:val="24"/>
        </w:rPr>
        <w:t>means, with respect to a particular Patent, all activities associated with the preparation, filing, prosecution and maintenance of such Patent, together with the conduct of oppositions, interferences, re-issuances, reexamination requests, derivation proceedings, inter partes reviews, post-grant reviews or other similar post-grant proceedings.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1.153</w:t>
      </w:r>
    </w:p>
    <w:p>
      <w:pPr>
        <w:pStyle w:val="TextBody"/>
        <w:bidi w:val="0"/>
        <w:spacing w:before="0" w:after="240"/>
        <w:jc w:val="both"/>
        <w:rPr/>
      </w:pPr>
      <w:r>
        <w:rPr>
          <w:color w:val="000000"/>
        </w:rPr>
        <w:t>“</w:t>
      </w:r>
      <w:r>
        <w:rPr>
          <w:rFonts w:ascii="Times New Roman" w:hAnsi="Times New Roman"/>
          <w:b/>
          <w:color w:val="000000"/>
          <w:sz w:val="24"/>
        </w:rPr>
        <w:t>Quality Agreement</w:t>
      </w:r>
      <w:r>
        <w:rPr>
          <w:color w:val="000000"/>
        </w:rPr>
        <w:t xml:space="preserve">” </w:t>
      </w:r>
      <w:r>
        <w:rPr>
          <w:rFonts w:ascii="Times New Roman" w:hAnsi="Times New Roman"/>
          <w:color w:val="000000"/>
          <w:sz w:val="24"/>
        </w:rPr>
        <w:t>has the meaning set forth in Section 6.3.3.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1.154</w:t>
      </w:r>
    </w:p>
    <w:p>
      <w:pPr>
        <w:pStyle w:val="TextBody"/>
        <w:bidi w:val="0"/>
        <w:spacing w:before="0" w:after="240"/>
        <w:jc w:val="both"/>
        <w:rPr/>
      </w:pPr>
      <w:r>
        <w:rPr>
          <w:color w:val="000000"/>
        </w:rPr>
        <w:t>“</w:t>
      </w:r>
      <w:r>
        <w:rPr>
          <w:rFonts w:ascii="Times New Roman" w:hAnsi="Times New Roman"/>
          <w:b/>
          <w:color w:val="000000"/>
          <w:sz w:val="24"/>
        </w:rPr>
        <w:t>Receiving Party</w:t>
      </w:r>
      <w:r>
        <w:rPr>
          <w:color w:val="000000"/>
        </w:rPr>
        <w:t xml:space="preserve">” </w:t>
      </w:r>
      <w:r>
        <w:rPr>
          <w:rFonts w:ascii="Times New Roman" w:hAnsi="Times New Roman"/>
          <w:color w:val="000000"/>
          <w:sz w:val="24"/>
        </w:rPr>
        <w:t>has the meaning set forth in Section 10.1.2.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1.155</w:t>
      </w:r>
    </w:p>
    <w:p>
      <w:pPr>
        <w:pStyle w:val="TextBody"/>
        <w:bidi w:val="0"/>
        <w:spacing w:before="0" w:after="240"/>
        <w:jc w:val="both"/>
        <w:rPr/>
      </w:pPr>
      <w:r>
        <w:rPr>
          <w:color w:val="000000"/>
        </w:rPr>
        <w:t>“</w:t>
      </w:r>
      <w:r>
        <w:rPr>
          <w:rFonts w:ascii="Times New Roman" w:hAnsi="Times New Roman"/>
          <w:b/>
          <w:color w:val="000000"/>
          <w:sz w:val="24"/>
        </w:rPr>
        <w:t>Regulatory Approval</w:t>
      </w:r>
      <w:r>
        <w:rPr>
          <w:color w:val="000000"/>
        </w:rPr>
        <w:t xml:space="preserve">” </w:t>
      </w:r>
      <w:r>
        <w:rPr>
          <w:rFonts w:ascii="Times New Roman" w:hAnsi="Times New Roman"/>
          <w:color w:val="000000"/>
          <w:sz w:val="24"/>
        </w:rPr>
        <w:t>means, with respect to a country in the Territory, any and all approvals (including FDA approvals of PMAs, FDA clearances of a 510(k), and FDA grants of De Novo Classification Requests), declarations, licenses, registrations, certifications (including EU and UK certifications), listings, clearances, or authorizations of any Regulatory Authority necessary to Commercialize a Collaboration Product in such country.</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1.156</w:t>
      </w:r>
    </w:p>
    <w:p>
      <w:pPr>
        <w:pStyle w:val="TextBody"/>
        <w:bidi w:val="0"/>
        <w:spacing w:before="0" w:after="240"/>
        <w:jc w:val="both"/>
        <w:rPr/>
      </w:pPr>
      <w:r>
        <w:rPr>
          <w:color w:val="000000"/>
        </w:rPr>
        <w:t>“</w:t>
      </w:r>
      <w:r>
        <w:rPr>
          <w:rFonts w:ascii="Times New Roman" w:hAnsi="Times New Roman"/>
          <w:b/>
          <w:color w:val="000000"/>
          <w:sz w:val="24"/>
        </w:rPr>
        <w:t>Regulatory Authority</w:t>
      </w:r>
      <w:r>
        <w:rPr>
          <w:color w:val="000000"/>
        </w:rPr>
        <w:t xml:space="preserve">” </w:t>
      </w:r>
      <w:r>
        <w:rPr>
          <w:rFonts w:ascii="Times New Roman" w:hAnsi="Times New Roman"/>
          <w:color w:val="000000"/>
          <w:sz w:val="24"/>
        </w:rPr>
        <w:t>means any Governmental Authority that has responsibility in its applicable jurisdiction over the Regulatory Approval, Development, Manufacture, Commercialization or other Exploitation of medical devices in any country or jurisdiction.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1.157</w:t>
      </w:r>
    </w:p>
    <w:p>
      <w:pPr>
        <w:pStyle w:val="TextBody"/>
        <w:bidi w:val="0"/>
        <w:spacing w:before="0" w:after="240"/>
        <w:jc w:val="both"/>
        <w:rPr/>
      </w:pPr>
      <w:r>
        <w:rPr>
          <w:color w:val="000000"/>
        </w:rPr>
        <w:t>“</w:t>
      </w:r>
      <w:r>
        <w:rPr>
          <w:rFonts w:ascii="Times New Roman" w:hAnsi="Times New Roman"/>
          <w:b/>
          <w:color w:val="000000"/>
          <w:sz w:val="24"/>
        </w:rPr>
        <w:t>Regulatory Documentation</w:t>
      </w:r>
      <w:r>
        <w:rPr>
          <w:color w:val="000000"/>
        </w:rPr>
        <w:t xml:space="preserve">” </w:t>
      </w:r>
      <w:r>
        <w:rPr>
          <w:rFonts w:ascii="Times New Roman" w:hAnsi="Times New Roman"/>
          <w:color w:val="000000"/>
          <w:sz w:val="24"/>
        </w:rPr>
        <w:t>means all (a) applications (including all IDEs, 510(k)s, De Novo Classification Requests, PMAs and other applications for Regulatory Approval), submissions, registrations, licenses, authorizations, approvals (including Regulatory Approvals) and other filings, including all information submitted with or incorporated by reference into such items and all amendments and supplements thereto, including medical devices’ technical documentation; (b) notifications, communications, correspondence and reports submitted to or received from Regulatory Authorities (including minutes and official contact reports relating to any communications with any Regulatory Authority) and all supporting documents and data with respect thereto; (c) supplements or changes to any of the foregoing following Regulatory Approval; and (d) serious incident and adverse event files, complaint files, quality management system documents, advertising and promotional documents, and safety databases; in each case (a), (b), (c) and (d), relating to a Collaboration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1.158</w:t>
      </w:r>
    </w:p>
    <w:p>
      <w:pPr>
        <w:pStyle w:val="TextBody"/>
        <w:bidi w:val="0"/>
        <w:spacing w:before="0" w:after="240"/>
        <w:jc w:val="both"/>
        <w:rPr/>
      </w:pPr>
      <w:r>
        <w:rPr>
          <w:color w:val="000000"/>
        </w:rPr>
        <w:t>“</w:t>
      </w:r>
      <w:r>
        <w:rPr>
          <w:rFonts w:ascii="Times New Roman" w:hAnsi="Times New Roman"/>
          <w:b/>
          <w:color w:val="000000"/>
          <w:sz w:val="24"/>
        </w:rPr>
        <w:t>Regulatory Submission Milestone Payment</w:t>
      </w:r>
      <w:r>
        <w:rPr>
          <w:color w:val="000000"/>
        </w:rPr>
        <w:t xml:space="preserve">” </w:t>
      </w:r>
      <w:r>
        <w:rPr>
          <w:rFonts w:ascii="Times New Roman" w:hAnsi="Times New Roman"/>
          <w:color w:val="000000"/>
          <w:sz w:val="24"/>
        </w:rPr>
        <w:t>has the meaning set forth in Section 7.2.2.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1.159</w:t>
      </w:r>
    </w:p>
    <w:p>
      <w:pPr>
        <w:pStyle w:val="TextBody"/>
        <w:bidi w:val="0"/>
        <w:spacing w:before="0" w:after="240"/>
        <w:jc w:val="both"/>
        <w:rPr/>
      </w:pPr>
      <w:r>
        <w:rPr>
          <w:color w:val="000000"/>
        </w:rPr>
        <w:t>“</w:t>
      </w:r>
      <w:r>
        <w:rPr>
          <w:rFonts w:ascii="Times New Roman" w:hAnsi="Times New Roman"/>
          <w:b/>
          <w:color w:val="000000"/>
          <w:sz w:val="24"/>
        </w:rPr>
        <w:t>Renewal Period</w:t>
      </w:r>
      <w:r>
        <w:rPr>
          <w:color w:val="000000"/>
        </w:rPr>
        <w:t xml:space="preserve">” </w:t>
      </w:r>
      <w:r>
        <w:rPr>
          <w:rFonts w:ascii="Times New Roman" w:hAnsi="Times New Roman"/>
          <w:color w:val="000000"/>
          <w:sz w:val="24"/>
        </w:rPr>
        <w:t>has the meaning set forth in Section 11.1.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1.160</w:t>
      </w:r>
    </w:p>
    <w:p>
      <w:pPr>
        <w:pStyle w:val="TextBody"/>
        <w:bidi w:val="0"/>
        <w:spacing w:before="0" w:after="240"/>
        <w:jc w:val="both"/>
        <w:rPr/>
      </w:pPr>
      <w:r>
        <w:rPr>
          <w:color w:val="000000"/>
        </w:rPr>
        <w:t>“</w:t>
      </w:r>
      <w:r>
        <w:rPr>
          <w:rFonts w:ascii="Times New Roman" w:hAnsi="Times New Roman"/>
          <w:b/>
          <w:color w:val="000000"/>
          <w:sz w:val="24"/>
        </w:rPr>
        <w:t>Restricted Person</w:t>
      </w:r>
      <w:r>
        <w:rPr>
          <w:color w:val="000000"/>
        </w:rPr>
        <w:t xml:space="preserve">” </w:t>
      </w:r>
      <w:r>
        <w:rPr>
          <w:rFonts w:ascii="Times New Roman" w:hAnsi="Times New Roman"/>
          <w:color w:val="000000"/>
          <w:sz w:val="24"/>
        </w:rPr>
        <w:t>has the meaning set forth in Section 13.4.2.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1.161</w:t>
      </w:r>
    </w:p>
    <w:p>
      <w:pPr>
        <w:pStyle w:val="TextBody"/>
        <w:bidi w:val="0"/>
        <w:spacing w:before="0" w:after="240"/>
        <w:jc w:val="both"/>
        <w:rPr/>
      </w:pPr>
      <w:r>
        <w:rPr>
          <w:color w:val="000000"/>
        </w:rPr>
        <w:t>“</w:t>
      </w:r>
      <w:r>
        <w:rPr>
          <w:rFonts w:ascii="Times New Roman" w:hAnsi="Times New Roman"/>
          <w:b/>
          <w:color w:val="000000"/>
          <w:sz w:val="24"/>
        </w:rPr>
        <w:t>Restricted Product</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1.162</w:t>
      </w:r>
    </w:p>
    <w:p>
      <w:pPr>
        <w:pStyle w:val="TextBody"/>
        <w:bidi w:val="0"/>
        <w:spacing w:before="0" w:after="240"/>
        <w:jc w:val="both"/>
        <w:rPr/>
      </w:pPr>
      <w:r>
        <w:rPr>
          <w:color w:val="000000"/>
        </w:rPr>
        <w:t>“</w:t>
      </w:r>
      <w:r>
        <w:rPr>
          <w:rFonts w:ascii="Times New Roman" w:hAnsi="Times New Roman"/>
          <w:b/>
          <w:color w:val="000000"/>
          <w:sz w:val="24"/>
        </w:rPr>
        <w:t>Reversion Product</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1.163</w:t>
      </w:r>
    </w:p>
    <w:p>
      <w:pPr>
        <w:pStyle w:val="TextBody"/>
        <w:bidi w:val="0"/>
        <w:spacing w:before="0" w:after="240"/>
        <w:jc w:val="both"/>
        <w:rPr/>
      </w:pPr>
      <w:r>
        <w:rPr>
          <w:color w:val="000000"/>
        </w:rPr>
        <w:t>“</w:t>
      </w:r>
      <w:r>
        <w:rPr>
          <w:rFonts w:ascii="Times New Roman" w:hAnsi="Times New Roman"/>
          <w:b/>
          <w:color w:val="000000"/>
          <w:sz w:val="24"/>
        </w:rPr>
        <w:t>Reversion Term</w:t>
      </w:r>
      <w:r>
        <w:rPr>
          <w:color w:val="000000"/>
        </w:rPr>
        <w:t xml:space="preserve">” </w:t>
      </w:r>
      <w:r>
        <w:rPr>
          <w:rFonts w:ascii="Times New Roman" w:hAnsi="Times New Roman"/>
          <w:color w:val="000000"/>
          <w:sz w:val="24"/>
        </w:rPr>
        <w:t>means the period commencing on the date that the license under Section 12.7.1 is granted and continuing in force and effect for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1.164</w:t>
      </w:r>
    </w:p>
    <w:p>
      <w:pPr>
        <w:pStyle w:val="TextBody"/>
        <w:bidi w:val="0"/>
        <w:spacing w:before="0" w:after="240"/>
        <w:jc w:val="both"/>
        <w:rPr/>
      </w:pPr>
      <w:r>
        <w:rPr>
          <w:color w:val="000000"/>
        </w:rPr>
        <w:t>“</w:t>
      </w:r>
      <w:r>
        <w:rPr>
          <w:rFonts w:ascii="Times New Roman" w:hAnsi="Times New Roman"/>
          <w:b/>
          <w:color w:val="000000"/>
          <w:sz w:val="24"/>
        </w:rPr>
        <w:t>Right of Reference</w:t>
      </w:r>
      <w:r>
        <w:rPr>
          <w:color w:val="000000"/>
        </w:rPr>
        <w:t xml:space="preserve">” </w:t>
      </w:r>
      <w:r>
        <w:rPr>
          <w:rFonts w:ascii="Times New Roman" w:hAnsi="Times New Roman"/>
          <w:color w:val="000000"/>
          <w:sz w:val="24"/>
        </w:rPr>
        <w:t>has the meaning set forth in Section 6.2.4.</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1.165</w:t>
      </w:r>
    </w:p>
    <w:p>
      <w:pPr>
        <w:pStyle w:val="TextBody"/>
        <w:bidi w:val="0"/>
        <w:spacing w:before="0" w:after="240"/>
        <w:jc w:val="both"/>
        <w:rPr/>
      </w:pPr>
      <w:r>
        <w:rPr>
          <w:color w:val="000000"/>
        </w:rPr>
        <w:t>“</w:t>
      </w:r>
      <w:r>
        <w:rPr>
          <w:rFonts w:ascii="Times New Roman" w:hAnsi="Times New Roman"/>
          <w:b/>
          <w:color w:val="000000"/>
          <w:sz w:val="24"/>
        </w:rPr>
        <w:t>ROFN Lapse</w:t>
      </w:r>
      <w:r>
        <w:rPr>
          <w:color w:val="000000"/>
        </w:rPr>
        <w:t xml:space="preserve">” </w:t>
      </w:r>
      <w:r>
        <w:rPr>
          <w:rFonts w:ascii="Times New Roman" w:hAnsi="Times New Roman"/>
          <w:color w:val="000000"/>
          <w:sz w:val="24"/>
        </w:rPr>
        <w:t>has the meaning set forth in Section 2.7.4.</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1.166</w:t>
      </w:r>
    </w:p>
    <w:p>
      <w:pPr>
        <w:pStyle w:val="TextBody"/>
        <w:bidi w:val="0"/>
        <w:spacing w:before="0" w:after="240"/>
        <w:jc w:val="both"/>
        <w:rPr/>
      </w:pPr>
      <w:r>
        <w:rPr>
          <w:color w:val="000000"/>
        </w:rPr>
        <w:t>“</w:t>
      </w:r>
      <w:r>
        <w:rPr>
          <w:rFonts w:ascii="Times New Roman" w:hAnsi="Times New Roman"/>
          <w:b/>
          <w:color w:val="000000"/>
          <w:sz w:val="24"/>
        </w:rPr>
        <w:t>ROFN Notice</w:t>
      </w:r>
      <w:r>
        <w:rPr>
          <w:color w:val="000000"/>
        </w:rPr>
        <w:t xml:space="preserve">” </w:t>
      </w:r>
      <w:r>
        <w:rPr>
          <w:rFonts w:ascii="Times New Roman" w:hAnsi="Times New Roman"/>
          <w:color w:val="000000"/>
          <w:sz w:val="24"/>
        </w:rPr>
        <w:t>has the meaning set forth in Section 2.7.</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1.167</w:t>
      </w:r>
    </w:p>
    <w:p>
      <w:pPr>
        <w:pStyle w:val="TextBody"/>
        <w:bidi w:val="0"/>
        <w:spacing w:before="0" w:after="240"/>
        <w:jc w:val="both"/>
        <w:rPr/>
      </w:pPr>
      <w:r>
        <w:rPr>
          <w:color w:val="000000"/>
        </w:rPr>
        <w:t>“</w:t>
      </w:r>
      <w:r>
        <w:rPr>
          <w:rFonts w:ascii="Times New Roman" w:hAnsi="Times New Roman"/>
          <w:b/>
          <w:color w:val="000000"/>
          <w:sz w:val="24"/>
        </w:rPr>
        <w:t>ROFN Notice Period</w:t>
      </w:r>
      <w:r>
        <w:rPr>
          <w:color w:val="000000"/>
        </w:rPr>
        <w:t xml:space="preserve">” </w:t>
      </w:r>
      <w:r>
        <w:rPr>
          <w:rFonts w:ascii="Times New Roman" w:hAnsi="Times New Roman"/>
          <w:color w:val="000000"/>
          <w:sz w:val="24"/>
        </w:rPr>
        <w:t>has the meaning set forth in Section 2.7.</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1.168</w:t>
      </w:r>
    </w:p>
    <w:p>
      <w:pPr>
        <w:pStyle w:val="TextBody"/>
        <w:bidi w:val="0"/>
        <w:spacing w:before="0" w:after="240"/>
        <w:jc w:val="both"/>
        <w:rPr/>
      </w:pPr>
      <w:r>
        <w:rPr>
          <w:color w:val="000000"/>
        </w:rPr>
        <w:t>“</w:t>
      </w:r>
      <w:r>
        <w:rPr>
          <w:rFonts w:ascii="Times New Roman" w:hAnsi="Times New Roman"/>
          <w:b/>
          <w:color w:val="000000"/>
          <w:sz w:val="24"/>
        </w:rPr>
        <w:t>ROFN Product</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1.169</w:t>
      </w:r>
    </w:p>
    <w:p>
      <w:pPr>
        <w:pStyle w:val="TextBody"/>
        <w:bidi w:val="0"/>
        <w:spacing w:before="0" w:after="240"/>
        <w:jc w:val="both"/>
        <w:rPr/>
      </w:pPr>
      <w:r>
        <w:rPr>
          <w:color w:val="000000"/>
        </w:rPr>
        <w:t>“</w:t>
      </w:r>
      <w:r>
        <w:rPr>
          <w:rFonts w:ascii="Times New Roman" w:hAnsi="Times New Roman"/>
          <w:b/>
          <w:color w:val="000000"/>
          <w:sz w:val="24"/>
        </w:rPr>
        <w:t>Royalty</w:t>
      </w:r>
      <w:r>
        <w:rPr>
          <w:color w:val="000000"/>
        </w:rPr>
        <w:t xml:space="preserve">” </w:t>
      </w:r>
      <w:r>
        <w:rPr>
          <w:rFonts w:ascii="Times New Roman" w:hAnsi="Times New Roman"/>
          <w:color w:val="000000"/>
          <w:sz w:val="24"/>
        </w:rPr>
        <w:t>has the meaning set forth in Section 7.3.1.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1.170</w:t>
      </w:r>
    </w:p>
    <w:p>
      <w:pPr>
        <w:pStyle w:val="TextBody"/>
        <w:bidi w:val="0"/>
        <w:spacing w:before="0" w:after="240"/>
        <w:jc w:val="both"/>
        <w:rPr/>
      </w:pPr>
      <w:r>
        <w:rPr>
          <w:color w:val="000000"/>
        </w:rPr>
        <w:t>“</w:t>
      </w:r>
      <w:r>
        <w:rPr>
          <w:rFonts w:ascii="Times New Roman" w:hAnsi="Times New Roman"/>
          <w:b/>
          <w:color w:val="000000"/>
          <w:sz w:val="24"/>
        </w:rPr>
        <w:t>Royalty Pre-Payment</w:t>
      </w:r>
      <w:r>
        <w:rPr>
          <w:color w:val="000000"/>
        </w:rPr>
        <w:t xml:space="preserve">” </w:t>
      </w:r>
      <w:r>
        <w:rPr>
          <w:rFonts w:ascii="Times New Roman" w:hAnsi="Times New Roman"/>
          <w:color w:val="000000"/>
          <w:sz w:val="24"/>
        </w:rPr>
        <w:t>has the meaning set forth in Section 7.3.2.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1.171</w:t>
      </w:r>
    </w:p>
    <w:p>
      <w:pPr>
        <w:pStyle w:val="TextBody"/>
        <w:bidi w:val="0"/>
        <w:spacing w:before="0" w:after="240"/>
        <w:jc w:val="both"/>
        <w:rPr/>
      </w:pPr>
      <w:r>
        <w:rPr>
          <w:color w:val="000000"/>
        </w:rPr>
        <w:t>“</w:t>
      </w:r>
      <w:r>
        <w:rPr>
          <w:rFonts w:ascii="Times New Roman" w:hAnsi="Times New Roman"/>
          <w:b/>
          <w:color w:val="000000"/>
          <w:sz w:val="24"/>
        </w:rPr>
        <w:t>RP Third Party</w:t>
      </w:r>
      <w:r>
        <w:rPr>
          <w:color w:val="000000"/>
        </w:rPr>
        <w:t xml:space="preserve">” </w:t>
      </w:r>
      <w:r>
        <w:rPr>
          <w:rFonts w:ascii="Times New Roman" w:hAnsi="Times New Roman"/>
          <w:color w:val="000000"/>
          <w:sz w:val="24"/>
        </w:rPr>
        <w:t>has the meaning set forth in Section 2.6.</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1.172</w:t>
      </w:r>
    </w:p>
    <w:p>
      <w:pPr>
        <w:pStyle w:val="TextBody"/>
        <w:bidi w:val="0"/>
        <w:spacing w:before="0" w:after="240"/>
        <w:jc w:val="both"/>
        <w:rPr/>
      </w:pPr>
      <w:r>
        <w:rPr>
          <w:color w:val="000000"/>
        </w:rPr>
        <w:t>“</w:t>
      </w:r>
      <w:r>
        <w:rPr>
          <w:rFonts w:ascii="Times New Roman" w:hAnsi="Times New Roman"/>
          <w:b/>
          <w:color w:val="000000"/>
          <w:sz w:val="24"/>
        </w:rPr>
        <w:t>Rules</w:t>
      </w:r>
      <w:r>
        <w:rPr>
          <w:color w:val="000000"/>
        </w:rPr>
        <w:t xml:space="preserve">” </w:t>
      </w:r>
      <w:r>
        <w:rPr>
          <w:rFonts w:ascii="Times New Roman" w:hAnsi="Times New Roman"/>
          <w:color w:val="000000"/>
          <w:sz w:val="24"/>
        </w:rPr>
        <w:t>has the meaning set forth in Section 16.7.</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1.173</w:t>
      </w:r>
    </w:p>
    <w:p>
      <w:pPr>
        <w:pStyle w:val="TextBody"/>
        <w:bidi w:val="0"/>
        <w:spacing w:before="0" w:after="240"/>
        <w:jc w:val="both"/>
        <w:rPr/>
      </w:pPr>
      <w:r>
        <w:rPr>
          <w:color w:val="000000"/>
        </w:rPr>
        <w:t>“</w:t>
      </w:r>
      <w:r>
        <w:rPr>
          <w:rFonts w:ascii="Times New Roman" w:hAnsi="Times New Roman"/>
          <w:b/>
          <w:color w:val="000000"/>
          <w:sz w:val="24"/>
        </w:rPr>
        <w:t>RxSight</w:t>
      </w:r>
      <w:r>
        <w:rPr>
          <w:color w:val="000000"/>
        </w:rPr>
        <w:t xml:space="preserve">” </w:t>
      </w:r>
      <w:r>
        <w:rPr>
          <w:rFonts w:ascii="Times New Roman" w:hAnsi="Times New Roman"/>
          <w:color w:val="000000"/>
          <w:sz w:val="24"/>
        </w:rPr>
        <w:t>has the meaning set forth in the Preamble.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1.174</w:t>
      </w:r>
    </w:p>
    <w:p>
      <w:pPr>
        <w:pStyle w:val="TextBody"/>
        <w:bidi w:val="0"/>
        <w:spacing w:before="0" w:after="240"/>
        <w:jc w:val="both"/>
        <w:rPr/>
      </w:pPr>
      <w:r>
        <w:rPr>
          <w:color w:val="000000"/>
        </w:rPr>
        <w:t>“</w:t>
      </w:r>
      <w:r>
        <w:rPr>
          <w:rFonts w:ascii="Times New Roman" w:hAnsi="Times New Roman"/>
          <w:b/>
          <w:color w:val="000000"/>
          <w:sz w:val="24"/>
        </w:rPr>
        <w:t>RxSight Arising Intellectual Property</w:t>
      </w:r>
      <w:r>
        <w:rPr>
          <w:color w:val="000000"/>
        </w:rPr>
        <w:t xml:space="preserve">” </w:t>
      </w:r>
      <w:r>
        <w:rPr>
          <w:rFonts w:ascii="Times New Roman" w:hAnsi="Times New Roman"/>
          <w:color w:val="000000"/>
          <w:sz w:val="24"/>
        </w:rPr>
        <w:t>has the meaning set forth in Section 9.2.2(b).</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1.175</w:t>
      </w:r>
    </w:p>
    <w:p>
      <w:pPr>
        <w:pStyle w:val="TextBody"/>
        <w:bidi w:val="0"/>
        <w:spacing w:before="0" w:after="240"/>
        <w:jc w:val="both"/>
        <w:rPr/>
      </w:pPr>
      <w:r>
        <w:rPr>
          <w:color w:val="000000"/>
        </w:rPr>
        <w:t>“</w:t>
      </w:r>
      <w:r>
        <w:rPr>
          <w:rFonts w:ascii="Times New Roman" w:hAnsi="Times New Roman"/>
          <w:b/>
          <w:color w:val="000000"/>
          <w:sz w:val="24"/>
        </w:rPr>
        <w:t>RxSight Indemnified Party</w:t>
      </w:r>
      <w:r>
        <w:rPr>
          <w:color w:val="000000"/>
        </w:rPr>
        <w:t xml:space="preserve">” </w:t>
      </w:r>
      <w:r>
        <w:rPr>
          <w:rFonts w:ascii="Times New Roman" w:hAnsi="Times New Roman"/>
          <w:color w:val="000000"/>
          <w:sz w:val="24"/>
        </w:rPr>
        <w:t>has the meaning set forth in Section 14.2.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1.176</w:t>
      </w:r>
    </w:p>
    <w:p>
      <w:pPr>
        <w:pStyle w:val="TextBody"/>
        <w:bidi w:val="0"/>
        <w:spacing w:before="0" w:after="240"/>
        <w:jc w:val="both"/>
        <w:rPr/>
      </w:pPr>
      <w:r>
        <w:rPr>
          <w:color w:val="000000"/>
        </w:rPr>
        <w:t>“</w:t>
      </w:r>
      <w:r>
        <w:rPr>
          <w:rFonts w:ascii="Times New Roman" w:hAnsi="Times New Roman"/>
          <w:b/>
          <w:color w:val="000000"/>
          <w:sz w:val="24"/>
        </w:rPr>
        <w:t>RxSight Platform Patent</w:t>
      </w:r>
      <w:r>
        <w:rPr>
          <w:color w:val="000000"/>
        </w:rPr>
        <w:t xml:space="preserve">” </w:t>
      </w:r>
      <w:r>
        <w:rPr>
          <w:rFonts w:ascii="Times New Roman" w:hAnsi="Times New Roman"/>
          <w:color w:val="000000"/>
          <w:sz w:val="24"/>
        </w:rPr>
        <w:t xml:space="preserve">means a Patent that Covers the RxSight Platform Technology.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1.177</w:t>
      </w:r>
    </w:p>
    <w:p>
      <w:pPr>
        <w:pStyle w:val="TextBody"/>
        <w:bidi w:val="0"/>
        <w:spacing w:before="0" w:after="240"/>
        <w:jc w:val="both"/>
        <w:rPr/>
      </w:pPr>
      <w:r>
        <w:rPr>
          <w:color w:val="000000"/>
        </w:rPr>
        <w:t>“</w:t>
      </w:r>
      <w:r>
        <w:rPr>
          <w:rFonts w:ascii="Times New Roman" w:hAnsi="Times New Roman"/>
          <w:b/>
          <w:color w:val="000000"/>
          <w:sz w:val="24"/>
        </w:rPr>
        <w:t>RxSight Platform Technology</w:t>
      </w:r>
      <w:r>
        <w:rPr>
          <w:color w:val="000000"/>
        </w:rPr>
        <w:t xml:space="preserve">” </w:t>
      </w:r>
      <w:r>
        <w:rPr>
          <w:rFonts w:ascii="Times New Roman" w:hAnsi="Times New Roman"/>
          <w:color w:val="000000"/>
          <w:sz w:val="24"/>
        </w:rPr>
        <w:t>means RxSight’s proprietary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1.178</w:t>
      </w:r>
    </w:p>
    <w:p>
      <w:pPr>
        <w:pStyle w:val="TextBody"/>
        <w:bidi w:val="0"/>
        <w:spacing w:before="0" w:after="240"/>
        <w:jc w:val="both"/>
        <w:rPr/>
      </w:pPr>
      <w:r>
        <w:rPr>
          <w:color w:val="000000"/>
        </w:rPr>
        <w:t>“</w:t>
      </w:r>
      <w:r>
        <w:rPr>
          <w:rFonts w:ascii="Times New Roman" w:hAnsi="Times New Roman"/>
          <w:b/>
          <w:color w:val="000000"/>
          <w:sz w:val="24"/>
        </w:rPr>
        <w:t>RxSight Technology</w:t>
      </w:r>
      <w:r>
        <w:rPr>
          <w:color w:val="000000"/>
        </w:rPr>
        <w:t xml:space="preserve">” </w:t>
      </w:r>
      <w:r>
        <w:rPr>
          <w:rFonts w:ascii="Times New Roman" w:hAnsi="Times New Roman"/>
          <w:color w:val="000000"/>
          <w:sz w:val="24"/>
        </w:rPr>
        <w:t>means (a) the RxSight Platform Technology, (b)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1.179</w:t>
      </w:r>
    </w:p>
    <w:p>
      <w:pPr>
        <w:pStyle w:val="TextBody"/>
        <w:bidi w:val="0"/>
        <w:spacing w:before="0" w:after="240"/>
        <w:jc w:val="both"/>
        <w:rPr/>
      </w:pPr>
      <w:r>
        <w:rPr>
          <w:color w:val="000000"/>
        </w:rPr>
        <w:t>“</w:t>
      </w:r>
      <w:r>
        <w:rPr>
          <w:rFonts w:ascii="Times New Roman" w:hAnsi="Times New Roman"/>
          <w:b/>
          <w:color w:val="000000"/>
          <w:sz w:val="24"/>
        </w:rPr>
        <w:t>RxSight Technology Claim</w:t>
      </w:r>
      <w:r>
        <w:rPr>
          <w:color w:val="000000"/>
        </w:rPr>
        <w:t xml:space="preserve">” </w:t>
      </w:r>
      <w:r>
        <w:rPr>
          <w:rFonts w:ascii="Times New Roman" w:hAnsi="Times New Roman"/>
          <w:color w:val="000000"/>
          <w:sz w:val="24"/>
        </w:rPr>
        <w:t>has the meaning set forth in Section 9.6.3.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1.180</w:t>
      </w:r>
    </w:p>
    <w:p>
      <w:pPr>
        <w:pStyle w:val="TextBody"/>
        <w:bidi w:val="0"/>
        <w:spacing w:before="0" w:after="240"/>
        <w:jc w:val="both"/>
        <w:rPr/>
      </w:pPr>
      <w:r>
        <w:rPr>
          <w:color w:val="000000"/>
        </w:rPr>
        <w:t>“</w:t>
      </w:r>
      <w:r>
        <w:rPr>
          <w:rFonts w:ascii="Times New Roman" w:hAnsi="Times New Roman"/>
          <w:b/>
          <w:color w:val="000000"/>
          <w:sz w:val="24"/>
        </w:rPr>
        <w:t>RxSight Trademarks</w:t>
      </w:r>
      <w:r>
        <w:rPr>
          <w:color w:val="000000"/>
        </w:rPr>
        <w:t xml:space="preserve">” </w:t>
      </w:r>
      <w:r>
        <w:rPr>
          <w:rFonts w:ascii="Times New Roman" w:hAnsi="Times New Roman"/>
          <w:color w:val="000000"/>
          <w:sz w:val="24"/>
        </w:rPr>
        <w:t>means all of the Trademarks Controlled by RxSight or its Affiliates that are set forth in Schedule 1.180, as may be amended from time-to-time by RxSight.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1.181</w:t>
      </w:r>
    </w:p>
    <w:p>
      <w:pPr>
        <w:pStyle w:val="TextBody"/>
        <w:bidi w:val="0"/>
        <w:spacing w:before="0" w:after="240"/>
        <w:jc w:val="both"/>
        <w:rPr/>
      </w:pPr>
      <w:r>
        <w:rPr>
          <w:color w:val="000000"/>
        </w:rPr>
        <w:t>“</w:t>
      </w:r>
      <w:r>
        <w:rPr>
          <w:rFonts w:ascii="Times New Roman" w:hAnsi="Times New Roman"/>
          <w:b/>
          <w:color w:val="000000"/>
          <w:sz w:val="24"/>
        </w:rPr>
        <w:t>Securitization Transaction</w:t>
      </w:r>
      <w:r>
        <w:rPr>
          <w:color w:val="000000"/>
        </w:rPr>
        <w:t xml:space="preserve">” </w:t>
      </w:r>
      <w:r>
        <w:rPr>
          <w:rFonts w:ascii="Times New Roman" w:hAnsi="Times New Roman"/>
          <w:color w:val="000000"/>
          <w:sz w:val="24"/>
        </w:rPr>
        <w:t>has the meaning set forth in Section 16.1.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1.182</w:t>
      </w:r>
    </w:p>
    <w:p>
      <w:pPr>
        <w:pStyle w:val="TextBody"/>
        <w:bidi w:val="0"/>
        <w:spacing w:before="0" w:after="240"/>
        <w:jc w:val="both"/>
        <w:rPr/>
      </w:pPr>
      <w:r>
        <w:rPr>
          <w:color w:val="000000"/>
        </w:rPr>
        <w:t>“</w:t>
      </w:r>
      <w:r>
        <w:rPr>
          <w:rFonts w:ascii="Times New Roman" w:hAnsi="Times New Roman"/>
          <w:b/>
          <w:color w:val="000000"/>
          <w:sz w:val="24"/>
        </w:rPr>
        <w:t>Shortfall Year</w:t>
      </w:r>
      <w:r>
        <w:rPr>
          <w:color w:val="000000"/>
        </w:rPr>
        <w:t xml:space="preserve">” </w:t>
      </w:r>
      <w:r>
        <w:rPr>
          <w:rFonts w:ascii="Times New Roman" w:hAnsi="Times New Roman"/>
          <w:color w:val="000000"/>
          <w:sz w:val="24"/>
        </w:rPr>
        <w:t>has the meaning set forth in Section 7.3.3.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1.183</w:t>
      </w:r>
    </w:p>
    <w:p>
      <w:pPr>
        <w:pStyle w:val="TextBody"/>
        <w:bidi w:val="0"/>
        <w:spacing w:before="0" w:after="240"/>
        <w:jc w:val="both"/>
        <w:rPr/>
      </w:pPr>
      <w:r>
        <w:rPr>
          <w:color w:val="000000"/>
        </w:rPr>
        <w:t>“</w:t>
      </w:r>
      <w:r>
        <w:rPr>
          <w:rFonts w:ascii="Times New Roman" w:hAnsi="Times New Roman"/>
          <w:b/>
          <w:color w:val="000000"/>
          <w:sz w:val="24"/>
        </w:rPr>
        <w:t>Silicone Component</w:t>
      </w:r>
      <w:r>
        <w:rPr>
          <w:color w:val="000000"/>
        </w:rPr>
        <w:t xml:space="preserve">” </w:t>
      </w:r>
      <w:r>
        <w:rPr>
          <w:rFonts w:ascii="Times New Roman" w:hAnsi="Times New Roman"/>
          <w:color w:val="000000"/>
          <w:sz w:val="24"/>
        </w:rPr>
        <w:t>has the meaning set forth in the Manufacturing and Supply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1.184</w:t>
      </w:r>
    </w:p>
    <w:p>
      <w:pPr>
        <w:pStyle w:val="TextBody"/>
        <w:bidi w:val="0"/>
        <w:spacing w:before="0" w:after="240"/>
        <w:jc w:val="both"/>
        <w:rPr/>
      </w:pPr>
      <w:r>
        <w:rPr>
          <w:color w:val="000000"/>
        </w:rPr>
        <w:t>“</w:t>
      </w:r>
      <w:r>
        <w:rPr>
          <w:rFonts w:ascii="Times New Roman" w:hAnsi="Times New Roman"/>
          <w:b/>
          <w:color w:val="000000"/>
          <w:sz w:val="24"/>
        </w:rPr>
        <w:t>Software</w:t>
      </w:r>
      <w:r>
        <w:rPr>
          <w:color w:val="000000"/>
        </w:rPr>
        <w:t xml:space="preserve">” </w:t>
      </w:r>
      <w:r>
        <w:rPr>
          <w:rFonts w:ascii="Times New Roman" w:hAnsi="Times New Roman"/>
          <w:color w:val="000000"/>
          <w:sz w:val="24"/>
        </w:rPr>
        <w:t>means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1.185</w:t>
      </w:r>
    </w:p>
    <w:p>
      <w:pPr>
        <w:pStyle w:val="TextBody"/>
        <w:bidi w:val="0"/>
        <w:spacing w:before="0" w:after="240"/>
        <w:jc w:val="both"/>
        <w:rPr/>
      </w:pPr>
      <w:r>
        <w:rPr>
          <w:color w:val="000000"/>
        </w:rPr>
        <w:t>“</w:t>
      </w:r>
      <w:r>
        <w:rPr>
          <w:rFonts w:ascii="Times New Roman" w:hAnsi="Times New Roman"/>
          <w:b/>
          <w:color w:val="000000"/>
          <w:sz w:val="24"/>
        </w:rPr>
        <w:t>Sublicensee</w:t>
      </w:r>
      <w:r>
        <w:rPr>
          <w:color w:val="000000"/>
        </w:rPr>
        <w:t xml:space="preserve">” </w:t>
      </w:r>
      <w:r>
        <w:rPr>
          <w:rFonts w:ascii="Times New Roman" w:hAnsi="Times New Roman"/>
          <w:color w:val="000000"/>
          <w:sz w:val="24"/>
        </w:rPr>
        <w:t>means a Third Party that is granted a sublicense by a Party or its Affiliates under the licenses granted pursuant to this Agreement, beyond the mere right to purchase Collaboration Products from such Party or its Affiliates; provided that Sublicensees shall not include (a) such Party’s Affiliates or (b) Third Party subcontractors that act for such Party or its Affiliates in the supply chain or that perform discrete services (as opposed to being granted broader rights to Exploit Collaboration Products), including distributors and wholesalers.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1.186</w:t>
      </w:r>
    </w:p>
    <w:p>
      <w:pPr>
        <w:pStyle w:val="TextBody"/>
        <w:bidi w:val="0"/>
        <w:spacing w:before="0" w:after="240"/>
        <w:jc w:val="both"/>
        <w:rPr/>
      </w:pPr>
      <w:r>
        <w:rPr>
          <w:color w:val="000000"/>
        </w:rPr>
        <w:t>“</w:t>
      </w:r>
      <w:r>
        <w:rPr>
          <w:rFonts w:ascii="Times New Roman" w:hAnsi="Times New Roman"/>
          <w:b/>
          <w:color w:val="000000"/>
          <w:sz w:val="24"/>
        </w:rPr>
        <w:t>SVIOL</w:t>
      </w:r>
      <w:r>
        <w:rPr>
          <w:color w:val="000000"/>
        </w:rPr>
        <w:t xml:space="preserve">” </w:t>
      </w:r>
      <w:r>
        <w:rPr>
          <w:rFonts w:ascii="Times New Roman" w:hAnsi="Times New Roman"/>
          <w:color w:val="000000"/>
          <w:sz w:val="24"/>
        </w:rPr>
        <w:t>means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1.187</w:t>
      </w:r>
    </w:p>
    <w:p>
      <w:pPr>
        <w:pStyle w:val="TextBody"/>
        <w:bidi w:val="0"/>
        <w:spacing w:before="0" w:after="240"/>
        <w:jc w:val="both"/>
        <w:rPr/>
      </w:pPr>
      <w:r>
        <w:rPr>
          <w:color w:val="000000"/>
        </w:rPr>
        <w:t>“</w:t>
      </w:r>
      <w:r>
        <w:rPr>
          <w:rFonts w:ascii="Times New Roman" w:hAnsi="Times New Roman"/>
          <w:b/>
          <w:color w:val="000000"/>
          <w:sz w:val="24"/>
        </w:rPr>
        <w:t>Target Product Profile</w:t>
      </w:r>
      <w:r>
        <w:rPr>
          <w:color w:val="000000"/>
        </w:rPr>
        <w:t xml:space="preserve">” </w:t>
      </w:r>
      <w:r>
        <w:rPr>
          <w:rFonts w:ascii="Times New Roman" w:hAnsi="Times New Roman"/>
          <w:color w:val="000000"/>
          <w:sz w:val="24"/>
        </w:rPr>
        <w:t>means[***].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1.188</w:t>
      </w:r>
    </w:p>
    <w:p>
      <w:pPr>
        <w:pStyle w:val="TextBody"/>
        <w:bidi w:val="0"/>
        <w:spacing w:before="0" w:after="240"/>
        <w:jc w:val="both"/>
        <w:rPr/>
      </w:pPr>
      <w:r>
        <w:rPr>
          <w:color w:val="000000"/>
        </w:rPr>
        <w:t>“</w:t>
      </w:r>
      <w:r>
        <w:rPr>
          <w:rFonts w:ascii="Times New Roman" w:hAnsi="Times New Roman"/>
          <w:b/>
          <w:color w:val="000000"/>
          <w:sz w:val="24"/>
        </w:rPr>
        <w:t>Tax</w:t>
      </w:r>
      <w:r>
        <w:rPr>
          <w:color w:val="000000"/>
        </w:rPr>
        <w:t xml:space="preserve">” </w:t>
      </w:r>
      <w:r>
        <w:rPr>
          <w:rFonts w:ascii="Times New Roman" w:hAnsi="Times New Roman"/>
          <w:color w:val="000000"/>
          <w:sz w:val="24"/>
        </w:rPr>
        <w:t xml:space="preserve">means any and all taxes, imposts, duties, withholdings, assessments, levies, fees, duties or other charges imposed, collected or withheld by a Governmental Authority, in each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case in the nature of a tax, whether direct or indirect, and together with any interest, penalties, additional amounts and additions related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1.189</w:t>
      </w:r>
    </w:p>
    <w:p>
      <w:pPr>
        <w:pStyle w:val="TextBody"/>
        <w:bidi w:val="0"/>
        <w:spacing w:before="0" w:after="240"/>
        <w:jc w:val="both"/>
        <w:rPr/>
      </w:pP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has the meaning set forth in Section 11.1.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1.190</w:t>
      </w:r>
    </w:p>
    <w:p>
      <w:pPr>
        <w:pStyle w:val="TextBody"/>
        <w:bidi w:val="0"/>
        <w:spacing w:before="0" w:after="240"/>
        <w:jc w:val="both"/>
        <w:rPr/>
      </w:pPr>
      <w:r>
        <w:rPr>
          <w:color w:val="000000"/>
        </w:rPr>
        <w:t>“</w:t>
      </w:r>
      <w:r>
        <w:rPr>
          <w:rFonts w:ascii="Times New Roman" w:hAnsi="Times New Roman"/>
          <w:b/>
          <w:color w:val="000000"/>
          <w:sz w:val="24"/>
        </w:rPr>
        <w:t>Territory</w:t>
      </w:r>
      <w:r>
        <w:rPr>
          <w:color w:val="000000"/>
        </w:rPr>
        <w:t xml:space="preserve">” </w:t>
      </w:r>
      <w:r>
        <w:rPr>
          <w:rFonts w:ascii="Times New Roman" w:hAnsi="Times New Roman"/>
          <w:color w:val="000000"/>
          <w:sz w:val="24"/>
        </w:rPr>
        <w:t>means worldwide.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1.191</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color w:val="000000"/>
          <w:sz w:val="24"/>
        </w:rPr>
        <w:t>means any Person other than Alcon or RxSight (or their respective Affiliates).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1.192</w:t>
      </w:r>
    </w:p>
    <w:p>
      <w:pPr>
        <w:pStyle w:val="TextBody"/>
        <w:bidi w:val="0"/>
        <w:spacing w:before="0" w:after="240"/>
        <w:jc w:val="both"/>
        <w:rPr/>
      </w:pPr>
      <w:r>
        <w:rPr>
          <w:color w:val="000000"/>
        </w:rPr>
        <w:t>“</w:t>
      </w:r>
      <w:r>
        <w:rPr>
          <w:rFonts w:ascii="Times New Roman" w:hAnsi="Times New Roman"/>
          <w:b/>
          <w:color w:val="000000"/>
          <w:sz w:val="24"/>
        </w:rPr>
        <w:t>Third Party Infringement Claim</w:t>
      </w:r>
      <w:r>
        <w:rPr>
          <w:color w:val="000000"/>
        </w:rPr>
        <w:t xml:space="preserve">” </w:t>
      </w:r>
      <w:r>
        <w:rPr>
          <w:rFonts w:ascii="Times New Roman" w:hAnsi="Times New Roman"/>
          <w:color w:val="000000"/>
          <w:sz w:val="24"/>
        </w:rPr>
        <w:t>has the meaning set forth in Section 9.6.</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1.193</w:t>
      </w:r>
    </w:p>
    <w:p>
      <w:pPr>
        <w:pStyle w:val="TextBody"/>
        <w:bidi w:val="0"/>
        <w:spacing w:before="0" w:after="240"/>
        <w:jc w:val="both"/>
        <w:rPr/>
      </w:pPr>
      <w:r>
        <w:rPr>
          <w:color w:val="000000"/>
        </w:rPr>
        <w:t>“</w:t>
      </w:r>
      <w:r>
        <w:rPr>
          <w:rFonts w:ascii="Times New Roman" w:hAnsi="Times New Roman"/>
          <w:b/>
          <w:color w:val="000000"/>
          <w:sz w:val="24"/>
        </w:rPr>
        <w:t>Third Party Right</w:t>
      </w:r>
      <w:r>
        <w:rPr>
          <w:color w:val="000000"/>
        </w:rPr>
        <w:t xml:space="preserve">” </w:t>
      </w:r>
      <w:r>
        <w:rPr>
          <w:rFonts w:ascii="Times New Roman" w:hAnsi="Times New Roman"/>
          <w:color w:val="000000"/>
          <w:sz w:val="24"/>
        </w:rPr>
        <w:t>has the meaning set forth in Section 9.7.</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1.194</w:t>
      </w:r>
    </w:p>
    <w:p>
      <w:pPr>
        <w:pStyle w:val="TextBody"/>
        <w:bidi w:val="0"/>
        <w:spacing w:before="0" w:after="240"/>
        <w:jc w:val="both"/>
        <w:rPr/>
      </w:pPr>
      <w:r>
        <w:rPr>
          <w:color w:val="000000"/>
        </w:rPr>
        <w:t>“</w:t>
      </w:r>
      <w:r>
        <w:rPr>
          <w:rFonts w:ascii="Times New Roman" w:hAnsi="Times New Roman"/>
          <w:b/>
          <w:color w:val="000000"/>
          <w:sz w:val="24"/>
        </w:rPr>
        <w:t>Trademark</w:t>
      </w:r>
      <w:r>
        <w:rPr>
          <w:color w:val="000000"/>
        </w:rPr>
        <w:t xml:space="preserve">” </w:t>
      </w:r>
      <w:r>
        <w:rPr>
          <w:rFonts w:ascii="Times New Roman" w:hAnsi="Times New Roman"/>
          <w:color w:val="000000"/>
          <w:sz w:val="24"/>
        </w:rPr>
        <w:t>means any word, name, symbol, color, shape, designation or any combination thereof, including any trademark, service mark, trade name, brand name, sub-brand name, trade dress, product configuration, program name, delivery form name, certification mark, collective mark, logo, tagline, slogan, design, business symbol, domain name, URL, social media tag or handle, that functions as an identifier of source or origin, whether or not registered and all statutory and common law rights therein and all registrations and applications therefor, together with all goodwill associated with, or symbolized by, any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1.195</w:t>
      </w:r>
    </w:p>
    <w:p>
      <w:pPr>
        <w:pStyle w:val="TextBody"/>
        <w:bidi w:val="0"/>
        <w:spacing w:before="0" w:after="240"/>
        <w:jc w:val="both"/>
        <w:rPr/>
      </w:pPr>
      <w:r>
        <w:rPr>
          <w:color w:val="000000"/>
        </w:rPr>
        <w:t>“</w:t>
      </w:r>
      <w:r>
        <w:rPr>
          <w:rFonts w:ascii="Times New Roman" w:hAnsi="Times New Roman"/>
          <w:b/>
          <w:color w:val="000000"/>
          <w:sz w:val="24"/>
        </w:rPr>
        <w:t>Transition Date</w:t>
      </w:r>
      <w:r>
        <w:rPr>
          <w:color w:val="000000"/>
        </w:rPr>
        <w:t xml:space="preserve">” </w:t>
      </w:r>
      <w:r>
        <w:rPr>
          <w:rFonts w:ascii="Times New Roman" w:hAnsi="Times New Roman"/>
          <w:color w:val="000000"/>
          <w:sz w:val="24"/>
        </w:rPr>
        <w:t>has the meaning set forth in Section 5.1.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1.196</w:t>
      </w:r>
    </w:p>
    <w:p>
      <w:pPr>
        <w:pStyle w:val="TextBody"/>
        <w:bidi w:val="0"/>
        <w:spacing w:before="0" w:after="240"/>
        <w:jc w:val="both"/>
        <w:rPr/>
      </w:pPr>
      <w:r>
        <w:rPr>
          <w:color w:val="000000"/>
        </w:rPr>
        <w:t>“</w:t>
      </w:r>
      <w:r>
        <w:rPr>
          <w:rFonts w:ascii="Times New Roman" w:hAnsi="Times New Roman"/>
          <w:b/>
          <w:color w:val="000000"/>
          <w:sz w:val="24"/>
        </w:rPr>
        <w:t>Transparency Laws</w:t>
      </w:r>
      <w:r>
        <w:rPr>
          <w:color w:val="000000"/>
        </w:rPr>
        <w:t xml:space="preserve">” </w:t>
      </w:r>
      <w:r>
        <w:rPr>
          <w:rFonts w:ascii="Times New Roman" w:hAnsi="Times New Roman"/>
          <w:color w:val="000000"/>
          <w:sz w:val="24"/>
        </w:rPr>
        <w:t>has the meaning set forth in Section 13.6.3.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1.197</w:t>
      </w:r>
    </w:p>
    <w:p>
      <w:pPr>
        <w:pStyle w:val="TextBody"/>
        <w:bidi w:val="0"/>
        <w:spacing w:before="0" w:after="240"/>
        <w:jc w:val="both"/>
        <w:rPr/>
      </w:pPr>
      <w:r>
        <w:rPr>
          <w:color w:val="000000"/>
        </w:rPr>
        <w:t>“</w:t>
      </w:r>
      <w:r>
        <w:rPr>
          <w:rFonts w:ascii="Times New Roman" w:hAnsi="Times New Roman"/>
          <w:b/>
          <w:color w:val="000000"/>
          <w:sz w:val="24"/>
        </w:rPr>
        <w:t>True-Up Payment</w:t>
      </w:r>
      <w:r>
        <w:rPr>
          <w:color w:val="000000"/>
        </w:rPr>
        <w:t xml:space="preserve">” </w:t>
      </w:r>
      <w:r>
        <w:rPr>
          <w:rFonts w:ascii="Times New Roman" w:hAnsi="Times New Roman"/>
          <w:color w:val="000000"/>
          <w:sz w:val="24"/>
        </w:rPr>
        <w:t>has the meaning set forth in Section 7.3.3.</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1.199</w:t>
      </w:r>
    </w:p>
    <w:p>
      <w:pPr>
        <w:pStyle w:val="TextBody"/>
        <w:bidi w:val="0"/>
        <w:spacing w:before="0" w:after="240"/>
        <w:jc w:val="both"/>
        <w:rPr/>
      </w:pPr>
      <w:r>
        <w:rPr>
          <w:color w:val="000000"/>
        </w:rPr>
        <w:t>“</w:t>
      </w:r>
      <w:r>
        <w:rPr>
          <w:rFonts w:ascii="Times New Roman" w:hAnsi="Times New Roman"/>
          <w:b/>
          <w:color w:val="000000"/>
          <w:sz w:val="24"/>
        </w:rPr>
        <w:t>Upfront Payment</w:t>
      </w:r>
      <w:r>
        <w:rPr>
          <w:color w:val="000000"/>
        </w:rPr>
        <w:t xml:space="preserve">” </w:t>
      </w:r>
      <w:r>
        <w:rPr>
          <w:rFonts w:ascii="Times New Roman" w:hAnsi="Times New Roman"/>
          <w:color w:val="000000"/>
          <w:sz w:val="24"/>
        </w:rPr>
        <w:t>has the meaning set forth in Section 7.1.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1.200</w:t>
      </w:r>
    </w:p>
    <w:p>
      <w:pPr>
        <w:pStyle w:val="TextBody"/>
        <w:bidi w:val="0"/>
        <w:spacing w:before="0" w:after="240"/>
        <w:jc w:val="both"/>
        <w:rPr/>
      </w:pPr>
      <w:r>
        <w:rPr>
          <w:color w:val="000000"/>
        </w:rPr>
        <w:t>“</w:t>
      </w:r>
      <w:r>
        <w:rPr>
          <w:rFonts w:ascii="Times New Roman" w:hAnsi="Times New Roman"/>
          <w:b/>
          <w:color w:val="000000"/>
          <w:sz w:val="24"/>
        </w:rPr>
        <w:t>United States</w:t>
      </w:r>
      <w:r>
        <w:rPr>
          <w:color w:val="000000"/>
        </w:rPr>
        <w:t xml:space="preserve">” </w:t>
      </w:r>
      <w:r>
        <w:rPr>
          <w:rFonts w:ascii="Times New Roman" w:hAnsi="Times New Roman"/>
          <w:color w:val="000000"/>
          <w:sz w:val="24"/>
        </w:rPr>
        <w:t>or “</w:t>
      </w:r>
      <w:r>
        <w:rPr>
          <w:rFonts w:ascii="Times New Roman" w:hAnsi="Times New Roman"/>
          <w:b/>
          <w:color w:val="000000"/>
          <w:sz w:val="24"/>
        </w:rPr>
        <w:t>U.S.</w:t>
      </w:r>
      <w:r>
        <w:rPr>
          <w:color w:val="000000"/>
        </w:rPr>
        <w:t xml:space="preserve">” </w:t>
      </w:r>
      <w:r>
        <w:rPr>
          <w:rFonts w:ascii="Times New Roman" w:hAnsi="Times New Roman"/>
          <w:color w:val="000000"/>
          <w:sz w:val="24"/>
        </w:rPr>
        <w:t>means the United States of America and its territories and possessions.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1.201</w:t>
      </w:r>
    </w:p>
    <w:p>
      <w:pPr>
        <w:pStyle w:val="TextBody"/>
        <w:bidi w:val="0"/>
        <w:spacing w:before="0" w:after="240"/>
        <w:jc w:val="both"/>
        <w:rPr/>
      </w:pPr>
      <w:r>
        <w:rPr>
          <w:color w:val="000000"/>
        </w:rPr>
        <w:t>“</w:t>
      </w:r>
      <w:r>
        <w:rPr>
          <w:rFonts w:ascii="Times New Roman" w:hAnsi="Times New Roman"/>
          <w:b/>
          <w:color w:val="000000"/>
          <w:sz w:val="24"/>
        </w:rPr>
        <w:t>U.S. Bankruptcy Code</w:t>
      </w:r>
      <w:r>
        <w:rPr>
          <w:color w:val="000000"/>
        </w:rPr>
        <w:t xml:space="preserve">” </w:t>
      </w:r>
      <w:r>
        <w:rPr>
          <w:rFonts w:ascii="Times New Roman" w:hAnsi="Times New Roman"/>
          <w:color w:val="000000"/>
          <w:sz w:val="24"/>
        </w:rPr>
        <w:t>has the meaning set forth in Section 12.6.</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1.202</w:t>
      </w:r>
    </w:p>
    <w:p>
      <w:pPr>
        <w:pStyle w:val="TextBody"/>
        <w:bidi w:val="0"/>
        <w:spacing w:before="0" w:after="240"/>
        <w:jc w:val="both"/>
        <w:rPr/>
      </w:pPr>
      <w:r>
        <w:rPr>
          <w:color w:val="000000"/>
        </w:rPr>
        <w:t>“</w:t>
      </w:r>
      <w:r>
        <w:rPr>
          <w:rFonts w:ascii="Times New Roman" w:hAnsi="Times New Roman"/>
          <w:b/>
          <w:color w:val="000000"/>
          <w:sz w:val="24"/>
        </w:rPr>
        <w:t>Valid Claim</w:t>
      </w:r>
      <w:r>
        <w:rPr>
          <w:color w:val="000000"/>
        </w:rPr>
        <w:t xml:space="preserve">” </w:t>
      </w:r>
      <w:r>
        <w:rPr>
          <w:rFonts w:ascii="Times New Roman" w:hAnsi="Times New Roman"/>
          <w:color w:val="000000"/>
          <w:sz w:val="24"/>
        </w:rPr>
        <w:t>means (a) a claim contained in an issued, unexpired and granted Patent, which claim has not been affected by irretrievable lapse, abandonment, revocation, dedication to the public or disclaimer and has not been held unenforceable, unpatentable or invalid by a decision of a court or other Governmental Authority of competent jurisdiction without possibility of appeal (other than to the Supreme Court in the U.S. and equivalent courts in jurisdictions outside the U.S.) or (b) a claim of a pending Patent application, which claim that has not been cancelled, withdrawn or abandoned, or finally disallowed without possibility of appeal or refiling of such application, and has not been pending for more than [***] from the earliest date to which the Patent application containing such claim claims priority.</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LICENSES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b/>
          <w:color w:val="000000"/>
          <w:sz w:val="24"/>
        </w:rPr>
        <w:t>License Grants to Alcon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2.1.1</w:t>
      </w:r>
    </w:p>
    <w:p>
      <w:pPr>
        <w:pStyle w:val="TextBody"/>
        <w:bidi w:val="0"/>
        <w:spacing w:before="0" w:after="240"/>
        <w:jc w:val="both"/>
        <w:rPr/>
      </w:pPr>
      <w:r>
        <w:rPr>
          <w:rFonts w:ascii="Times New Roman" w:hAnsi="Times New Roman"/>
          <w:b/>
          <w:color w:val="000000"/>
          <w:sz w:val="24"/>
        </w:rPr>
        <w:t>Development License</w:t>
      </w:r>
      <w:r>
        <w:rPr>
          <w:rFonts w:ascii="Times New Roman" w:hAnsi="Times New Roman"/>
          <w:color w:val="000000"/>
          <w:sz w:val="24"/>
        </w:rPr>
        <w:t>. Subject to the terms and conditions of this Agreement, effective as of the Effective Date, RxSight (on behalf of itself and its Affiliates) hereby grants to Alcon a non-exclusive, worldwide, fully paid-up, royalty-free license, with the right to grant sublicenses to subcontractors conducting Development Activities on behalf of Alcon in accordance with Section 2.4, under the Licensed RxSight Intellectual Property, to conduct Development Activities allocated to Alcon in the Development Plan and to perform any other activities expressly allocated to Alcon under this Agreement related to the Development, evaluation of feasibility or support of the Development Program or the Collaboration Products.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2.1.2</w:t>
      </w:r>
    </w:p>
    <w:p>
      <w:pPr>
        <w:pStyle w:val="TextBody"/>
        <w:bidi w:val="0"/>
        <w:spacing w:before="0" w:after="240"/>
        <w:jc w:val="both"/>
        <w:rPr/>
      </w:pPr>
      <w:r>
        <w:rPr>
          <w:rFonts w:ascii="Times New Roman" w:hAnsi="Times New Roman"/>
          <w:b/>
          <w:color w:val="000000"/>
          <w:sz w:val="24"/>
        </w:rPr>
        <w:t>Manufacturing and Commercial License</w:t>
      </w:r>
      <w:r>
        <w:rPr>
          <w:rFonts w:ascii="Times New Roman" w:hAnsi="Times New Roman"/>
          <w:color w:val="000000"/>
          <w:sz w:val="24"/>
        </w:rPr>
        <w:t>. Subject to the terms and conditions of this Agreement, effective as of the Effective Date, RxSight (on behalf of itself and its Affiliates) hereby grants to Alcon a non-exclusive, royalty-bearing license, with the right to grant sublicenses through multiple tiers in accordance with Section 2.4, under the Licensed RxSight Intellectual Property to (a) Manufacture the Collaboration Products and any components thereof (except the Silicone Component) anywhere in the world for Commercialization in the Field in the Territory, (b) have Manufactured by the Alternative Manufacturer the Silicone Component for incorporation into the Collaboration Products in accordance with the foregoing clause (a) (in the case of (a) and (b), subject to the Manufacturing and Supply Agreement during the Term (as defined therein) of such Manufacturing and Supply Agreement), and (c) Commercialize the Collaboration Products in the Field in the Territory.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b/>
          <w:color w:val="000000"/>
          <w:sz w:val="24"/>
        </w:rPr>
        <w:t>Confirmatory Patent License</w:t>
      </w:r>
      <w:r>
        <w:rPr>
          <w:rFonts w:ascii="Times New Roman" w:hAnsi="Times New Roman"/>
          <w:color w:val="000000"/>
          <w:sz w:val="24"/>
        </w:rPr>
        <w:t>. RxSight shall, if requested to do so by Alcon, promptly enter into confirmatory license agreements in such form as may be reasonably requested by Alcon for purposes of recording the licenses granted under this Agreement with such patent offices in the Territory as Alcon considers appropriate. Until the execution of any such confirmatory licenses, so far as may be legally possible, RxSight and Alcon shall have the same rights in respect of the Licensed RxSight Patents and be under the same obligations to each other in all respects as if the said confirmatory licenses had been executed. In no event shall RxSight be subject to any obligations or liabilities in the confirmatory license agreements that are not expressly included in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b/>
          <w:color w:val="000000"/>
          <w:sz w:val="24"/>
        </w:rPr>
        <w:t>License Grant to RxSight</w:t>
      </w:r>
      <w:r>
        <w:rPr>
          <w:rFonts w:ascii="Times New Roman" w:hAnsi="Times New Roman"/>
          <w:color w:val="000000"/>
          <w:sz w:val="24"/>
        </w:rPr>
        <w:t>. Effective as of the Effective Date, Alcon (on behalf of itself and its Affiliates), hereby grants to RxSight a non-exclusive, worldwide, fully paid-up, royalty-free license, with the right to grant sublicenses in accordance with Section 2.4, under the Licensed Alcon Intellectual Property, to (a) conduct the Development Activities allocated to RxSight in the Development Plan, (b) Manufacture Collaboration Products pursuant to the terms and conditions of this Agreement and the Manufacturing and Supply Agreement, and (c) otherwise exercise RxSight’s rights and perform RxSight’s obligations under this Agreement and the Ancillary Agreements, including conduct of Additional Activities and regulatory activities to obtain and maintain Regulatory Approval for Collaboration Products, and conducting Demand Generation Activities pursuant to the Co-Promotion Agreement, if applicable.</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b/>
          <w:color w:val="000000"/>
          <w:sz w:val="24"/>
        </w:rPr>
        <w:t>Sublicense Rights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Alcon shall have the right to grant sublicenses under the licenses granted to it under this Agreement to its Affiliates and Third Parties, including subcontractors, without the consent of RxSight.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RxSight shall not grant any sublicense under the licenses granted to it under this Agreement to any Third Party without the prior written consent of Alcon, such consent not to be unreasonably withheld, conditioned or delayed; provided that RxSight shall have the right to sublicense to its Affiliates and permitted subcontractors in accordance with Section 3.1.5 without such consent.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ensure that its sublicense agreements are consistent with all applicable terms and conditions of this Agreement, including with respect to protection of the other Party’s Confidential Information and the assignment of Intellectual Property to the extent required under this Agreement. Each Party’s Affiliates that receive a sublicense hereunder shall have the right to further sublicense their rights to other Affiliates or, in the case of Alcon, Third Parties, or in the case of RxSight, permitted subcontractors and other Third Parties approved by Alcon, in each case in accordance with this Section 2.4. No later than [***] following a Party’s execution of a sublicense agreement with a Third Party, such Party shall provide a copy of such sublicense agreement to the other Party (which may be redacted for financial terms to the extent not relevant to the other Party’s rights or obligations hereunder). Each Party shall remain responsible for the performance of all of its Sublicensees to the same extent as if such activities were conducted by such Party and shall remain responsible for any payments due hereunder with respect to activities of any Sublicensees.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rFonts w:ascii="Times New Roman" w:hAnsi="Times New Roman"/>
          <w:b/>
          <w:color w:val="000000"/>
          <w:sz w:val="24"/>
        </w:rPr>
        <w:t>No Implied Licenses or Rights</w:t>
      </w:r>
      <w:r>
        <w:rPr>
          <w:rFonts w:ascii="Times New Roman" w:hAnsi="Times New Roman"/>
          <w:color w:val="000000"/>
          <w:sz w:val="24"/>
        </w:rPr>
        <w:t>. Except as expressly set forth in this Agreement, neither Party, by virtue of this Agreement, shall acquire any license or other interest, by implication or otherwise, in any Know-How, Patents or other Intellectual Property rights owned or Controlled by the other Party or its Affiliates not expressly granted under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rFonts w:ascii="Times New Roman" w:hAnsi="Times New Roman"/>
          <w:b/>
          <w:color w:val="000000"/>
          <w:sz w:val="24"/>
        </w:rPr>
        <w:t>Resource Prioritization</w:t>
      </w:r>
      <w:r>
        <w:rPr>
          <w:rFonts w:ascii="Times New Roman" w:hAnsi="Times New Roman"/>
          <w:color w:val="000000"/>
          <w:sz w:val="24"/>
        </w:rPr>
        <w:t>. The Parties acknowledge and agree that RxSight’s resources to Develop and Manufacture the Collaboration Products are limited and specialized, and that the purpose of this resource prioritization is to ensure that such resources are primarily dedicated to the Development and Manufacture of the Collaboration Products during the term of the Development Program. Accordingly,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pPr>
      <w:r>
        <w:rPr>
          <w:rFonts w:ascii="Times New Roman" w:hAnsi="Times New Roman"/>
          <w:b/>
          <w:color w:val="000000"/>
          <w:sz w:val="24"/>
        </w:rPr>
        <w:t>Right of First Negotiation</w:t>
      </w:r>
      <w:r>
        <w:rPr>
          <w:rFonts w:ascii="Times New Roman" w:hAnsi="Times New Roman"/>
          <w:color w:val="000000"/>
          <w:sz w:val="24"/>
        </w:rPr>
        <w:t xml:space="preserve">. During the Term, if RxSight or any of its Affiliates determines in good faith, following the conduct of Development of a ROFN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2.7.2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2.7.3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2.7.4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DEVELOPMENT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b/>
          <w:color w:val="000000"/>
          <w:sz w:val="24"/>
        </w:rPr>
        <w:t>General; Conduct of Development Program</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3.1.1</w:t>
      </w:r>
    </w:p>
    <w:p>
      <w:pPr>
        <w:pStyle w:val="TextBody"/>
        <w:bidi w:val="0"/>
        <w:spacing w:before="0" w:after="240"/>
        <w:jc w:val="both"/>
        <w:rPr/>
      </w:pPr>
      <w:r>
        <w:rPr>
          <w:rFonts w:ascii="Times New Roman" w:hAnsi="Times New Roman"/>
          <w:b/>
          <w:color w:val="000000"/>
          <w:sz w:val="24"/>
        </w:rPr>
        <w:t>Overview</w:t>
      </w:r>
      <w:r>
        <w:rPr>
          <w:rFonts w:ascii="Times New Roman" w:hAnsi="Times New Roman"/>
          <w:color w:val="000000"/>
          <w:sz w:val="24"/>
        </w:rPr>
        <w:t>. Subject to the terms and conditions set forth herein, the Parties shall coordinate with respect to the conduct of a program of Development directed toward the Development of two (2) products that are intended to become two (2) Collaboration Products (the “</w:t>
      </w:r>
      <w:r>
        <w:rPr>
          <w:rFonts w:ascii="Times New Roman" w:hAnsi="Times New Roman"/>
          <w:b/>
          <w:color w:val="000000"/>
          <w:sz w:val="24"/>
        </w:rPr>
        <w:t>Development Program</w:t>
      </w:r>
      <w:r>
        <w:rPr>
          <w:color w:val="000000"/>
        </w:rPr>
        <w:t>”</w:t>
      </w:r>
      <w:r>
        <w:rPr>
          <w:rFonts w:ascii="Times New Roman" w:hAnsi="Times New Roman"/>
          <w:color w:val="000000"/>
          <w:sz w:val="24"/>
        </w:rPr>
        <w:t xml:space="preserve">), a Hybrid PanOptix Product and a Hybrid Vivity Product, for Regulatory Approval in the U.S. Notwithstanding anything to the contrary in this Agreement, Development of any other product intended to be a third or subsequent Collaboration Product shall be subject to future agreement on a plan of Development, responsibilities and budgets associated therewith. Absent such agreement, RxSight shall have no obligation to Develop more than two (2) Collaboration Products under this Agreement.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3.1.2</w:t>
      </w:r>
    </w:p>
    <w:p>
      <w:pPr>
        <w:pStyle w:val="TextBody"/>
        <w:bidi w:val="0"/>
        <w:spacing w:before="0" w:after="240"/>
        <w:jc w:val="both"/>
        <w:rPr/>
      </w:pPr>
      <w:r>
        <w:rPr>
          <w:rFonts w:ascii="Times New Roman" w:hAnsi="Times New Roman"/>
          <w:b/>
          <w:color w:val="000000"/>
          <w:sz w:val="24"/>
        </w:rPr>
        <w:t>Development Plan and Updates</w:t>
      </w:r>
      <w:r>
        <w:rPr>
          <w:rFonts w:ascii="Times New Roman" w:hAnsi="Times New Roman"/>
          <w:color w:val="000000"/>
          <w:sz w:val="24"/>
        </w:rPr>
        <w:t xml:space="preserve">. The Development Program shall be conducted in accordance with the mutually agreed written development plan, as set forth on </w:t>
      </w:r>
      <w:r>
        <w:rPr>
          <w:rFonts w:ascii="Times New Roman" w:hAnsi="Times New Roman"/>
          <w:b/>
          <w:color w:val="000000"/>
          <w:sz w:val="24"/>
        </w:rPr>
        <w:t>Exhibit D</w:t>
      </w:r>
      <w:r>
        <w:rPr>
          <w:color w:val="000000"/>
        </w:rPr>
        <w:t xml:space="preserve"> </w:t>
      </w:r>
      <w:r>
        <w:rPr>
          <w:rFonts w:ascii="Times New Roman" w:hAnsi="Times New Roman"/>
          <w:color w:val="000000"/>
          <w:sz w:val="24"/>
        </w:rPr>
        <w:t>and as may be updated in accordance with this Section 3.1.2 (the “</w:t>
      </w:r>
      <w:r>
        <w:rPr>
          <w:rFonts w:ascii="Times New Roman" w:hAnsi="Times New Roman"/>
          <w:b/>
          <w:color w:val="000000"/>
          <w:sz w:val="24"/>
        </w:rPr>
        <w:t>Development Plan</w:t>
      </w:r>
      <w:r>
        <w:rPr>
          <w:color w:val="000000"/>
        </w:rPr>
        <w:t>”</w:t>
      </w:r>
      <w:r>
        <w:rPr>
          <w:rFonts w:ascii="Times New Roman" w:hAnsi="Times New Roman"/>
          <w:color w:val="000000"/>
          <w:sz w:val="24"/>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3.1.3</w:t>
      </w:r>
    </w:p>
    <w:p>
      <w:pPr>
        <w:pStyle w:val="TextBody"/>
        <w:bidi w:val="0"/>
        <w:spacing w:before="0" w:after="240"/>
        <w:jc w:val="both"/>
        <w:rPr/>
      </w:pPr>
      <w:r>
        <w:rPr>
          <w:rFonts w:ascii="Times New Roman" w:hAnsi="Times New Roman"/>
          <w:b/>
          <w:color w:val="000000"/>
          <w:sz w:val="24"/>
        </w:rPr>
        <w:t>Conduct of Development Activities</w:t>
      </w:r>
      <w:r>
        <w:rPr>
          <w:rFonts w:ascii="Times New Roman" w:hAnsi="Times New Roman"/>
          <w:color w:val="000000"/>
          <w:sz w:val="24"/>
        </w:rPr>
        <w:t>. Each Party shall use Commercially Reasonable Efforts to conduct the Development Activities allocated to such Party in accordance with the Development Plan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3.1.4</w:t>
      </w:r>
    </w:p>
    <w:p>
      <w:pPr>
        <w:pStyle w:val="TextBody"/>
        <w:bidi w:val="0"/>
        <w:spacing w:before="0" w:after="240"/>
        <w:jc w:val="both"/>
        <w:rPr/>
      </w:pPr>
      <w:r>
        <w:rPr>
          <w:rFonts w:ascii="Times New Roman" w:hAnsi="Times New Roman"/>
          <w:b/>
          <w:color w:val="000000"/>
          <w:sz w:val="24"/>
        </w:rPr>
        <w:t>Ownership of and Rights to Collaboration Data</w:t>
      </w:r>
      <w:r>
        <w:rPr>
          <w:rFonts w:ascii="Times New Roman" w:hAnsi="Times New Roman"/>
          <w:color w:val="000000"/>
          <w:sz w:val="24"/>
        </w:rPr>
        <w:t>. Notwithstanding anything to the contrary in this Agreement, as between the Parties, all Data generated in the course of the Parties’ performance under the Development Plan (including the conduct of all Development Activities) (such Data, “</w:t>
      </w:r>
      <w:r>
        <w:rPr>
          <w:rFonts w:ascii="Times New Roman" w:hAnsi="Times New Roman"/>
          <w:b/>
          <w:color w:val="000000"/>
          <w:sz w:val="24"/>
        </w:rPr>
        <w:t>Collaboration Data</w:t>
      </w:r>
      <w:r>
        <w:rPr>
          <w:color w:val="000000"/>
        </w:rPr>
        <w:t>”</w:t>
      </w:r>
      <w:r>
        <w:rPr>
          <w:rFonts w:ascii="Times New Roman" w:hAnsi="Times New Roman"/>
          <w:color w:val="000000"/>
          <w:sz w:val="24"/>
        </w:rPr>
        <w:t>) shall be jointly owned by the Parties. Each Party hereby assigns, and shall cause its Affiliates and subcontractors to so assign, without additional compensation, to the other Party an indivisible, one-half interest in such Party’s right, title and interest in and to all Collaboration Data as is necessary to fully effect the joint ownership provided for in this Section 3.1.4. To the extent necessary in any jurisdiction to effect the purpose of the foregoing, each Party hereby grants to the other Party a non-exclusive, royalty-free, fully-paid up, worldwide license under such Party’s rights, title, and interest in and to any Collaboration Data solely to exercise such Party’s internal use rights as set forth herein, without the right to sublicense except to its Affiliates and subcontractors performing activities on its behalf and subject to the same restrictions set forth in this Section.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3.1.5</w:t>
      </w:r>
    </w:p>
    <w:p>
      <w:pPr>
        <w:pStyle w:val="TextBody"/>
        <w:bidi w:val="0"/>
        <w:spacing w:before="0" w:after="240"/>
        <w:jc w:val="both"/>
        <w:rPr/>
      </w:pPr>
      <w:r>
        <w:rPr>
          <w:rFonts w:ascii="Times New Roman" w:hAnsi="Times New Roman"/>
          <w:b/>
          <w:color w:val="000000"/>
          <w:sz w:val="24"/>
        </w:rPr>
        <w:t>Subcontracting</w:t>
      </w:r>
      <w:r>
        <w:rPr>
          <w:rFonts w:ascii="Times New Roman" w:hAnsi="Times New Roman"/>
          <w:color w:val="000000"/>
          <w:sz w:val="24"/>
        </w:rPr>
        <w:t xml:space="preserve">. Each Party shall have the right to subcontract Development Activities to any of its Affiliates without the prior written consent of the other Party. Neither Party shall have the right to subcontract Development Activities to any Third Party without the prior written consent of the other Party, such consent not to be unreasonably withheld, conditioned or delayed; provided, however, that Alcon shall be deemed to have consented to any Third Party subcontractors listed on Schedule 3.1.5. With respect to any subcontractors, the Party engaging such subcontractors shall oversee (at its cost) the performance by such subcontractors of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subcontracted activities to ensure compliance with the requirements of this Agreement. Any agreement pursuant to which a Party engages a subcontractor shall: (a) be consistent with this Agreement; and (b) contain terms obligating such subcontractor to (i) comply with confidentiality provisions that are at least as protective of the other Party’s Confidential Information as those set forth in this Agreement, including those set forth in Article 10, and (ii) provide the other Party with equivalent rights with respect to any Know-How that is not generally known, Patents or other Intellectual Property rights arising from performance of the subcontracted activities as such other Party would have under this Agreement if such Know-How, Patents and other Intellectual Property rights had arisen from the performance of such activities by the Party engaging such subcontractors directly (for clarity, other than Improvements to such subcontractor’s background Intellectual Property, which may be retained by such subcontractor). Each Party shall use Commercially Reasonable Efforts to require each of its subcontractors to permit the other Party the right of audit and inspection of such subcontractor that is at least equivalent to those provided to the other Party with respect to the Party engaging such subcontractors under this Agreement. No subcontracting permitted under this Section 3.1.5 shall relieve a Party of any obligation under this Agreement. The Party engaging subcontractors shall remain responsible and liable for the acts and omissions of its subcontractors, and any act or omission of its subcontractors shall constitute the act or omission of such Party for all purposes hereunder.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3.1.6</w:t>
      </w:r>
    </w:p>
    <w:p>
      <w:pPr>
        <w:pStyle w:val="TextBody"/>
        <w:bidi w:val="0"/>
        <w:spacing w:before="0" w:after="240"/>
        <w:jc w:val="both"/>
        <w:rPr/>
      </w:pPr>
      <w:r>
        <w:rPr>
          <w:rFonts w:ascii="Times New Roman" w:hAnsi="Times New Roman"/>
          <w:b/>
          <w:color w:val="000000"/>
          <w:sz w:val="24"/>
        </w:rPr>
        <w:t>Supply of Collaboration Products for Development; Transfer of Materials and Alcon Collaboration Know-How</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be solely responsible for (i) the supply of any Materials comprising the RxSight Technology and (ii) the Manufacture of Collaboration Products, in each case for use by or on behalf of RxSight and Alcon in the Development Activities and Additional Activities (if any), at no cost to Alcon. Alcon shall be solely responsible for the supply of any Alcon Materials necessary or reasonably useful for RxSight’s use in the Manufacture of Collaboration Products for use by or on behalf of RxSight and Alcon in the Development Activities and Additional Activities (if any), at no cost to RxSight. RxSight shall place purchase orders with Alcon for the supply of Alcon Materials for use in such Manufacturing, and Alcon shall place purchase orders with RxSight for the supply of prototype Collaboration Products or other Materials of RxSight for use in Alcon’s Development Activities or Additional Activities (if any). Each Party shall deliver, or arrange for delivery of, all Alcon Materials or prototype Collaboration Products (as applicable) specified in an accepted purchase order by the delivery date set forth therein[***]. Title to all Alcon Materials shall remain with Alcon until such Alcon Materials are consumed or used in the performance of such Manufacturing by RxSight, and title to all prototype Collaboration Products or other Materials of RxSight shall remain with RxSight until such prototype Collaboration Products or other Materials of RxSight are consumed or used in the performance of Alcon’s Development Activities or Additional Activities (if any). Each Party shall store all Alcon Materials or prototype Collaboration Products or other Materials of RxSight (as applicable) supplied by the other Party in its possession or control in a secure and safe environment, in accordance with the applicable Product Specifications (as defined in the Manufacturing and Supply Agreement), applicable requirements set forth in the Quality Agreement and all Applicable Laws.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to carry out and complete its Manufacturing obligations hereunder, the Development Activities in accordance with the Development Plan and Additional Activities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each Party agrees (i) not to transfer the Materials that it receives from the other Party for Development purposes to any Third Party (except to its permitted subcontractors that are bound by confidentiality and non-use no less restrictive than those provided in this Agreement) without the other Party’s prior written consent, (ii) not to use the other Party’s Materials for any purpose other than uses contemplated in the Development Plan or otherwise mutually agreed in writing by the Parties, (iii) not to analyze, reverse engineer or modify the other Party’s Materials except as contemplated by the Development Plan or otherwise mutually agreed by the Parties in writing, and (iv) upon completion of the Development Activities in accordance with this Agreement, to destroy or return to the other Party, at the other Party’s election and cost, all unused quantities of such Materials. Each Party covenants that the Materials of the other Party will be stored and disposed of in accordance with all Applicable Laws and the reasonable written instructions of the other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 following the Effective Date, and on a continuing basis during the conduct of the Development Activities, Alcon shall disclose and transfer to RxSight all Know-How within the Licensed Alcon Intellectual Property. Upon RxSight’s request, Alcon shall provide reasonable assistance to RxSight in connection with understanding and using the Alcon Materials and Licensed Alcon Intellectual Property to enable RxSight to conduct the Development Activities allocated to RxSight. Such cooperation and assistance shall include Alcon making appropriate personnel available to assist RxSight from time to time as reasonably requested by RxSight, and providing the appropriate personnel of RxSight with access to the personnel of Alcon and its Affiliates in such manner as is reasonable in order to familiarize the personnel of RxSight with the Alcon Materials and Licensed Alcon Intellectual Property relevant to the Development and Manufacture of the Existing PanOptix Product and the Existing Vivity Product.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3.1.7</w:t>
      </w:r>
    </w:p>
    <w:p>
      <w:pPr>
        <w:pStyle w:val="TextBody"/>
        <w:bidi w:val="0"/>
        <w:spacing w:before="0" w:after="240"/>
        <w:jc w:val="both"/>
        <w:rPr/>
      </w:pPr>
      <w:r>
        <w:rPr>
          <w:rFonts w:ascii="Times New Roman" w:hAnsi="Times New Roman"/>
          <w:b/>
          <w:color w:val="000000"/>
          <w:sz w:val="24"/>
        </w:rPr>
        <w:t>Expenses</w:t>
      </w:r>
      <w:r>
        <w:rPr>
          <w:rFonts w:ascii="Times New Roman" w:hAnsi="Times New Roman"/>
          <w:color w:val="000000"/>
          <w:sz w:val="24"/>
        </w:rPr>
        <w:t xml:space="preserve">. Each Party shall be responsible for its own costs and expenses incurred or paid by it or its Affiliates in performing the Development Activities allocated to such Party in accordance with the Development Plan.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b/>
          <w:color w:val="000000"/>
          <w:sz w:val="24"/>
        </w:rPr>
        <w:t>Phase 1 Feasibility Activities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3.2.1</w:t>
      </w:r>
    </w:p>
    <w:p>
      <w:pPr>
        <w:pStyle w:val="TextBody"/>
        <w:bidi w:val="0"/>
        <w:spacing w:before="0" w:after="240"/>
        <w:jc w:val="both"/>
        <w:rPr/>
      </w:pPr>
      <w:r>
        <w:rPr>
          <w:rFonts w:ascii="Times New Roman" w:hAnsi="Times New Roman"/>
          <w:b/>
          <w:color w:val="000000"/>
          <w:sz w:val="24"/>
        </w:rPr>
        <w:t>General; Delivery of Reports and Proposals</w:t>
      </w:r>
      <w:r>
        <w:rPr>
          <w:rFonts w:ascii="Times New Roman" w:hAnsi="Times New Roman"/>
          <w:color w:val="000000"/>
          <w:sz w:val="24"/>
        </w:rPr>
        <w:t>. Promptly after the Effective Date, the Parties shall commence the Phase 1 Feasibility Activities specified in the Development Plan for each Collaboration Product to assess the viability, safety, effectiveness and functionality of such Collaboration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3.2.2</w:t>
      </w:r>
    </w:p>
    <w:p>
      <w:pPr>
        <w:pStyle w:val="TextBody"/>
        <w:bidi w:val="0"/>
        <w:spacing w:before="0" w:after="240"/>
        <w:jc w:val="both"/>
        <w:rPr/>
      </w:pPr>
      <w:r>
        <w:rPr>
          <w:rFonts w:ascii="Times New Roman" w:hAnsi="Times New Roman"/>
          <w:b/>
          <w:color w:val="000000"/>
          <w:sz w:val="24"/>
        </w:rPr>
        <w:t>Phase 1 Deficiencies</w:t>
      </w:r>
      <w:r>
        <w:rPr>
          <w:rFonts w:ascii="Times New Roman" w:hAnsi="Times New Roman"/>
          <w:color w:val="000000"/>
          <w:sz w:val="24"/>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3.2.3</w:t>
      </w:r>
    </w:p>
    <w:p>
      <w:pPr>
        <w:pStyle w:val="TextBody"/>
        <w:bidi w:val="0"/>
        <w:spacing w:before="0" w:after="240"/>
        <w:jc w:val="both"/>
        <w:rPr/>
      </w:pPr>
      <w:r>
        <w:rPr>
          <w:rFonts w:ascii="Times New Roman" w:hAnsi="Times New Roman"/>
          <w:b/>
          <w:color w:val="000000"/>
          <w:sz w:val="24"/>
        </w:rPr>
        <w:t>Expert Determination</w:t>
      </w:r>
      <w:r>
        <w:rPr>
          <w:rFonts w:ascii="Times New Roman" w:hAnsi="Times New Roman"/>
          <w:color w:val="000000"/>
          <w:sz w:val="24"/>
        </w:rPr>
        <w:t>. In the event of a good faith dispute between the Parties as to (a) whether a Phase 1 Deficiency exists, (b) whether a previously identified Phase 1 Deficiency has been remedied or (c) whether Development Futility exists, either Party may refer such dispute for resolution by an independent expert (the “</w:t>
      </w:r>
      <w:r>
        <w:rPr>
          <w:rFonts w:ascii="Times New Roman" w:hAnsi="Times New Roman"/>
          <w:b/>
          <w:color w:val="000000"/>
          <w:sz w:val="24"/>
        </w:rPr>
        <w:t>Expert</w:t>
      </w:r>
      <w:r>
        <w:rPr>
          <w:color w:val="000000"/>
        </w:rPr>
        <w:t>”</w:t>
      </w:r>
      <w:r>
        <w:rPr>
          <w:rFonts w:ascii="Times New Roman" w:hAnsi="Times New Roman"/>
          <w:color w:val="000000"/>
          <w:sz w:val="24"/>
        </w:rPr>
        <w:t xml:space="preserve">). The Expert shall be an individual with substantial experience in medical device Development and regulatory matters, as mutually agreed by the Parties within [***] following a Party’s notice to the other Party that it is referring such dispute for resolution by an Expert. If the Parties are unable to agree on the Expert within such [***], the Expert shall be appointed by the International Centre for Dispute Resolution, acting solely as appointing authority and not in connection with any pending arbitration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proceeding, in accordance with the appointment procedures set forth in the Rules referenced in Section 16.7. The Expert shall act as an independent expert and not as an arbitrator. Each Party shall submit a written statement of its position, together with supporting data, within [***] following appointment of the Expert, and may submit a brief reply within [***] thereafter. The Expert may request additional information from the Parties but shall not conduct any hearing unless deemed necessary. The Expert shall render a written determination within [***] after receipt of the final submissions, which determination shall be final and binding on both Parties absent manifest error. The costs of the Expert shall be borne by the Party whose position is adverse to the Expert’s position; provided that if the Expert finds some merit in both Parties’ positions, then the costs of the Expert shall be allocated among the Parties based on the relative merits of the Parties’ positions, as determined by the Expert. During the pendency of the Expert’s determination, the applicable Phase 1 Review Period shall be tolled.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3.2.4</w:t>
      </w:r>
    </w:p>
    <w:p>
      <w:pPr>
        <w:pStyle w:val="TextBody"/>
        <w:bidi w:val="0"/>
        <w:spacing w:before="0" w:after="240"/>
        <w:jc w:val="both"/>
        <w:rPr/>
      </w:pPr>
      <w:r>
        <w:rPr>
          <w:rFonts w:ascii="Times New Roman" w:hAnsi="Times New Roman"/>
          <w:b/>
          <w:color w:val="000000"/>
          <w:sz w:val="24"/>
        </w:rPr>
        <w:t>Initiation of Phase 2 Regulatory Activities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First Collaboration Product</w:t>
      </w:r>
      <w:r>
        <w:rPr>
          <w:rFonts w:ascii="Times New Roman" w:hAnsi="Times New Roman"/>
          <w:color w:val="000000"/>
          <w:sz w:val="24"/>
        </w:rPr>
        <w:t xml:space="preserve">. [***]. For clarity, and notwithstanding anything to the contrary in this Agreement, the Feasibility Milestone Payment shall be payable only once, and no amounts shall be due to have RxSight initiate Phase 2 Regulatory Activities for any Collaboration Product other than the first Collaboration Product. Upon receipt of the Feasibility Milestone Payment, the updates to the Phase 2 Regulatory Activities set forth in the applicable Development Proposal shall be deemed adopted and incorporated into the Development Plan, and RxSight shall promptly initiate the Phase 2 Regulatory Activities for such first Collaboration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Second Collaboration Product</w:t>
      </w:r>
      <w:r>
        <w:rPr>
          <w:rFonts w:ascii="Times New Roman" w:hAnsi="Times New Roman"/>
          <w:color w:val="000000"/>
          <w:sz w:val="24"/>
        </w:rPr>
        <w:t>. [***]. For clarity, no payment shall be required to be made by Alcon to RxSight in connection with such election. Upon delivery of such notice, the updates to the Phase 2 Regulatory Activities set forth in the applicable Development Proposal shall be deemed adopted and incorporated into the Development Plan, and RxSight shall promptly initiate the Phase 2 Regulatory Activities for such Collaboration Product.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3.2.5</w:t>
      </w:r>
    </w:p>
    <w:p>
      <w:pPr>
        <w:pStyle w:val="TextBody"/>
        <w:bidi w:val="0"/>
        <w:spacing w:before="0" w:after="240"/>
        <w:jc w:val="both"/>
        <w:rPr/>
      </w:pPr>
      <w:r>
        <w:rPr>
          <w:rFonts w:ascii="Times New Roman" w:hAnsi="Times New Roman"/>
          <w:b/>
          <w:color w:val="000000"/>
          <w:sz w:val="24"/>
        </w:rPr>
        <w:t>Termination for Development Failure</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Feasibility Met</w:t>
      </w:r>
      <w:r>
        <w:rPr>
          <w:rFonts w:ascii="Times New Roman" w:hAnsi="Times New Roman"/>
          <w:color w:val="000000"/>
          <w:sz w:val="24"/>
        </w:rPr>
        <w:t>. If the Phase 1 Feasibility Requirements for the first Collaboration Product have been met in accordance with this Agreement and the Development Plan, but nevertheless Alcon does not make the Feasibility Milestone Payment prior to the expiration of the Phase 1 Review Period, this Agreement shall automatically terminate in its entirety pursuant to Section 11.5.1.</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Feasibility Not Met</w:t>
      </w:r>
      <w:r>
        <w:rPr>
          <w:rFonts w:ascii="Times New Roman" w:hAnsi="Times New Roman"/>
          <w:color w:val="000000"/>
          <w:sz w:val="24"/>
        </w:rPr>
        <w:t>. If the Phase 1 Feasibility Requirements for the first Collaboration Product have not been met in accordance with this Agreement and the Development Plan, or such Development Futility exists and therefore Alcon does not make the Feasibility Milestone Payment prior to the expiration of the Phase 1 Review Period, this Agreement shall automatically terminate in its entirety pursuant to Section 11.5.2.</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Development Futility</w:t>
      </w:r>
      <w:r>
        <w:rPr>
          <w:rFonts w:ascii="Times New Roman" w:hAnsi="Times New Roman"/>
          <w:color w:val="000000"/>
          <w:sz w:val="24"/>
        </w:rPr>
        <w:t xml:space="preserve">. If prior to completion of Development Activities with respect to a Collaboration Product, a Party determines, based on </w:t>
      </w:r>
      <w:r>
        <w:rPr>
          <w:rFonts w:ascii="Times New Roman" w:hAnsi="Times New Roman"/>
          <w:i/>
          <w:color w:val="000000"/>
          <w:sz w:val="24"/>
        </w:rPr>
        <w:t>bona fide</w:t>
      </w:r>
      <w:r>
        <w:rPr>
          <w:color w:val="000000"/>
        </w:rPr>
        <w:t xml:space="preserve"> </w:t>
      </w:r>
      <w:r>
        <w:rPr>
          <w:rFonts w:ascii="Times New Roman" w:hAnsi="Times New Roman"/>
          <w:color w:val="000000"/>
          <w:sz w:val="24"/>
        </w:rPr>
        <w:t xml:space="preserve">reasonable scientific or medical judgment exercised in good faith, that the (i) Phase 1 Feasibility Requirements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will not be met for such Collaboration Product or (ii) such Collaboration Product will not obtain Regulatory Approval upon completion of the Development Activities, such that further conduct of Development Activities would be futile (“</w:t>
      </w:r>
      <w:r>
        <w:rPr>
          <w:rFonts w:ascii="Times New Roman" w:hAnsi="Times New Roman"/>
          <w:b/>
          <w:color w:val="000000"/>
          <w:sz w:val="24"/>
        </w:rPr>
        <w:t>Development Futility</w:t>
      </w:r>
      <w:r>
        <w:rPr>
          <w:color w:val="000000"/>
        </w:rPr>
        <w:t>”</w:t>
      </w:r>
      <w:r>
        <w:rPr>
          <w:rFonts w:ascii="Times New Roman" w:hAnsi="Times New Roman"/>
          <w:color w:val="000000"/>
          <w:sz w:val="24"/>
        </w:rPr>
        <w:t>)[***]. In the event that the Parties agree in writing that such Development Futility exists, this Agreement shall automatically terminate with respect to such Collaboration Product pursuant to Section 11.5.2. In the event that the Parties do not agree in writing that such Development Futility exists, neither Party shall have the right to terminate this Agreement pursuant to this Section unless and until such dispute as to the existence of such Development Futility has been resolved by an Expert in accordance with Section 3.2.3.</w:t>
      </w:r>
      <w:r>
        <w:rPr>
          <w:color w:val="000000"/>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b/>
          <w:color w:val="000000"/>
          <w:sz w:val="24"/>
        </w:rPr>
        <w:t>Phase 2 Regulatory Activities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3.3.1</w:t>
      </w:r>
    </w:p>
    <w:p>
      <w:pPr>
        <w:pStyle w:val="TextBody"/>
        <w:bidi w:val="0"/>
        <w:spacing w:before="0" w:after="240"/>
        <w:jc w:val="both"/>
        <w:rPr/>
      </w:pPr>
      <w:r>
        <w:rPr>
          <w:rFonts w:ascii="Times New Roman" w:hAnsi="Times New Roman"/>
          <w:b/>
          <w:color w:val="000000"/>
          <w:sz w:val="24"/>
        </w:rPr>
        <w:t>General; Regulatory Submissions</w:t>
      </w:r>
      <w:r>
        <w:rPr>
          <w:rFonts w:ascii="Times New Roman" w:hAnsi="Times New Roman"/>
          <w:color w:val="000000"/>
          <w:sz w:val="24"/>
        </w:rPr>
        <w:t>. In the event that RxSight receives the Feasibility Milestone Payment in accordance with Section</w:t>
      </w:r>
      <w:r>
        <w:rPr>
          <w:color w:val="000000"/>
        </w:rPr>
        <w:t xml:space="preserve"> </w:t>
      </w:r>
      <w:r>
        <w:rPr>
          <w:rFonts w:ascii="Times New Roman" w:hAnsi="Times New Roman"/>
          <w:color w:val="000000"/>
          <w:sz w:val="24"/>
        </w:rPr>
        <w:t>3.2.1 for the first Collaboration Product, each Party shall use Commercially Reasonable Efforts to conduct the Phase 2 Regulatory Activities allocated to such Party in accordance with the Development Plan[***].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3.3.2</w:t>
      </w:r>
    </w:p>
    <w:p>
      <w:pPr>
        <w:pStyle w:val="TextBody"/>
        <w:bidi w:val="0"/>
        <w:spacing w:before="0" w:after="240"/>
        <w:jc w:val="both"/>
        <w:rPr/>
      </w:pPr>
      <w:r>
        <w:rPr>
          <w:rFonts w:ascii="Times New Roman" w:hAnsi="Times New Roman"/>
          <w:b/>
          <w:color w:val="000000"/>
          <w:sz w:val="24"/>
        </w:rPr>
        <w:t>Phase 2 Review Period</w:t>
      </w:r>
      <w:r>
        <w:rPr>
          <w:rFonts w:ascii="Times New Roman" w:hAnsi="Times New Roman"/>
          <w:color w:val="000000"/>
          <w:sz w:val="24"/>
        </w:rPr>
        <w:t>. Following the completion of the Phase 2 Regulatory Activities for a Collaboration Product, if RxSight receives Regulatory Approval for such Collaboration Product from the FDA, RxSight shall promptly notify Alcon in writing thereof. Alcon shall have [***] following the date of receipt of such notice from RxSight with respect to the first Collaboration Product only to make the Approval Milestone Payment (“</w:t>
      </w:r>
      <w:r>
        <w:rPr>
          <w:rFonts w:ascii="Times New Roman" w:hAnsi="Times New Roman"/>
          <w:b/>
          <w:color w:val="000000"/>
          <w:sz w:val="24"/>
        </w:rPr>
        <w:t>Phase 2 Review Period</w:t>
      </w:r>
      <w:r>
        <w:rPr>
          <w:color w:val="000000"/>
        </w:rPr>
        <w:t>”</w:t>
      </w:r>
      <w:r>
        <w:rPr>
          <w:rFonts w:ascii="Times New Roman" w:hAnsi="Times New Roman"/>
          <w:color w:val="000000"/>
          <w:sz w:val="24"/>
        </w:rPr>
        <w:t xml:space="preserve">). For clarity, no Approval Milestone Payment shall be payable with respect to the second or any subsequent Collaboration Product. In addition, notwithstanding the delivery of any such notice with respect to the first Collaboration Product, RxSight shall continue to conduct the Phase 2 Regulatory Activities for the second Collaboration Product in accordance with the Development Plan.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3.3.3</w:t>
      </w:r>
    </w:p>
    <w:p>
      <w:pPr>
        <w:pStyle w:val="TextBody"/>
        <w:bidi w:val="0"/>
        <w:spacing w:before="0" w:after="240"/>
        <w:jc w:val="both"/>
        <w:rPr/>
      </w:pPr>
      <w:r>
        <w:rPr>
          <w:rFonts w:ascii="Times New Roman" w:hAnsi="Times New Roman"/>
          <w:b/>
          <w:color w:val="000000"/>
          <w:sz w:val="24"/>
        </w:rPr>
        <w:t>Failure to Continue Agreement</w:t>
      </w:r>
      <w:r>
        <w:rPr>
          <w:rFonts w:ascii="Times New Roman" w:hAnsi="Times New Roman"/>
          <w:color w:val="000000"/>
          <w:sz w:val="24"/>
        </w:rPr>
        <w:t>. If Alcon does not make the Approval Milestone Payment prior to the expiration of the Phase 2 Review Period for the first Collaboration Product that is the subject of such Phase 2 Review Period, then this Agreement shall automatically terminate in its entirety pursuant to Section 11.5.3.</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3.3.4</w:t>
      </w:r>
    </w:p>
    <w:p>
      <w:pPr>
        <w:pStyle w:val="TextBody"/>
        <w:bidi w:val="0"/>
        <w:spacing w:before="0" w:after="240"/>
        <w:jc w:val="both"/>
        <w:rPr/>
      </w:pPr>
      <w:r>
        <w:rPr>
          <w:rFonts w:ascii="Times New Roman" w:hAnsi="Times New Roman"/>
          <w:b/>
          <w:color w:val="000000"/>
          <w:sz w:val="24"/>
        </w:rPr>
        <w:t>Additional Activities Prior to Phase 2</w:t>
      </w:r>
      <w:r>
        <w:rPr>
          <w:rFonts w:ascii="Times New Roman" w:hAnsi="Times New Roman"/>
          <w:color w:val="000000"/>
          <w:sz w:val="24"/>
        </w:rPr>
        <w:t xml:space="preserve">. [***].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pPr>
      <w:r>
        <w:rPr>
          <w:rFonts w:ascii="Times New Roman" w:hAnsi="Times New Roman"/>
          <w:b/>
          <w:color w:val="000000"/>
          <w:sz w:val="24"/>
        </w:rPr>
        <w:t>Reports</w:t>
      </w:r>
      <w:r>
        <w:rPr>
          <w:rFonts w:ascii="Times New Roman" w:hAnsi="Times New Roman"/>
          <w:color w:val="000000"/>
          <w:sz w:val="24"/>
        </w:rPr>
        <w:t xml:space="preserve">. Each Party shall keep the JSC reasonably informed of its progress under the Development Plan by way of presentations at each meeting of the JSC and as otherwise set forth in the Development Plan or reasonably requested by the other Party; provided that, during the [***] following the Effective Date, RxSight shall have no obligation to provide technical updates except as expressly set forth in the Development Plan. Without limiting the foregoing, at each meeting of the JSC, each Party shall update the other Party regarding (a) the progress of Development Activities performed by it since the last JSC meeting under the Development Plan, and (b) the Data generated from such Development Activities; and in connection with the foregoing, each Party shall also make its personnel reasonably available via telephone or video conference to answer any questions raised by the other Party with respect to such updates. Each such update shall contain reasonable detail to enable the JSC to assess the Parties’ progress with respect to the Development Activities against the Development Plan. In addition, during any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period relating to a Development Report or feasibility assessment under this Agreement, Alcon may submit reasonable follow-up questions regarding the applicable Development Activities, Data, or conclusions set forth in such report, and RxSight shall respond in good faith by providing existing Data, information, analyses, and supporting materials reasonably available to it; provided that RxSight shall not be required to conduct additional Development Activities or generate new Data in response to such questions.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pPr>
      <w:r>
        <w:rPr>
          <w:rFonts w:ascii="Times New Roman" w:hAnsi="Times New Roman"/>
          <w:b/>
          <w:color w:val="000000"/>
          <w:sz w:val="24"/>
        </w:rPr>
        <w:t>Assumption of Development Activities by Alcon</w:t>
      </w:r>
      <w:r>
        <w:rPr>
          <w:rFonts w:ascii="Times New Roman" w:hAnsi="Times New Roman"/>
          <w:color w:val="000000"/>
          <w:sz w:val="24"/>
        </w:rPr>
        <w:t>. If RxSight admits, or if pursuant to Section 16.6 and 16.7 (modified such that all time periods set forth therein are reduced by [***] solely for purposes of this Section 3.5), it is finally determined, that RxSight has committed gross negligence, willful misconduct or fraud with respect to, its obligations to perform Development Activities as set forth in the Development Plan and in accordance with the terms and conditions of this Agreement and the timelines set forth in the Development Plan (each, a “</w:t>
      </w:r>
      <w:r>
        <w:rPr>
          <w:rFonts w:ascii="Times New Roman" w:hAnsi="Times New Roman"/>
          <w:b/>
          <w:color w:val="000000"/>
          <w:sz w:val="24"/>
        </w:rPr>
        <w:t>Development Breach</w:t>
      </w:r>
      <w:r>
        <w:rPr>
          <w:color w:val="000000"/>
        </w:rPr>
        <w:t>”</w:t>
      </w:r>
      <w:r>
        <w:rPr>
          <w:rFonts w:ascii="Times New Roman" w:hAnsi="Times New Roman"/>
          <w:color w:val="000000"/>
          <w:sz w:val="24"/>
        </w:rPr>
        <w:t>), then Alcon shall have the right, at Alcon’s sole election, and without limitation to any other right or remedy available to Alcon, to assume and complete some or all of the applicable Development Activities and, if Alcon so elects: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may offset up to [***] of the direct FTE costs (including reasonably allocated overhead costs in accordance with Alcon’s Accounting Standard) and out-of-pocket costs reasonably incurred by Alcon in performing such Development Activities in accordance with the Development Plan against all amounts payable (including Milestone Payments, royalties or other payments) by Alcon or its Affiliates to RxSight under this Agreement, up to an aggregate amount of [***];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3.5.2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requested by Alcon in writing, RxSight shall promptly transfer control to Alcon or its designee of the applicable Development Activities and cooperate with Alcon to ensure a smooth and orderly transition thereof, including by: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pPr>
      <w:r>
        <w:rPr>
          <w:rFonts w:ascii="Times New Roman" w:hAnsi="Times New Roman"/>
          <w:b/>
          <w:color w:val="000000"/>
          <w:sz w:val="24"/>
        </w:rPr>
        <w:t>Collaboration Product Changes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3.6.1</w:t>
      </w:r>
    </w:p>
    <w:p>
      <w:pPr>
        <w:pStyle w:val="TextBody"/>
        <w:bidi w:val="0"/>
        <w:spacing w:before="0" w:after="240"/>
        <w:jc w:val="both"/>
        <w:rPr/>
      </w:pPr>
      <w:r>
        <w:rPr>
          <w:rFonts w:ascii="Times New Roman" w:hAnsi="Times New Roman"/>
          <w:b/>
          <w:color w:val="000000"/>
          <w:sz w:val="24"/>
        </w:rPr>
        <w:t>Minor Upgrades</w:t>
      </w:r>
      <w:r>
        <w:rPr>
          <w:rFonts w:ascii="Times New Roman" w:hAnsi="Times New Roman"/>
          <w:color w:val="000000"/>
          <w:sz w:val="24"/>
        </w:rPr>
        <w:t xml:space="preserve">. Each Party shall provide the other Party with reasonable advance written notice of any proposed Minor Upgrade that such Party desires to incorporate into a Hybrid PanOptix Product or Hybrid Vivity Product, as applicable, and shall supply updated Materials incorporating such Minor Upgrade to the other Party for such Party’s review and consideration. With respect to any Minor Upgrade proposed by Alcon, Alcon shall have the right, in its sole discretion, to direct that such Minor Upgrade be incorporated into the applicable Collaboration Product. With respect to any Minor Upgrade proposed by either Party, the JSC shall promptly convene to discuss and finalize an appropriate written plan for the implementation of such Minor Upgrade, including the sections that set forth the applicable technical, regulatory, commercial and market implementation approach, Development activities, timeline,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responsibilities and budget (each a “</w:t>
      </w:r>
      <w:r>
        <w:rPr>
          <w:rFonts w:ascii="Times New Roman" w:hAnsi="Times New Roman"/>
          <w:b/>
          <w:color w:val="000000"/>
          <w:sz w:val="24"/>
        </w:rPr>
        <w:t>Minor Upgrade Development Plan</w:t>
      </w:r>
      <w:r>
        <w:rPr>
          <w:color w:val="000000"/>
        </w:rPr>
        <w:t>”</w:t>
      </w:r>
      <w:r>
        <w:rPr>
          <w:rFonts w:ascii="Times New Roman" w:hAnsi="Times New Roman"/>
          <w:color w:val="000000"/>
          <w:sz w:val="24"/>
        </w:rPr>
        <w:t>). Each Minor Upgrade Development Plan shall provide for RxSight to conduct the Development activities necessary to implement the Minor Upgrade in a manner that minimizes disruptions to RxSight’s Manufacturing obligations under this Agreement. RxSight, as the holder of the applicable Regulatory Approvals (including any PMA), shall have primary responsibility for making an initial proposal regarding the regulatory strategy and pathway for any Minor Upgrade, with Alcon providing reasonable input, and the Parties shall collaborate in good faith with respect thereto (it being understood that any decision regarding the regulatory strategy and pathway shall be made by mutual agreement). The allocation of costs and expenses associated with the activities under each Minor Upgrade Development Plan shall be agreed in writing by the Parties. Each Party agrees not to unreasonably withhold, condition or delay agreement on each Minor Upgrade Development Plan.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3.6.2</w:t>
      </w:r>
    </w:p>
    <w:p>
      <w:pPr>
        <w:pStyle w:val="TextBody"/>
        <w:bidi w:val="0"/>
        <w:spacing w:before="0" w:after="240"/>
        <w:jc w:val="both"/>
        <w:rPr/>
      </w:pPr>
      <w:r>
        <w:rPr>
          <w:rFonts w:ascii="Times New Roman" w:hAnsi="Times New Roman"/>
          <w:b/>
          <w:color w:val="000000"/>
          <w:sz w:val="24"/>
        </w:rPr>
        <w:t>Material Upgrades; Next-Generation Products</w:t>
      </w:r>
      <w:r>
        <w:rPr>
          <w:rFonts w:ascii="Times New Roman" w:hAnsi="Times New Roman"/>
          <w:color w:val="000000"/>
          <w:sz w:val="24"/>
        </w:rPr>
        <w:t>. Each Party shall provide the other Party with reasonable advance written notice of (a) any Material Upgrade that it proposes to incorporate into a Hybrid PanOptix Product or Hybrid Vivity Product, as applicable, or (b) any proposal to Develop a new or next-generation version of a Collaboration Product, including any version incorporating Improvements to the Alcon Technology or RxSight Technology, pursuant to which the Parties would collaborate to Develop, Manufacture and Commercialize such product (each, a “</w:t>
      </w:r>
      <w:r>
        <w:rPr>
          <w:rFonts w:ascii="Times New Roman" w:hAnsi="Times New Roman"/>
          <w:b/>
          <w:color w:val="000000"/>
          <w:sz w:val="24"/>
        </w:rPr>
        <w:t>Product Evolution</w:t>
      </w:r>
      <w:r>
        <w:rPr>
          <w:color w:val="000000"/>
        </w:rPr>
        <w:t>”</w:t>
      </w:r>
      <w:r>
        <w:rPr>
          <w:rFonts w:ascii="Times New Roman" w:hAnsi="Times New Roman"/>
          <w:color w:val="000000"/>
          <w:sz w:val="24"/>
        </w:rPr>
        <w:t>). Such notice shall include a reasonably detailed description of the proposed Material Upgrade or Product Evolution. Following such notice, the Parties shall discuss in good faith, through the JSC, whether and on what terms such Material Upgrade or Product Evolution should be incorporated into a Collaboration Product, including (i) the creation of a new written plan, (ii) allocation of financial responsibility for Development costs, (iii) any required updates to the Manufacturing and Supply Agreement, and (iv) any regulatory strategy and implications. The incorporation of any such Material Upgrade or Product Evolution into a Collaboration Product, and the terms applicable thereto, shall require the prior written agreement of both Parties.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GOVERNANCE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b/>
          <w:color w:val="000000"/>
          <w:sz w:val="24"/>
        </w:rPr>
        <w:t>Alliance Managers</w:t>
      </w:r>
      <w:r>
        <w:rPr>
          <w:rFonts w:ascii="Times New Roman" w:hAnsi="Times New Roman"/>
          <w:color w:val="000000"/>
          <w:sz w:val="24"/>
        </w:rPr>
        <w:t>. Within [***] following the Effective Date, each Party shall designate a single alliance manager for all of the activities contemplated under this Agreement (each, an “</w:t>
      </w:r>
      <w:r>
        <w:rPr>
          <w:rFonts w:ascii="Times New Roman" w:hAnsi="Times New Roman"/>
          <w:b/>
          <w:color w:val="000000"/>
          <w:sz w:val="24"/>
        </w:rPr>
        <w:t>Alliance Manager</w:t>
      </w:r>
      <w:r>
        <w:rPr>
          <w:color w:val="000000"/>
        </w:rPr>
        <w:t>”</w:t>
      </w:r>
      <w:r>
        <w:rPr>
          <w:rFonts w:ascii="Times New Roman" w:hAnsi="Times New Roman"/>
          <w:color w:val="000000"/>
          <w:sz w:val="24"/>
        </w:rPr>
        <w:t>) who shall have sufficient seniority, experience and knowledge appropriate for managers with such alliance management responsibilities. Such Alliance Managers will be responsible for the day-to-day worldwide coordination of the collaboration contemplated by this Agreement and will serve to facilitate communication between the Parties. In addition, the Alliance Managers shall be responsible for calling JSC meetings, preparing and circulating an agenda in advance of each meeting, and preparing and issuing minutes of each meeting. Each Party may change its designated Alliance Manager from time to time upon notice (</w:t>
      </w:r>
      <w:r>
        <w:rPr>
          <w:rFonts w:ascii="Times New Roman" w:hAnsi="Times New Roman"/>
          <w:i/>
          <w:color w:val="000000"/>
          <w:sz w:val="24"/>
        </w:rPr>
        <w:t>e.g.</w:t>
      </w:r>
      <w:r>
        <w:rPr>
          <w:rFonts w:ascii="Times New Roman" w:hAnsi="Times New Roman"/>
          <w:color w:val="000000"/>
          <w:sz w:val="24"/>
        </w:rPr>
        <w:t>, by e-mail) to the other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b/>
          <w:color w:val="000000"/>
          <w:sz w:val="24"/>
        </w:rPr>
        <w:t>JSC</w:t>
      </w:r>
      <w:r>
        <w:rPr>
          <w:rFonts w:ascii="Times New Roman" w:hAnsi="Times New Roman"/>
          <w:color w:val="000000"/>
          <w:sz w:val="24"/>
        </w:rPr>
        <w:t>. The Parties will establish a joint steering committee (the “</w:t>
      </w:r>
      <w:r>
        <w:rPr>
          <w:rFonts w:ascii="Times New Roman" w:hAnsi="Times New Roman"/>
          <w:b/>
          <w:color w:val="000000"/>
          <w:sz w:val="24"/>
        </w:rPr>
        <w:t>JSC</w:t>
      </w:r>
      <w:r>
        <w:rPr>
          <w:color w:val="000000"/>
        </w:rPr>
        <w:t>”</w:t>
      </w:r>
      <w:r>
        <w:rPr>
          <w:rFonts w:ascii="Times New Roman" w:hAnsi="Times New Roman"/>
          <w:color w:val="000000"/>
          <w:sz w:val="24"/>
        </w:rPr>
        <w:t xml:space="preserve">), composed of two (2) senior personnel of each Party, each of whom will have the appropriate experience and expertise to perform its responsibilities on the JSC. Each Party shall designate one (1) of its representatives from time to time to submit such Party’s vote with respect to matters within the responsibilities of the JSC. Within [***] following the Effective Date, each Party will designate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its initial members to serve on the JSC and notify the other Party in writing of the dates of availability for the first meeting of the JSC. Each Party may replace its representatives on the JSC on written notice to the other Party. The JSC will have the following responsibilities: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provide a forum by which the Parties may share information regarding the overall strategy for the conduct of Development Activities under the Development Plan;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discuss, monitor and coordinate all activities under the Development Plan, including discussing the deliverables required in the Phase 1 section of the Development Plan and discussing whether the success criteria specified in the Phase 1 section of the Development Plan have been met;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discuss and approve updates or amendments to the Development Plan on a periodic basis (and in no event less frequently than once each Calendar Quarter) and consider any proposed updates, amendments or modifications submitted by either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discuss the Development Proposal for Phase 2 Regulatory Activities;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least a quarterly basis, review and assess the progress of Development Activities against the Development Plan, including the Data generated and deliverables to be provided thereunder;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discuss whether to move forward with any Additional Activities (including any Clinical Trials) and approve the details of such Additional Activities, including the design any Clinical Trial, the protocol and approve the incorporation of such activities into the Development Plan, in each case in accordance with Section 3.3.4;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discuss, prepare and approve Minor Upgrade Development Plans in accordance with Section 3.6.1;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discuss whether and on what terms any Material Upgrade or Product Evolution should be incorporated into a Collaboration Product pursuant to Section 3.6.2, including the preparation of a written plan for implementation of such Material Upgrade;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discuss the anticipated date on which each Collaboration Product will receive Regulatory Approval, in accordance with Section 1.5 of the Manufacturing and Supply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discuss training protocols for the LDD, and discuss and agree on training protocols for the Collaboration Products, Injector Systems, and Glasses, in each case in accordance with Section 6.5 of this Agreement;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4.2.11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 such other functions as may be assigned to the JSC pursuant to this Agreement or as may be mutually agreed upon by the Parties in writing.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b/>
          <w:color w:val="000000"/>
          <w:sz w:val="24"/>
        </w:rPr>
        <w:t>JSC Decision Making</w:t>
      </w:r>
      <w:r>
        <w:rPr>
          <w:rFonts w:ascii="Times New Roman" w:hAnsi="Times New Roman"/>
          <w:color w:val="000000"/>
          <w:sz w:val="24"/>
        </w:rPr>
        <w:t xml:space="preserve">. The Parties shall cause their respective members of the JSC to collaborate with one another, and perform their responsibilities under Section 4.2, in good faith. The JSC will make decisions regarding matters within its responsibilities under Section 4.2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unanimously, with each Party’s representatives collectively having one (1) vote, which vote shall be submitted on behalf of such Party by the representative designated by that Party from time to time pursuant to Section 4.2. In the event the JSC cannot reach agreement regarding any matter within the JSC’s responsibilities under Section 4.2 (“</w:t>
      </w:r>
      <w:r>
        <w:rPr>
          <w:rFonts w:ascii="Times New Roman" w:hAnsi="Times New Roman"/>
          <w:b/>
          <w:color w:val="000000"/>
          <w:sz w:val="24"/>
        </w:rPr>
        <w:t>JSC Dispute</w:t>
      </w:r>
      <w:r>
        <w:rPr>
          <w:color w:val="000000"/>
        </w:rPr>
        <w:t>”</w:t>
      </w:r>
      <w:r>
        <w:rPr>
          <w:rFonts w:ascii="Times New Roman" w:hAnsi="Times New Roman"/>
          <w:color w:val="000000"/>
          <w:sz w:val="24"/>
        </w:rPr>
        <w:t>), such JSC Dispute shall first be referred for discussion and agreement between the Alliance Managers for a period of [***]. If the Alliance Managers are unable to reach agreement and recommend such agreement to the JSC as to such matter within [***], then either Party may elect to submit such JSC Dispute to the Parties’ Executive Officers, and if a Party makes an election to refer a matter to the Executive Officers, then the Executive Officers will use good faith efforts to promptly resolve JSC Dispute. If the Executive Officers are unable to reach consensus on any such JSC Dispute within [***] after its submission to them, then Alcon will have final decision-making authority with respect to such JSC Dispute; provided that, in exercising such authority, Alcon may not: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b/>
          <w:color w:val="000000"/>
          <w:sz w:val="24"/>
        </w:rPr>
        <w:t>Limitation on Authority</w:t>
      </w:r>
      <w:r>
        <w:rPr>
          <w:rFonts w:ascii="Times New Roman" w:hAnsi="Times New Roman"/>
          <w:color w:val="000000"/>
          <w:sz w:val="24"/>
        </w:rPr>
        <w:t>. Each Party shall retain the rights, powers and discretion granted to it under this Agreement and no such rights, powers or discretion shall be delegated to or vested in the JSC unless such delegation or vesting of rights is expressly provided for in this Agreement or the Parties expressly so agree in writing. The JSC shall not have the power to amend, modify or waive compliance with this Agreement or decide any issue in a manner that would conflict with the express terms and conditions of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b/>
          <w:color w:val="000000"/>
          <w:sz w:val="24"/>
        </w:rPr>
        <w:t>Meetings</w:t>
      </w:r>
      <w:r>
        <w:rPr>
          <w:rFonts w:ascii="Times New Roman" w:hAnsi="Times New Roman"/>
          <w:color w:val="000000"/>
          <w:sz w:val="24"/>
        </w:rPr>
        <w:t>. The JSC shall hold meetings at such times as the Parties shall mutually determine, but in no event shall such meetings be held less frequently than once every Calendar Quarter. JSC meetings may be held in person or by audio or video teleconference, as may be agreed by the Parties. All in-person meetings shall alternate between locations designated by each Party. Each Party shall be solely responsible for the costs and expenses incurred by its representatives in attending any JSC meeting. No action taken or decision made at any JSC meeting shall be effective unless at least one (1) representative of each Party is participating. Each Party may from time to time invite a reasonable number of participants, in addition to its representatives, to attend JSC meetings in a non</w:t>
        <w:noBreakHyphen/>
        <w:t>voting capacity; provided,</w:t>
      </w:r>
      <w:r>
        <w:rPr>
          <w:color w:val="000000"/>
        </w:rPr>
        <w:t xml:space="preserve"> </w:t>
      </w:r>
      <w:r>
        <w:rPr>
          <w:rFonts w:ascii="Times New Roman" w:hAnsi="Times New Roman"/>
          <w:color w:val="000000"/>
          <w:sz w:val="24"/>
        </w:rPr>
        <w:t>that if either Party intends to have any Third Party attend such a meeting, then such Party shall provide at least [***] prior written notice to the other Party and obtain the other Party’s approval for such Third Party to attend such meeting, which approval shall not be unreasonably withheld, conditioned, or delayed. Such Party shall ensure that such Third Party is bound by confidentiality and non-use obligations consistent with the terms of this Agreement prior to attending such meeting.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rFonts w:ascii="Times New Roman" w:hAnsi="Times New Roman"/>
          <w:b/>
          <w:color w:val="000000"/>
          <w:sz w:val="24"/>
        </w:rPr>
        <w:t>Duration of JSC</w:t>
      </w:r>
      <w:r>
        <w:rPr>
          <w:rFonts w:ascii="Times New Roman" w:hAnsi="Times New Roman"/>
          <w:color w:val="000000"/>
          <w:sz w:val="24"/>
        </w:rPr>
        <w:t>. The JSC will continue to exist until receipt of Regulatory Approval or until there is no longer a Collaboration Product under Development by RxSight, unless the Parties mutually agree to disband the JSC earlier. Upon disbandment of the JSC, any information required to be provided to the JSC under this Agreement shall be provided directly between the Parties, any meetings of the JSC shall be held instead between the appropriate subject matter experts of each Party, and any other matters required to be referred to or decided by the JSC shall be referred to such subject matter experts.</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TECHNOLOGY DISCLOSURE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b/>
          <w:color w:val="000000"/>
          <w:sz w:val="24"/>
        </w:rPr>
        <w:t>Technology Disclosure</w:t>
      </w:r>
      <w:r>
        <w:rPr>
          <w:color w:val="000000"/>
        </w:rPr>
        <w:t xml:space="preserve"> </w:t>
      </w:r>
      <w:r>
        <w:rPr>
          <w:rFonts w:ascii="Times New Roman" w:hAnsi="Times New Roman"/>
          <w:color w:val="000000"/>
          <w:sz w:val="24"/>
        </w:rPr>
        <w:t>TC "3.1 Technology Transfer" \f C \l "2" . Promptly (and in any event, within [***]) after the end of the Development Term, or if earlier requested by Alcon pursuant to Section 3.4 or Section 16.9.2 (such date, the “</w:t>
      </w:r>
      <w:r>
        <w:rPr>
          <w:rFonts w:ascii="Times New Roman" w:hAnsi="Times New Roman"/>
          <w:b/>
          <w:color w:val="000000"/>
          <w:sz w:val="24"/>
        </w:rPr>
        <w:t>Transition Date</w:t>
      </w:r>
      <w:r>
        <w:rPr>
          <w:color w:val="000000"/>
        </w:rPr>
        <w:t>”</w:t>
      </w:r>
      <w:r>
        <w:rPr>
          <w:rFonts w:ascii="Times New Roman" w:hAnsi="Times New Roman"/>
          <w:color w:val="000000"/>
          <w:sz w:val="24"/>
        </w:rPr>
        <w:t>), RxSight shall, and shall cause its Affiliates to, at its sole cost and expense, provide to Alcon (or its designees) true, complete and correct copies of all Data, Regulatory Documentation, and other Know-How in RxSight’s or any of its Affiliates’ possession or control that is necessary to enable Alcon (and its designees) to Commercialize the Collaboration Products, in each case to the extent not previously provided to Alcon. Following such transfer, RxSight shall, and shall cause its Affiliates to, on a continuing basis during the Term, promptly disclose and deliver to Alcon any additional Data, Regulatory Documentation or other Know-How that comes into existence after the Transition Date and is necessary to enable Alcon (and its designees) to Commercialize the Collaboration Products. For the avoidance of doubt, the foregoing obligations shall not require RxSight to transfer or disclose any RxSight Platform Technology. All transfers and disclosures under this Section 5.1 shall be made in English, via a secure file transfer service and in a format designated by and reasonably acceptable to Alcon.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b/>
          <w:color w:val="000000"/>
          <w:sz w:val="24"/>
        </w:rPr>
        <w:t>Technical Assistance</w:t>
      </w:r>
      <w:r>
        <w:rPr>
          <w:rFonts w:ascii="Times New Roman" w:hAnsi="Times New Roman"/>
          <w:color w:val="000000"/>
          <w:sz w:val="24"/>
        </w:rPr>
        <w:t xml:space="preserve">. Upon Alcon’s reasonable request, RxSight shall, at its sole cost and expense, provide reasonable technical assistance to Alcon in connection with understanding and using any Data, Regulatory Documentation or other Know-How disclosed pursuant to this Article 5, including by (a) making its employees, and using reasonable efforts to make its non-employee consultants, reasonably available to consult with Alcon on issues arising in the course of Alcon’s Commercialization of the Collaboration Products or in connection with any request related to a Collaboration Product from any Regulatory Authority, including regulatory, scientific, technical and pre-clinical or clinical testing issues, and (b) if requested by Alcon, furnishing such assistance on-site at the facilities of Alcon or its designee.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COMMERCIALIZATION, REGULATORY AND MANUFACTURING</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6.1.1</w:t>
      </w:r>
    </w:p>
    <w:p>
      <w:pPr>
        <w:pStyle w:val="TextBody"/>
        <w:bidi w:val="0"/>
        <w:spacing w:before="0" w:after="240"/>
        <w:jc w:val="both"/>
        <w:rPr/>
      </w:pPr>
      <w:r>
        <w:rPr>
          <w:rFonts w:ascii="Times New Roman" w:hAnsi="Times New Roman"/>
          <w:b/>
          <w:color w:val="000000"/>
          <w:sz w:val="24"/>
        </w:rPr>
        <w:t>Commercialization</w:t>
      </w:r>
      <w:r>
        <w:rPr>
          <w:rFonts w:ascii="Times New Roman" w:hAnsi="Times New Roman"/>
          <w:color w:val="000000"/>
          <w:sz w:val="24"/>
        </w:rPr>
        <w:t>. Upon RxSight’s obtaining Regulatory Approval for each Collaboration Product, and subject to RxSight’s receipt of the Approval Milestone Payment, Alcon (itself or through its Affiliates or its or their Sublicensees or other Third Parties (including by contract sales forces or distributors)) shall have (a) the sole right, at its sole cost and expense, to Commercialize Collaboration Products in the Field in the Territory, and (b) the sole authority and discretion to make and control any and all decisions (or take any and all actions) with respect to Commercialization of Collaboration Products in the Territory. [***].</w:t>
      </w:r>
      <w:r>
        <w:rPr>
          <w:color w:val="000000"/>
        </w:rPr>
        <w:t xml:space="preserve"> </w:t>
      </w:r>
      <w:r>
        <w:rPr>
          <w:rFonts w:ascii="Times New Roman" w:hAnsi="Times New Roman"/>
          <w:color w:val="000000"/>
          <w:sz w:val="24"/>
        </w:rPr>
        <w:t>Notwithstanding the license grants under Section 2.1.2 as of the Effective Date, on a Collaboration Product-by-Collaboration Product basis, Alcon has no right to, and will not, Commercialize such Collaboration Product in the United States unless and until RxSight has obtained Regulatory Approval for such Collaboration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pPr>
      <w:r>
        <w:rPr>
          <w:rFonts w:ascii="Times New Roman" w:hAnsi="Times New Roman"/>
          <w:b/>
          <w:color w:val="000000"/>
          <w:sz w:val="24"/>
        </w:rPr>
        <w:t>Regulatory</w:t>
      </w: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w:t>
      </w:r>
      <w:r>
        <w:rPr>
          <w:color w:val="000000"/>
        </w:rPr>
        <w:t xml:space="preserve"> </w:t>
      </w:r>
      <w:r>
        <w:rPr>
          <w:rFonts w:ascii="Times New Roman" w:hAnsi="Times New Roman"/>
          <w:color w:val="000000"/>
          <w:sz w:val="24"/>
        </w:rPr>
        <w:t>Except as otherwise expressly provided in this Agreement and subject to the other terms and conditions of this Agreement, RxSight shall have sole right and responsibility for conducting regulatory activities for Collaboration Products in the United States in accordance with this Agreement (and the Development Plan prior to Regulatory Approval for each Collaboration Product). Nothing in this Agreement shall be construed as requiring RxSight to conduct (a) subject to Section 6.2.3, any regulatory activities outside of the United States, or (b) any Clinical Trial for a Collaboration Product, in each case (a)-(b) unless mutually agreed to in writing by the Parties. RxSight shall (i) own all right, title and interest in and to any and all Regulatory Documentation (including all Regulatory Approvals) for all Collaboration Products in the United States, and all such Regulatory Documentation will be held in the name of RxSight or its designated Affiliate or other designee, (ii) diligently prepare, submit and maintain all Regulatory Documentation (including obtaining and maintaining Regulatory Approvals) for the Collaboration Products, and (iii) be responsible for all interactions with the applicable Regulatory Authorities (including written communications and meetings with Regulatory Authorities, safety management and adverse event reporting to the appropriate Governmental Authorities) relating to the Collaboration Products. RxSight shall submit a draft of any Regulatory Documentation for a Collaboration Product in the United States to Alcon for Alcon’s review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6.2.2</w:t>
      </w:r>
    </w:p>
    <w:p>
      <w:pPr>
        <w:pStyle w:val="TextBody"/>
        <w:bidi w:val="0"/>
        <w:spacing w:before="0" w:after="240"/>
        <w:jc w:val="both"/>
        <w:rPr/>
      </w:pPr>
      <w:r>
        <w:rPr>
          <w:rFonts w:ascii="Times New Roman" w:hAnsi="Times New Roman"/>
          <w:b/>
          <w:color w:val="000000"/>
          <w:sz w:val="24"/>
        </w:rPr>
        <w:t>Submission of First Regulatory Approval</w:t>
      </w:r>
      <w:r>
        <w:rPr>
          <w:rFonts w:ascii="Times New Roman" w:hAnsi="Times New Roman"/>
          <w:color w:val="000000"/>
          <w:sz w:val="24"/>
        </w:rPr>
        <w:t>. Notwithstanding anything this Agreement, including Section 6.2.1, prior to RxSight’s submission of a Regulatory Approval for the first Collaboration Product, RxSight shall deliver such submission to Alcon in writing at least [***] prior to such submission (provided, that RxSight may omit or redact any RxSight Platform Technology or other confidential and commercially sensitive information of RxSight and its Affiliates). Alcon shall have the right to review and comment on such submission during such [***] period, and RxSight shall consider such comments in good faith.</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6.2.3</w:t>
      </w:r>
    </w:p>
    <w:p>
      <w:pPr>
        <w:pStyle w:val="TextBody"/>
        <w:bidi w:val="0"/>
        <w:spacing w:before="0" w:after="240"/>
        <w:jc w:val="both"/>
        <w:rPr/>
      </w:pPr>
      <w:r>
        <w:rPr>
          <w:rFonts w:ascii="Times New Roman" w:hAnsi="Times New Roman"/>
          <w:b/>
          <w:color w:val="000000"/>
          <w:sz w:val="24"/>
        </w:rPr>
        <w:t>Ex-U.S. Expansion</w:t>
      </w:r>
      <w:r>
        <w:rPr>
          <w:rFonts w:ascii="Times New Roman" w:hAnsi="Times New Roman"/>
          <w:color w:val="000000"/>
          <w:sz w:val="24"/>
        </w:rPr>
        <w:t>. If Alcon desires to expand Commercialization of a Collaboration Product into one or more countries outside the United States, Alcon shall notify RxSight in writing and the Parties shall discuss in good faith the respective regulatory roles and responsibilities of each Party in connection with obtaining Regulatory Approval for such Collaboration Product in such country or countries (including the allocation of associated costs and expenses). If the Parties are unable to reach agreement on such regulatory roles and responsibilities, or if RxSight does not wish to participate in such regulatory activities, Alcon shall have the right to determine, in its reasonable discretion, whether to proceed with such regulatory activities; provided that the details of such regulatory activities must be mutually agreed in writing by the Parties through the JSC, taking into account the cost of such activities, the resources of the Parties and potential impacts of such regulatory activities on the Alcon Technology and RxSight Technology, and on the other products of the Parties; and provided further that RxSight will not unreasonably withhold its consent to details proposed by Alcon. Alcon shall reimburse RxSight for RxSight’s reasonable costs and expenses incurred in executing such regulatory activities. RxSight will be the holder of Regulatory Approvals in all countries except where it is not permitted by Applicable Law or where RxSight otherwise agrees.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6.2.4</w:t>
      </w:r>
    </w:p>
    <w:p>
      <w:pPr>
        <w:pStyle w:val="TextBody"/>
        <w:bidi w:val="0"/>
        <w:spacing w:before="0" w:after="240"/>
        <w:jc w:val="both"/>
        <w:rPr/>
      </w:pPr>
      <w:r>
        <w:rPr>
          <w:rFonts w:ascii="Times New Roman" w:hAnsi="Times New Roman"/>
          <w:b/>
          <w:color w:val="000000"/>
          <w:sz w:val="24"/>
        </w:rPr>
        <w:t>Right of Reference</w:t>
      </w:r>
      <w:r>
        <w:rPr>
          <w:rFonts w:ascii="Times New Roman" w:hAnsi="Times New Roman"/>
          <w:color w:val="000000"/>
          <w:sz w:val="24"/>
        </w:rPr>
        <w:t xml:space="preserve">. Alcon hereby grants, on behalf of itself and its Affiliates, to RxSight and its Affiliates and Sublicensees a right of reference, and any other authorization to incorporate by reference, to Regulatory Documentation submitted by Alcon or its Affiliates to any Regulatory Authority with respect to any Existing PanOptix Products and Existing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Vivity Products (each, a “</w:t>
      </w:r>
      <w:r>
        <w:rPr>
          <w:rFonts w:ascii="Times New Roman" w:hAnsi="Times New Roman"/>
          <w:b/>
          <w:color w:val="000000"/>
          <w:sz w:val="24"/>
        </w:rPr>
        <w:t>Right of Reference</w:t>
      </w:r>
      <w:r>
        <w:rPr>
          <w:color w:val="000000"/>
        </w:rPr>
        <w:t>”</w:t>
      </w:r>
      <w:r>
        <w:rPr>
          <w:rFonts w:ascii="Times New Roman" w:hAnsi="Times New Roman"/>
          <w:color w:val="000000"/>
          <w:sz w:val="24"/>
        </w:rPr>
        <w:t>) solely to the extent necessary or reasonably useful for obtaining or maintaining Regulatory Approval for a Collaboration Product in accordance with the Development Plan. For the avoidance of doubt, such Right of Reference granted herein does not grant RxSight or any of its Affiliates or Sublicensees [***]. If requested by RxSight, Alcon shall provide a signed statement that authorizes such Right of Reference granted to RxSight and its Affiliates under this Section 6.2.4 if required by Applicable Laws or the Regulatory Authority in the applicable country or jurisdiction. In the event that any Affiliate, licensee or Third Party distributor of Alcon holds any Regulatory Documentation to which RxSight and its Affiliates is granted a Right of Reference under this Section 6.2.4, Alcon shall cause such Affiliate, Sublicensee or Third Party distributor to grant a Right of Reference to RxSight and its Affiliates to the same extent that Alcon is granting such Right of Reference under this Section 6.2.4. [***]. In the event of a termination of this Agreement pursuant to which Section 12.7 applies, this Section 6.2.4 shall survive such termination during the Reversion Term.</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6.2.5</w:t>
      </w:r>
    </w:p>
    <w:p>
      <w:pPr>
        <w:pStyle w:val="TextBody"/>
        <w:bidi w:val="0"/>
        <w:spacing w:before="0" w:after="240"/>
        <w:jc w:val="both"/>
        <w:rPr/>
      </w:pPr>
      <w:r>
        <w:rPr>
          <w:rFonts w:ascii="Times New Roman" w:hAnsi="Times New Roman"/>
          <w:b/>
          <w:color w:val="000000"/>
          <w:sz w:val="24"/>
        </w:rPr>
        <w:t>Clinical Trial Disclosures</w:t>
      </w:r>
      <w:r>
        <w:rPr>
          <w:rFonts w:ascii="Times New Roman" w:hAnsi="Times New Roman"/>
          <w:color w:val="000000"/>
          <w:sz w:val="24"/>
        </w:rPr>
        <w:t>. The Parties shall jointly determine the appropriate timing for publicly disclosing the existence of, and the results from, any Clinical Trials conducted for a Collaboration Product, provided</w:t>
      </w:r>
      <w:r>
        <w:rPr>
          <w:color w:val="000000"/>
        </w:rPr>
        <w:t xml:space="preserve"> </w:t>
      </w:r>
      <w:r>
        <w:rPr>
          <w:rFonts w:ascii="Times New Roman" w:hAnsi="Times New Roman"/>
          <w:color w:val="000000"/>
          <w:sz w:val="24"/>
        </w:rPr>
        <w:t>that neither Party may withhold its consent to permit public disclosure of the existence of or any results from any Clinical Trials conducted for a Collaboration Product if such public disclosure is necessary (in the reasonable opinion of counsel) for a Party to comply with Applicable Laws (including rules of any stock exchange).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6.2.6</w:t>
      </w:r>
    </w:p>
    <w:p>
      <w:pPr>
        <w:pStyle w:val="TextBody"/>
        <w:bidi w:val="0"/>
        <w:spacing w:before="0" w:after="240"/>
        <w:jc w:val="both"/>
        <w:rPr/>
      </w:pPr>
      <w:r>
        <w:rPr>
          <w:rFonts w:ascii="Times New Roman" w:hAnsi="Times New Roman"/>
          <w:b/>
          <w:color w:val="000000"/>
          <w:sz w:val="24"/>
        </w:rPr>
        <w:t>Recalls</w:t>
      </w:r>
      <w:r>
        <w:rPr>
          <w:rFonts w:ascii="Times New Roman" w:hAnsi="Times New Roman"/>
          <w:color w:val="000000"/>
          <w:sz w:val="24"/>
        </w:rPr>
        <w:t xml:space="preserve">. On and after the First Commercial Sale of a Collaboration Product, if a Material Safety Issue has occurred, RxSight shall have the sole right to determine whether to initiate a recall, market withdrawal, or any other field safety corrective action of any affected Collaboration Product, provided that RxSight shall reasonably consult with Alcon on such determination. RxSight shall have ultimate responsibility for and control over the conduct any recall or market withdrawal of any such Collaboration Product or other corrective action in any country in the Territory and the manner in which any such recall, market withdrawal or corrective action shall be conducted, provided that Alcon shall be responsible for the implementing thereof and Alcon shall, and shall cause its Affiliates to, reasonably support and cooperate with RxSight, as may be reasonably requested by RxSight, in conducting any such recall, market withdrawal or corrective action. If Alcon believes that a recall, market withdrawal, or any other field safety corrective action should be initiated, Alcon shall provide RxSight with prompt written notice of such requirement and the proposed scope of such action and RxSight shall consider such information in good faith. In the event that any recall, market withdrawal or field safety corrective action with respect to a Collaboration Product is initiated pursuant to this Section 6.2.6 and is primarily attributable to RxSight, RxSight shall reimburse Alcon for all reasonable, documented out-of-pocket costs and expenses incurred by Alcon in connection with such recall, market withdrawal or field safety corrective action. Alcon shall have the right to offset any such reimbursable amounts against any Royalties owed to RxSight under this Agreement. For purposes hereof, a recall, market withdrawal or field safety corrective action shall be deemed “primarily attributable to RxSight” if it [***]. If a [***] is initiated with respect to a Collaboration Product and the reason for such recall is not solely attributable to Alcon or Alcon Technology, then the Minimum Royalty Payment obligations set forth in Section 7.3.3 (to the extent still applicable) for such Collaboration Product shall be suspended for the period beginning on the date such [***] is initiated and ending on the date on which Net Sales volumes for such Collaboration Product return to levels substantially consistent with the Net Sales volumes achieved immediately prior to such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as reasonably determined by the Parties in good faith. Any Minimum Royalty Payment shortfall for the Calendar Year in which such suspension occurs shall be prorated to exclude the period of such suspension.</w:t>
      </w:r>
      <w:r>
        <w:rPr>
          <w:color w:val="000000"/>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6.2.7</w:t>
      </w:r>
    </w:p>
    <w:p>
      <w:pPr>
        <w:pStyle w:val="TextBody"/>
        <w:bidi w:val="0"/>
        <w:spacing w:before="0" w:after="240"/>
        <w:jc w:val="both"/>
        <w:rPr/>
      </w:pPr>
      <w:r>
        <w:rPr>
          <w:rFonts w:ascii="Times New Roman" w:hAnsi="Times New Roman"/>
          <w:b/>
          <w:color w:val="000000"/>
          <w:sz w:val="24"/>
        </w:rPr>
        <w:t>Materiovigilance Agreement</w:t>
      </w:r>
      <w:r>
        <w:rPr>
          <w:rFonts w:ascii="Times New Roman" w:hAnsi="Times New Roman"/>
          <w:color w:val="000000"/>
          <w:sz w:val="24"/>
        </w:rPr>
        <w:t>. The Parties shall cooperate with respect to the reporting and handling of safety and vigilance information involving or relating to the Collaboration Products to the extent required by Applicable Laws. Promptly following Alcon’s payment of the Approval Milestone Payment, the Parties shall enter into a written agreement containing customary terms that will govern the exchange of adverse events and other safety and vigilance information reporting obligations relating to the Collaboration Products (the “</w:t>
      </w:r>
      <w:r>
        <w:rPr>
          <w:rFonts w:ascii="Times New Roman" w:hAnsi="Times New Roman"/>
          <w:b/>
          <w:color w:val="000000"/>
          <w:sz w:val="24"/>
        </w:rPr>
        <w:t>Materiovigilance Agreement</w:t>
      </w:r>
      <w:r>
        <w:rPr>
          <w:color w:val="000000"/>
        </w:rPr>
        <w:t>”</w:t>
      </w:r>
      <w:r>
        <w:rPr>
          <w:rFonts w:ascii="Times New Roman" w:hAnsi="Times New Roman"/>
          <w:color w:val="000000"/>
          <w:sz w:val="24"/>
        </w:rPr>
        <w:t>) to ensure that such adverse events, incidents and other safety and vigilance information are timely exchanged and reported to the relevant Regulatory Authorities in compliance with Applicable Laws and the requirements of Regulatory Authorities. In the event that a Materiovigilance Agreement is not so required in a country, if requested by either Party in writing, the Parties shall enter into a high-level written agreement that will govern the exchange of validated safety signals and other safety or vigilance information for the Collaboration Products.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6.3</w:t>
      </w:r>
    </w:p>
    <w:p>
      <w:pPr>
        <w:pStyle w:val="TextBody"/>
        <w:bidi w:val="0"/>
        <w:spacing w:before="0" w:after="240"/>
        <w:jc w:val="both"/>
        <w:rPr/>
      </w:pPr>
      <w:r>
        <w:rPr>
          <w:rFonts w:ascii="Times New Roman" w:hAnsi="Times New Roman"/>
          <w:b/>
          <w:color w:val="000000"/>
          <w:sz w:val="24"/>
        </w:rPr>
        <w:t>Manufacturing</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6.3.1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Subject to the terms and conditions of this Agreement and the Manufacturing and Supply Agreement, as between the Parties, RxSight shall be primarily responsible for the conduct of all Manufacturing of Collaboration Products for Alcon’s Commercialization of Collaboration Products, but in all cases subject to Alcon’s timely and adequate supply of Alcon Materials to RxSight in accordance with the Manufacturing and Supply Agreement and the Quality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6.3.2</w:t>
      </w:r>
    </w:p>
    <w:p>
      <w:pPr>
        <w:pStyle w:val="TextBody"/>
        <w:bidi w:val="0"/>
        <w:spacing w:before="0" w:after="240"/>
        <w:jc w:val="both"/>
        <w:rPr/>
      </w:pP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6.3.3</w:t>
      </w:r>
    </w:p>
    <w:p>
      <w:pPr>
        <w:pStyle w:val="TextBody"/>
        <w:bidi w:val="0"/>
        <w:spacing w:before="0" w:after="240"/>
        <w:jc w:val="both"/>
        <w:rPr/>
      </w:pPr>
      <w:r>
        <w:rPr>
          <w:rFonts w:ascii="Times New Roman" w:hAnsi="Times New Roman"/>
          <w:b/>
          <w:color w:val="000000"/>
          <w:sz w:val="24"/>
        </w:rPr>
        <w:t>Quality Agreement</w:t>
      </w:r>
      <w:r>
        <w:rPr>
          <w:rFonts w:ascii="Times New Roman" w:hAnsi="Times New Roman"/>
          <w:color w:val="000000"/>
          <w:sz w:val="24"/>
        </w:rPr>
        <w:t>. Prior to commencement of any supply under the Manufacturing and Supply Agreement, RxSight and Alcon LLC shall enter into one or more quality agreements (the “</w:t>
      </w:r>
      <w:r>
        <w:rPr>
          <w:rFonts w:ascii="Times New Roman" w:hAnsi="Times New Roman"/>
          <w:b/>
          <w:color w:val="000000"/>
          <w:sz w:val="24"/>
        </w:rPr>
        <w:t>Quality Agreement</w:t>
      </w:r>
      <w:r>
        <w:rPr>
          <w:color w:val="000000"/>
        </w:rPr>
        <w:t>”</w:t>
      </w:r>
      <w:r>
        <w:rPr>
          <w:rFonts w:ascii="Times New Roman" w:hAnsi="Times New Roman"/>
          <w:color w:val="000000"/>
          <w:sz w:val="24"/>
        </w:rPr>
        <w:t>) in accordance with the Manufacturing and Supply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6.4</w:t>
      </w:r>
    </w:p>
    <w:p>
      <w:pPr>
        <w:pStyle w:val="TextBody"/>
        <w:bidi w:val="0"/>
        <w:spacing w:before="0" w:after="240"/>
        <w:jc w:val="both"/>
        <w:rPr/>
      </w:pPr>
      <w:r>
        <w:rPr>
          <w:rFonts w:ascii="Times New Roman" w:hAnsi="Times New Roman"/>
          <w:b/>
          <w:color w:val="000000"/>
          <w:sz w:val="24"/>
        </w:rPr>
        <w:t>Light Delivery Device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Commercialization</w:t>
      </w:r>
      <w:r>
        <w:rPr>
          <w:rFonts w:ascii="Times New Roman" w:hAnsi="Times New Roman"/>
          <w:color w:val="000000"/>
          <w:sz w:val="24"/>
        </w:rPr>
        <w:t>. Beginning upon payment of the Approval Milestone Payment and until such time as the LDD Distribution Agreement has been entered into pursuant to Section 6.4(b), during the Term, as between the Parties RxSight shall be solely responsible for the servicing and installation of the LDD install base in the United States used in connection with Collaboration Products and shall use Commercially Reasonable Efforts to comply with its obligations under Sections 6.4(a)(i) through 6.4(a)(iv) in the United States.</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Account Coordination</w:t>
      </w:r>
      <w:r>
        <w:rPr>
          <w:rFonts w:ascii="Times New Roman" w:hAnsi="Times New Roman"/>
          <w:color w:val="000000"/>
          <w:sz w:val="24"/>
        </w:rPr>
        <w:t>. The Parties shall promptly establish mutually agreed written coordination protocols with respect to LDD placement and servicing in accounts at which Collaboration Products are to be sold. [***]. For the avoidance of doubt, RxSight shall have sole authority to determine LDD pricing and commercial terms.</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Installation</w:t>
      </w:r>
      <w:r>
        <w:rPr>
          <w:rFonts w:ascii="Times New Roman" w:hAnsi="Times New Roman"/>
          <w:color w:val="000000"/>
          <w:sz w:val="24"/>
        </w:rPr>
        <w:t>. In addition to RxSight’s obligations under Section 6.4(a), RxSight shall track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Servicing</w:t>
      </w:r>
      <w:r>
        <w:rPr>
          <w:rFonts w:ascii="Times New Roman" w:hAnsi="Times New Roman"/>
          <w:color w:val="000000"/>
          <w:sz w:val="24"/>
        </w:rPr>
        <w:t>. In addition to RxSight’s obligations under Section 6.4(a), RxSight shall be solely responsible for the initiation and resolution of all LDD service calls relating to the use of the LDD in connection with Collaboration Products. RxSight shall track [***]. If [***], Alcon shall have the right, but not the obligation, to provide reasonable support to RxSight in connection with LDD servicing until such time as RxSight has demonstrated, to Alcon’s reasonable satisfaction, that such average time has been reduced below such threshold.</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b/>
          <w:color w:val="000000"/>
          <w:sz w:val="24"/>
        </w:rPr>
        <w:t>Complaints</w:t>
      </w:r>
      <w:r>
        <w:rPr>
          <w:rFonts w:ascii="Times New Roman" w:hAnsi="Times New Roman"/>
          <w:color w:val="000000"/>
          <w:sz w:val="24"/>
        </w:rPr>
        <w:t>. Alcon shall promptly forward to RxSight any and all complaints received by Alcon with respect to the LDD in connection with Collaboration Products. RxSight shall be solely responsible for handling and resolving all such complaints in accordance with Applicable Laws.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LDD Step-In Rights</w:t>
      </w:r>
      <w:r>
        <w:rPr>
          <w:rFonts w:ascii="Times New Roman" w:hAnsi="Times New Roman"/>
          <w:color w:val="000000"/>
          <w:sz w:val="24"/>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LDD Distribution Agreement</w:t>
      </w:r>
      <w:r>
        <w:rPr>
          <w:rFonts w:ascii="Times New Roman" w:hAnsi="Times New Roman"/>
          <w:color w:val="000000"/>
          <w:sz w:val="24"/>
        </w:rPr>
        <w:t>.</w:t>
      </w:r>
      <w:r>
        <w:rPr>
          <w:color w:val="000000"/>
        </w:rPr>
        <w:t xml:space="preserve"> </w:t>
      </w:r>
      <w:r>
        <w:rPr>
          <w:rFonts w:ascii="Times New Roman" w:hAnsi="Times New Roman"/>
          <w:color w:val="000000"/>
          <w:sz w:val="24"/>
        </w:rPr>
        <w:t>At any time after payment of the Feasibility Milestone Payment, at the request of either Party, the Parties shall engage in good faith negotiations with respect to the terms and conditions of a non-exclusive distribution and supply agreement (the “</w:t>
      </w:r>
      <w:r>
        <w:rPr>
          <w:rFonts w:ascii="Times New Roman" w:hAnsi="Times New Roman"/>
          <w:b/>
          <w:color w:val="000000"/>
          <w:sz w:val="24"/>
        </w:rPr>
        <w:t>LDD Distribution Agreement</w:t>
      </w:r>
      <w:r>
        <w:rPr>
          <w:color w:val="000000"/>
        </w:rPr>
        <w:t>”</w:t>
      </w:r>
      <w:r>
        <w:rPr>
          <w:rFonts w:ascii="Times New Roman" w:hAnsi="Times New Roman"/>
          <w:color w:val="000000"/>
          <w:sz w:val="24"/>
        </w:rPr>
        <w:t>) pursuant to which RxSight would Manufacture and supply the LDD to Alcon, and Alcon would sell and distribute the LDD in the United States (or elsewhere in the Territory) during the Term as necessary for use in connection with Collaboration Products.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6.5</w:t>
      </w:r>
    </w:p>
    <w:p>
      <w:pPr>
        <w:pStyle w:val="TextBody"/>
        <w:bidi w:val="0"/>
        <w:spacing w:before="0" w:after="240"/>
        <w:jc w:val="both"/>
        <w:rPr/>
      </w:pPr>
      <w:r>
        <w:rPr>
          <w:rFonts w:ascii="Times New Roman" w:hAnsi="Times New Roman"/>
          <w:b/>
          <w:color w:val="000000"/>
          <w:sz w:val="24"/>
        </w:rPr>
        <w:t>Training</w:t>
      </w:r>
      <w:r>
        <w:rPr>
          <w:rFonts w:ascii="Times New Roman" w:hAnsi="Times New Roman"/>
          <w:color w:val="000000"/>
          <w:sz w:val="24"/>
        </w:rPr>
        <w:t xml:space="preserve">. [***].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FINANCIAL PROVISIONS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b/>
          <w:color w:val="000000"/>
          <w:sz w:val="24"/>
        </w:rPr>
        <w:t>Upfront Payment</w:t>
      </w:r>
      <w:r>
        <w:rPr>
          <w:rFonts w:ascii="Times New Roman" w:hAnsi="Times New Roman"/>
          <w:color w:val="000000"/>
          <w:sz w:val="24"/>
        </w:rPr>
        <w:t>. In partial consideration for the rights granted to Alcon pursuant to this Agreement and subject to the terms and conditions of this Agreement, Alcon shall pay to RxSight a one-time upfront payment of Sixty Million Dollars ($60,000,000) (the “</w:t>
      </w:r>
      <w:r>
        <w:rPr>
          <w:rFonts w:ascii="Times New Roman" w:hAnsi="Times New Roman"/>
          <w:b/>
          <w:color w:val="000000"/>
          <w:sz w:val="24"/>
        </w:rPr>
        <w:t>Upfront Payment</w:t>
      </w:r>
      <w:r>
        <w:rPr>
          <w:color w:val="000000"/>
        </w:rPr>
        <w:t>”</w:t>
      </w:r>
      <w:r>
        <w:rPr>
          <w:rFonts w:ascii="Times New Roman" w:hAnsi="Times New Roman"/>
          <w:color w:val="000000"/>
          <w:sz w:val="24"/>
        </w:rPr>
        <w:t>), which shall be due and payable by Alcon no later than [***] following the Effective Date.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b/>
          <w:color w:val="000000"/>
          <w:sz w:val="24"/>
        </w:rPr>
        <w:t>Milestone Payments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7.2.1</w:t>
      </w:r>
    </w:p>
    <w:p>
      <w:pPr>
        <w:pStyle w:val="TextBody"/>
        <w:bidi w:val="0"/>
        <w:spacing w:before="0" w:after="240"/>
        <w:jc w:val="both"/>
        <w:rPr/>
      </w:pPr>
      <w:r>
        <w:rPr>
          <w:rFonts w:ascii="Times New Roman" w:hAnsi="Times New Roman"/>
          <w:b/>
          <w:color w:val="000000"/>
          <w:sz w:val="24"/>
        </w:rPr>
        <w:t>Feasibility Milestone Payment</w:t>
      </w:r>
      <w:r>
        <w:rPr>
          <w:rFonts w:ascii="Times New Roman" w:hAnsi="Times New Roman"/>
          <w:color w:val="000000"/>
          <w:sz w:val="24"/>
        </w:rPr>
        <w:t>. During the Phase 1 Review Period for the first Collaboration Product, Alcon shall have the right, in its sole discretion, to elect to pay a one-time payment to RxSight of Seventy Million Dollars ($70,000,000) (the “</w:t>
      </w:r>
      <w:r>
        <w:rPr>
          <w:rFonts w:ascii="Times New Roman" w:hAnsi="Times New Roman"/>
          <w:b/>
          <w:color w:val="000000"/>
          <w:sz w:val="24"/>
        </w:rPr>
        <w:t>Feasibility Milestone Payment</w:t>
      </w:r>
      <w:r>
        <w:rPr>
          <w:color w:val="000000"/>
        </w:rPr>
        <w:t>”</w:t>
      </w:r>
      <w:r>
        <w:rPr>
          <w:rFonts w:ascii="Times New Roman" w:hAnsi="Times New Roman"/>
          <w:color w:val="000000"/>
          <w:sz w:val="24"/>
        </w:rPr>
        <w:t>). Once paid, the Feasibility Milestone Payment shall be non-refundable and non-creditable against any other amounts due under this Agreement, except as expressly provided in Section 7.3.7(a)(iii)(D). For clarity, and notwithstanding anything herein to the contrary, the Feasibility Milestone Payment shall be payable only once, and no amounts shall be due to have RxSight initiate Phase 2 Regulatory Activities for the second or any subsequent Collaboration Product.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7.2.2</w:t>
      </w:r>
    </w:p>
    <w:p>
      <w:pPr>
        <w:pStyle w:val="TextBody"/>
        <w:bidi w:val="0"/>
        <w:spacing w:before="0" w:after="240"/>
        <w:jc w:val="both"/>
        <w:rPr/>
      </w:pPr>
      <w:r>
        <w:rPr>
          <w:rFonts w:ascii="Times New Roman" w:hAnsi="Times New Roman"/>
          <w:b/>
          <w:color w:val="000000"/>
          <w:sz w:val="24"/>
        </w:rPr>
        <w:t>Regulatory Submission Milestone Payment</w:t>
      </w:r>
      <w:r>
        <w:rPr>
          <w:rFonts w:ascii="Times New Roman" w:hAnsi="Times New Roman"/>
          <w:color w:val="000000"/>
          <w:sz w:val="24"/>
        </w:rPr>
        <w:t>. Alcon shall pay a one-time payment to RxSight of an amount equal to Thirty Million Dollars ($30,000,000) (such amount, the “</w:t>
      </w:r>
      <w:r>
        <w:rPr>
          <w:rFonts w:ascii="Times New Roman" w:hAnsi="Times New Roman"/>
          <w:b/>
          <w:color w:val="000000"/>
          <w:sz w:val="24"/>
        </w:rPr>
        <w:t>Regulatory Submission Milestone Payment</w:t>
      </w:r>
      <w:r>
        <w:rPr>
          <w:color w:val="000000"/>
        </w:rPr>
        <w:t>”</w:t>
      </w:r>
      <w:r>
        <w:rPr>
          <w:rFonts w:ascii="Times New Roman" w:hAnsi="Times New Roman"/>
          <w:color w:val="000000"/>
          <w:sz w:val="24"/>
        </w:rPr>
        <w:t>) upon RxSight’s initial submission of all required Regulatory Documentation for FDA consideration for Regulatory Approval for the first Collaboration Product as evidenced by acceptance of the application for substantive review. Once paid, the Regulatory Submission Milestone Payment shall be non-refundable and non-creditable against any other amounts due under this Agreement, except as expressly provided in Section 7.3.7(a)(iii)(D). For clarity, and notwithstanding anything herein to the contrary, the Regulatory Submission Milestone Payment shall be payable only once, and no amounts shall be due if RxSight submits a Regulatory Approval for a second Collaboration Product or any other product Developed in connection with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7.2.3</w:t>
      </w:r>
    </w:p>
    <w:p>
      <w:pPr>
        <w:pStyle w:val="TextBody"/>
        <w:bidi w:val="0"/>
        <w:spacing w:before="0" w:after="240"/>
        <w:jc w:val="both"/>
        <w:rPr/>
      </w:pPr>
      <w:r>
        <w:rPr>
          <w:rFonts w:ascii="Times New Roman" w:hAnsi="Times New Roman"/>
          <w:b/>
          <w:color w:val="000000"/>
          <w:sz w:val="24"/>
        </w:rPr>
        <w:t>Approval Milestone Payment</w:t>
      </w:r>
      <w:r>
        <w:rPr>
          <w:rFonts w:ascii="Times New Roman" w:hAnsi="Times New Roman"/>
          <w:color w:val="000000"/>
          <w:sz w:val="24"/>
        </w:rPr>
        <w:t>. During the Phase 2 Review Period for the first Collaboration Product, Alcon shall have the right, in its sole discretion, to elect to pay a one-time payment to RxSight of an amount equal to Forty Million Dollars ($40,000,000) (such amount, the “</w:t>
      </w:r>
      <w:r>
        <w:rPr>
          <w:rFonts w:ascii="Times New Roman" w:hAnsi="Times New Roman"/>
          <w:b/>
          <w:color w:val="000000"/>
          <w:sz w:val="24"/>
        </w:rPr>
        <w:t>Approval Milestone Payment</w:t>
      </w:r>
      <w:r>
        <w:rPr>
          <w:color w:val="000000"/>
        </w:rPr>
        <w:t>”</w:t>
      </w:r>
      <w:r>
        <w:rPr>
          <w:rFonts w:ascii="Times New Roman" w:hAnsi="Times New Roman"/>
          <w:color w:val="000000"/>
          <w:sz w:val="24"/>
        </w:rPr>
        <w:t>) in accordance with Section 3.3.2. Once paid, the Approval Milestone Payment shall be non-refundable and non-creditable against any other amounts due under this Agreement, except as expressly provided in Section 7.3.7(a)(iii)(D). For clarity, and notwithstanding anything herein to the contrary, the Approval Milestone Payment shall be payable only once, and no amounts shall be due if Regulatory Approval is received for the second or any subsequent Collaboration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pPr>
      <w:r>
        <w:rPr>
          <w:rFonts w:ascii="Times New Roman" w:hAnsi="Times New Roman"/>
          <w:b/>
          <w:color w:val="000000"/>
          <w:sz w:val="24"/>
        </w:rPr>
        <w:t>Royalties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7.3.1</w:t>
      </w:r>
    </w:p>
    <w:p>
      <w:pPr>
        <w:pStyle w:val="TextBody"/>
        <w:bidi w:val="0"/>
        <w:spacing w:before="0" w:after="240"/>
        <w:jc w:val="both"/>
        <w:rPr/>
      </w:pPr>
      <w:r>
        <w:rPr>
          <w:rFonts w:ascii="Times New Roman" w:hAnsi="Times New Roman"/>
          <w:b/>
          <w:color w:val="000000"/>
          <w:sz w:val="24"/>
        </w:rPr>
        <w:t>Royalty Payments</w:t>
      </w:r>
      <w:r>
        <w:rPr>
          <w:rFonts w:ascii="Times New Roman" w:hAnsi="Times New Roman"/>
          <w:color w:val="000000"/>
          <w:sz w:val="24"/>
        </w:rPr>
        <w:t>. In partial consideration for the rights granted to Alcon pursuant to this Agreement and subject to the terms and conditions of this Agreement, during the Term, on a Collaboration Product-by-Collaboration Product basis, Alcon shall pay to RxSight a royalty at a rate of thirty percent (30%) of Net Sales of a Collaboration Product (the “</w:t>
      </w:r>
      <w:r>
        <w:rPr>
          <w:rFonts w:ascii="Times New Roman" w:hAnsi="Times New Roman"/>
          <w:b/>
          <w:color w:val="000000"/>
          <w:sz w:val="24"/>
        </w:rPr>
        <w:t>Royalty</w:t>
      </w:r>
      <w:r>
        <w:rPr>
          <w:color w:val="000000"/>
        </w:rPr>
        <w:t>”</w:t>
      </w:r>
      <w:r>
        <w:rPr>
          <w:rFonts w:ascii="Times New Roman" w:hAnsi="Times New Roman"/>
          <w:color w:val="000000"/>
          <w:sz w:val="24"/>
        </w:rPr>
        <w:t>) in accordance with this Section 7.3. Royalties shall be payable only once with respect to the same unit of Collaboration Product.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7.3.2</w:t>
      </w:r>
    </w:p>
    <w:p>
      <w:pPr>
        <w:pStyle w:val="TextBody"/>
        <w:bidi w:val="0"/>
        <w:spacing w:before="0" w:after="240"/>
        <w:jc w:val="both"/>
        <w:rPr/>
      </w:pPr>
      <w:r>
        <w:rPr>
          <w:rFonts w:ascii="Times New Roman" w:hAnsi="Times New Roman"/>
          <w:b/>
          <w:color w:val="000000"/>
          <w:sz w:val="24"/>
        </w:rPr>
        <w:t>Royalty Pre-Payment</w:t>
      </w:r>
      <w:r>
        <w:rPr>
          <w:rFonts w:ascii="Times New Roman" w:hAnsi="Times New Roman"/>
          <w:color w:val="000000"/>
          <w:sz w:val="24"/>
        </w:rPr>
        <w:t>. With respect to the [***] of all Collaboration Products supplied by or on behalf of RxSight pursuant to the Manufacturing and Supply Agreement, Alcon shall, in addition to the transfer price for each such unit of Collaboration Product, prepay a portion of the Royalty in the amount of [***] (“</w:t>
      </w:r>
      <w:r>
        <w:rPr>
          <w:rFonts w:ascii="Times New Roman" w:hAnsi="Times New Roman"/>
          <w:b/>
          <w:color w:val="000000"/>
          <w:sz w:val="24"/>
        </w:rPr>
        <w:t>Royalty Pre-Payment</w:t>
      </w:r>
      <w:r>
        <w:rPr>
          <w:color w:val="000000"/>
        </w:rPr>
        <w:t>”</w:t>
      </w:r>
      <w:r>
        <w:rPr>
          <w:rFonts w:ascii="Times New Roman" w:hAnsi="Times New Roman"/>
          <w:color w:val="000000"/>
          <w:sz w:val="24"/>
        </w:rPr>
        <w:t>). Alcon shall have the right to (a) offset all Royalty Pre-Payment amounts paid to RxSight against future Royalty payment obligations under this Agreement, and (b) count such Royalty Pre-Payment amounts paid to RxSight towards the Minimum Royalty Payment for such Calendar Year, including for purposes of calculating the True-Up Payment.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7.3.3</w:t>
      </w:r>
    </w:p>
    <w:p>
      <w:pPr>
        <w:pStyle w:val="TextBody"/>
        <w:bidi w:val="0"/>
        <w:spacing w:before="0" w:after="240"/>
        <w:jc w:val="both"/>
        <w:rPr/>
      </w:pPr>
      <w:r>
        <w:rPr>
          <w:rFonts w:ascii="Times New Roman" w:hAnsi="Times New Roman"/>
          <w:b/>
          <w:color w:val="000000"/>
          <w:sz w:val="24"/>
        </w:rPr>
        <w:t>Minimum Royalty Obligation</w:t>
      </w:r>
      <w:r>
        <w:rPr>
          <w:rFonts w:ascii="Times New Roman" w:hAnsi="Times New Roman"/>
          <w:color w:val="000000"/>
          <w:sz w:val="24"/>
        </w:rPr>
        <w:t>. Subject to Section 7.3.5, following the First Commercial Sale of a Collaboration Product during the Term, beginning on January 1 of the Calendar Year following the Calendar Year in which such First Commercial Sale occurs (which shall be Calendar Year 1 for purposes of the table below), and each Calendar Year thereafter (which successive Calendar Years shall be Calendar Year 2, Calendar Year 3, and so on, for purposes of the table below) for any Calendar Year with respect to which Alcon has not paid to RxSight an aggregate Royalty in excess of the applicable amount (the “</w:t>
      </w:r>
      <w:r>
        <w:rPr>
          <w:rFonts w:ascii="Times New Roman" w:hAnsi="Times New Roman"/>
          <w:b/>
          <w:color w:val="000000"/>
          <w:sz w:val="24"/>
        </w:rPr>
        <w:t xml:space="preserve">Minimum Royalty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b/>
          <w:color w:val="000000"/>
          <w:sz w:val="24"/>
        </w:rPr>
        <w:t>Payment</w:t>
      </w:r>
      <w:r>
        <w:rPr>
          <w:color w:val="000000"/>
        </w:rPr>
        <w:t>”</w:t>
      </w:r>
      <w:r>
        <w:rPr>
          <w:rFonts w:ascii="Times New Roman" w:hAnsi="Times New Roman"/>
          <w:color w:val="000000"/>
          <w:sz w:val="24"/>
        </w:rPr>
        <w:t>) set forth in the table below corresponding to the applicable Calendar Year (each, a “</w:t>
      </w:r>
      <w:r>
        <w:rPr>
          <w:rFonts w:ascii="Times New Roman" w:hAnsi="Times New Roman"/>
          <w:b/>
          <w:color w:val="000000"/>
          <w:sz w:val="24"/>
        </w:rPr>
        <w:t>Shortfall Year</w:t>
      </w:r>
      <w:r>
        <w:rPr>
          <w:color w:val="000000"/>
        </w:rPr>
        <w:t>”</w:t>
      </w:r>
      <w:r>
        <w:rPr>
          <w:rFonts w:ascii="Times New Roman" w:hAnsi="Times New Roman"/>
          <w:color w:val="000000"/>
          <w:sz w:val="24"/>
        </w:rPr>
        <w:t>), then[***][***].</w:t>
      </w:r>
    </w:p>
    <w:tbl>
      <w:tblPr>
        <w:tblW w:w="10205" w:type="dxa"/>
        <w:jc w:val="left"/>
        <w:tblInd w:w="0" w:type="dxa"/>
        <w:tblLayout w:type="fixed"/>
        <w:tblCellMar>
          <w:top w:w="28" w:type="dxa"/>
          <w:left w:w="28" w:type="dxa"/>
          <w:bottom w:w="28" w:type="dxa"/>
          <w:right w:w="28" w:type="dxa"/>
        </w:tblCellMar>
      </w:tblPr>
      <w:tblGrid>
        <w:gridCol w:w="1574"/>
        <w:gridCol w:w="8631"/>
      </w:tblGrid>
      <w:tr>
        <w:trPr/>
        <w:tc>
          <w:tcPr>
            <w:tcW w:w="1574" w:type="dxa"/>
            <w:tcBorders/>
            <w:vAlign w:val="center"/>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r>
      <w:tr>
        <w:trPr/>
        <w:tc>
          <w:tcPr>
            <w:tcW w:w="1574"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120"/>
              <w:jc w:val="center"/>
              <w:rPr>
                <w:rFonts w:ascii="Times New Roman" w:hAnsi="Times New Roman"/>
                <w:b/>
                <w:color w:val="000000"/>
                <w:sz w:val="24"/>
              </w:rPr>
            </w:pPr>
            <w:r>
              <w:rPr>
                <w:rFonts w:ascii="Times New Roman" w:hAnsi="Times New Roman"/>
                <w:b/>
                <w:color w:val="000000"/>
                <w:sz w:val="24"/>
              </w:rPr>
              <w:t>Calendar Year</w:t>
            </w:r>
          </w:p>
        </w:tc>
        <w:tc>
          <w:tcPr>
            <w:tcW w:w="863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120"/>
              <w:jc w:val="center"/>
              <w:rPr>
                <w:rFonts w:ascii="Times New Roman" w:hAnsi="Times New Roman"/>
                <w:sz w:val="24"/>
              </w:rPr>
            </w:pPr>
            <w:r>
              <w:rPr>
                <w:rFonts w:ascii="Times New Roman" w:hAnsi="Times New Roman"/>
                <w:b/>
                <w:color w:val="000000"/>
                <w:sz w:val="24"/>
              </w:rPr>
              <w:t xml:space="preserve">Minimum Royalty Payment </w:t>
            </w:r>
            <w:r>
              <w:rPr>
                <w:rFonts w:ascii="Times New Roman" w:hAnsi="Times New Roman"/>
                <w:color w:val="000000"/>
                <w:sz w:val="24"/>
              </w:rPr>
              <w:t>(</w:t>
            </w:r>
            <w:r>
              <w:rPr>
                <w:rFonts w:ascii="Times New Roman" w:hAnsi="Times New Roman"/>
                <w:b/>
                <w:color w:val="000000"/>
                <w:sz w:val="24"/>
              </w:rPr>
              <w:t xml:space="preserve">inclusive of applicable amounts counted pursuant to </w:t>
            </w:r>
            <w:r>
              <w:rPr>
                <w:rFonts w:ascii="Times New Roman" w:hAnsi="Times New Roman"/>
                <w:b/>
                <w:color w:val="000000"/>
                <w:sz w:val="24"/>
                <w:u w:val="single"/>
              </w:rPr>
              <w:t>Section 7.3.2</w:t>
            </w: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1</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2</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3</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4</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5</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6</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7</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8</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15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24"/>
              </w:rPr>
            </w:pPr>
            <w:r>
              <w:rPr>
                <w:rFonts w:ascii="Times New Roman" w:hAnsi="Times New Roman"/>
                <w:color w:val="000000"/>
                <w:sz w:val="24"/>
              </w:rPr>
              <w:t>9 and thereafter</w:t>
            </w:r>
          </w:p>
        </w:tc>
        <w:tc>
          <w:tcPr>
            <w:tcW w:w="8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7.3.4</w:t>
      </w:r>
    </w:p>
    <w:p>
      <w:pPr>
        <w:pStyle w:val="TextBody"/>
        <w:bidi w:val="0"/>
        <w:spacing w:before="0" w:after="240"/>
        <w:jc w:val="both"/>
        <w:rPr/>
      </w:pPr>
      <w:r>
        <w:rPr>
          <w:rFonts w:ascii="Times New Roman" w:hAnsi="Times New Roman"/>
          <w:b/>
          <w:color w:val="000000"/>
          <w:sz w:val="24"/>
        </w:rPr>
        <w:t>Failure to Make Minimum Royalty Payments</w:t>
      </w:r>
      <w:r>
        <w:rPr>
          <w:rFonts w:ascii="Times New Roman" w:hAnsi="Times New Roman"/>
          <w:color w:val="000000"/>
          <w:sz w:val="24"/>
        </w:rPr>
        <w:t>. If Alcon fails to make any True-Up Payment that has become due and payable under Section 7.3.3, then, effective as of the first day of the Calendar Year following such Shortfall Year: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Minimum Royalty Payment obligations set forth in Section 7.3.3 shall terminate and no further Minimum Royalty Payments shall be owed by Alcon;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following Regulatory Approval of the first Collaboration Product, the Parties shall negotiate in good faith for a period of [***] (with such period being automatically extended for so long as the Parties continue to negotiate in good faith) and finalize and execute a co-promotion agreement setting forth the rights and obligations of the Parties with respect to Demand Generation Activities for the Collaboration Products, incorporating the key terms set forth in </w:t>
      </w:r>
      <w:r>
        <w:rPr>
          <w:rFonts w:ascii="Times New Roman" w:hAnsi="Times New Roman"/>
          <w:b/>
          <w:color w:val="000000"/>
          <w:sz w:val="24"/>
        </w:rPr>
        <w:t>Exhibit E</w:t>
      </w:r>
      <w:r>
        <w:rPr>
          <w:rFonts w:ascii="Times New Roman" w:hAnsi="Times New Roman"/>
          <w:color w:val="000000"/>
          <w:sz w:val="24"/>
        </w:rPr>
        <w:t>, together with such other customary terms as may be agreed by the Parties (such agreement, the “</w:t>
      </w:r>
      <w:r>
        <w:rPr>
          <w:rFonts w:ascii="Times New Roman" w:hAnsi="Times New Roman"/>
          <w:b/>
          <w:color w:val="000000"/>
          <w:sz w:val="24"/>
        </w:rPr>
        <w:t>Co-Promotion Agreement</w:t>
      </w:r>
      <w:r>
        <w:rPr>
          <w:color w:val="000000"/>
        </w:rPr>
        <w:t>”</w:t>
      </w:r>
      <w:r>
        <w:rPr>
          <w:rFonts w:ascii="Times New Roman" w:hAnsi="Times New Roman"/>
          <w:color w:val="000000"/>
          <w:sz w:val="24"/>
        </w:rPr>
        <w:t>), provided that [***], then either Party may elect, by written notice to the other Party, to refer the remaining unresolved terms of the Co-Promotion Agreement to the Executive Officers for good faith resolution for a period of [***] following such notice, and if the Executive Officers are unable to resolve such unresolved terms within such [***] period, then either Party may elect, by written notice to the other Party, to submit negotiation of the Co-Promotion Agreement to Baseball Arbitration;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thereafter, the Royalty rate payable by Alcon under Section 7.3.1 shall be increased to [***] of Net Sales of each Collaboration Product solely with respect to Net Sales in excess of the highest annual Net Sales achieved by Alcon for such Collaboration Product in any Calendar Year (the “</w:t>
      </w:r>
      <w:r>
        <w:rPr>
          <w:rFonts w:ascii="Times New Roman" w:hAnsi="Times New Roman"/>
          <w:b/>
          <w:color w:val="000000"/>
          <w:sz w:val="24"/>
        </w:rPr>
        <w:t>High Water Mark</w:t>
      </w:r>
      <w:r>
        <w:rPr>
          <w:color w:val="000000"/>
        </w:rPr>
        <w:t>”</w:t>
      </w:r>
      <w:r>
        <w:rPr>
          <w:rFonts w:ascii="Times New Roman" w:hAnsi="Times New Roman"/>
          <w:color w:val="000000"/>
          <w:sz w:val="24"/>
        </w:rPr>
        <w:t>), and for clarity, the Royalty rate set forth in Section 7.3.1 shall continue to apply to all Net Sales up to such High Water Mark; and</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 of first negotiation granted to Alcon under Section 2.7 shall terminate.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remedies set forth in this Section 7.3.4 are RxSight’s sole and exclusive remedy in the event that Alcon fails to make any True-Up Payment that has become due and payable under Section 7.3.3.</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7.3.5</w:t>
      </w:r>
    </w:p>
    <w:p>
      <w:pPr>
        <w:pStyle w:val="TextBody"/>
        <w:bidi w:val="0"/>
        <w:spacing w:before="0" w:after="240"/>
        <w:jc w:val="both"/>
        <w:rPr/>
      </w:pPr>
      <w:r>
        <w:rPr>
          <w:rFonts w:ascii="Times New Roman" w:hAnsi="Times New Roman"/>
          <w:b/>
          <w:color w:val="000000"/>
          <w:sz w:val="24"/>
        </w:rPr>
        <w:t>Second Collaboration Product Approval Delay</w:t>
      </w:r>
      <w:r>
        <w:rPr>
          <w:rFonts w:ascii="Times New Roman" w:hAnsi="Times New Roman"/>
          <w:color w:val="000000"/>
          <w:sz w:val="24"/>
        </w:rPr>
        <w:t xml:space="preserve">. Notwithstanding anything to the contrary in this Agreement, if Regulatory Approval for the second Collaboration Product has not been obtained within [***] following the initial Regulatory Approval of the first Collaboration Product (provided that such period shall be extended by the amount of time that is reasonably attributable to any delay in the Development of the second Collaboration Product resulting from Alcon’s breach of its obligations under this Agreement or any Ancillary Agreement), then, effective as of the first day of the Calendar Quarter following the expiration of such [***] period (as extended, if applicable), each Minimum Royalty Payment set forth in Section 7.3.3 that becomes due thereafter shall be reduced by [***] until such time as Regulatory Approval for the second Collaboration Product is obtained, at which time the original amounts set forth in Section 7.3.3 shall be restored.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7.3.6</w:t>
      </w:r>
    </w:p>
    <w:p>
      <w:pPr>
        <w:pStyle w:val="TextBody"/>
        <w:bidi w:val="0"/>
        <w:spacing w:before="0" w:after="240"/>
        <w:jc w:val="both"/>
        <w:rPr/>
      </w:pPr>
      <w:r>
        <w:rPr>
          <w:rFonts w:ascii="Times New Roman" w:hAnsi="Times New Roman"/>
          <w:b/>
          <w:color w:val="000000"/>
          <w:sz w:val="24"/>
        </w:rPr>
        <w:t>Royalty Reductions</w:t>
      </w:r>
      <w:r>
        <w:rPr>
          <w:rFonts w:ascii="Times New Roman" w:hAnsi="Times New Roman"/>
          <w:color w:val="000000"/>
          <w:sz w:val="24"/>
        </w:rPr>
        <w:t>. With respect to the royalty rate set forth in Section 7.3.1, the following shall apply: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No Valid Claim</w:t>
      </w:r>
      <w:r>
        <w:rPr>
          <w:rFonts w:ascii="Times New Roman" w:hAnsi="Times New Roman"/>
          <w:color w:val="000000"/>
          <w:sz w:val="24"/>
        </w:rPr>
        <w:t xml:space="preserve">. At any time during the Term, solely with respect to Royalties arising from Net Sales of a Collaboration Product in the U.S., if such Collaboration Product is not Covered by one (1) or more Valid Claim(s) of a Licensed RxSight Patent in the U.S., then the Royalty rate set forth in Section 7.3.1 for such Collaboration Product in the U.S. shall be reduced to [***] for the remainder of the Term.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Most Favored Nation Pricing</w:t>
      </w:r>
      <w:r>
        <w:rPr>
          <w:rFonts w:ascii="Times New Roman" w:hAnsi="Times New Roman"/>
          <w:color w:val="000000"/>
          <w:sz w:val="24"/>
        </w:rPr>
        <w:t>. If Alcon or any of its Affiliates or Sublicensees is required in the United States under Applicable Law to reduce the price charged for the sale of a Collaboration Product in the United States based on the price of such Collaboration Product outside of the United States (“</w:t>
      </w:r>
      <w:r>
        <w:rPr>
          <w:rFonts w:ascii="Times New Roman" w:hAnsi="Times New Roman"/>
          <w:b/>
          <w:color w:val="000000"/>
          <w:sz w:val="24"/>
        </w:rPr>
        <w:t>MFN Pricing</w:t>
      </w:r>
      <w:r>
        <w:rPr>
          <w:color w:val="000000"/>
        </w:rPr>
        <w:t>”</w:t>
      </w:r>
      <w:r>
        <w:rPr>
          <w:rFonts w:ascii="Times New Roman" w:hAnsi="Times New Roman"/>
          <w:color w:val="000000"/>
          <w:sz w:val="24"/>
        </w:rPr>
        <w:t>), then the Royalty rate in Section 7.3.1 or the Minimum Royalty Payment, as applicable, for such Collaboration Product in the United States during the Calendar Quarter in which such MFN Pricing applies, and for the remainder of the Term, shall be reduced by [***], after giving effect to any reductions under Section 7.3.6(a).</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Royalty Floor</w:t>
      </w:r>
      <w:r>
        <w:rPr>
          <w:rFonts w:ascii="Times New Roman" w:hAnsi="Times New Roman"/>
          <w:color w:val="000000"/>
          <w:sz w:val="24"/>
        </w:rPr>
        <w:t>. In no event shall the royalty reductions of this Section 7.3.7 cumulatively reduce the Royalty to less than [***] in any given country in the Territory.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7.3.7</w:t>
      </w:r>
    </w:p>
    <w:p>
      <w:pPr>
        <w:pStyle w:val="TextBody"/>
        <w:bidi w:val="0"/>
        <w:spacing w:before="0" w:after="240"/>
        <w:jc w:val="both"/>
        <w:rPr/>
      </w:pPr>
      <w:r>
        <w:rPr>
          <w:rFonts w:ascii="Times New Roman" w:hAnsi="Times New Roman"/>
          <w:b/>
          <w:color w:val="000000"/>
          <w:sz w:val="24"/>
        </w:rPr>
        <w:t>Royalty Adjustment Owing to a Restricted Product</w:t>
      </w:r>
      <w:r>
        <w:rPr>
          <w:rFonts w:ascii="Times New Roman" w:hAnsi="Times New Roman"/>
          <w:color w:val="000000"/>
          <w:sz w:val="24"/>
        </w:rPr>
        <w:t>. If, at any time following Regulatory Approval of a Collaboration Product, RxSight, any of its Affiliates, or any RP Third Party Develops or Manufactures any Restricted Product, then, RxSight shall notify Alcon in writing of such, and notwithstanding anything to the contrary in this Agreement, the following shall apply: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as of such date, Alcon’s obligation to make Minimum Royalty Payment obligations under Section 7.3.3 has not terminated pursuant to Section 7.3.4(a) then:</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of First Commercial Sale of a Restricted Product by RxSight, any of its Affiliates, or any RP Third Party:</w:t>
      </w:r>
    </w:p>
    <w:p>
      <w:pPr>
        <w:pStyle w:val="TextBody"/>
        <w:bidi w:val="0"/>
        <w:spacing w:before="0" w:after="240"/>
        <w:ind w:left="2707" w:right="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2707"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2707" w:right="0"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2707" w:right="0" w:hanging="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as of such date, Alcon’s obligation to make Minimum Royalty Payment obligations under Section 7.3.3 has terminated pursuant to Section 7.3.4(a) then:</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2520" w:right="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2520"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7.3.8</w:t>
      </w:r>
    </w:p>
    <w:p>
      <w:pPr>
        <w:pStyle w:val="TextBody"/>
        <w:bidi w:val="0"/>
        <w:spacing w:before="0" w:after="240"/>
        <w:jc w:val="both"/>
        <w:rPr/>
      </w:pPr>
      <w:r>
        <w:rPr>
          <w:rFonts w:ascii="Times New Roman" w:hAnsi="Times New Roman"/>
          <w:b/>
          <w:color w:val="000000"/>
          <w:sz w:val="24"/>
        </w:rPr>
        <w:t>Payment; Reports</w:t>
      </w:r>
      <w:r>
        <w:rPr>
          <w:rFonts w:ascii="Times New Roman" w:hAnsi="Times New Roman"/>
          <w:color w:val="000000"/>
          <w:sz w:val="24"/>
        </w:rPr>
        <w:t xml:space="preserve">. Royalty payments due by Alcon to RxSight under this Section 7.3 will be calculated and reported for each [***], which amounts shall be converted to Dollars in accordance with Section 8.1. During the Term and following the First Commercial Sale of a Collaboration Product, (a) as soon as reasonably practicable, but in no event later than [***], Alcon shall provide RxSight a report providing its good faith, non-binding estimate of Net Sales of Collaboration Products in the Territory during the [***], and (b) within the earlier of (a) [***] after the end of [***] [***], and (b) [***], Alcon shall provide RxSight with a final report setting forth, with respect to [***], on a Collaboration Product-by-Collaboration Product basis: (i) Net Sales of the Collaboration Product by Alcon and its Affiliates and its and their Sublicensees in the Territory, on a country-by-country basis, and a breakdown of the deductions taken to calculate Net Sales, (ii) amount of Royalty Pre-Payment allocated to [***], and (iii) the Royalties due on such Net Sales. RxSight shall submit an invoice to Alcon with respect to the Royalty amount due. Alcon shall pay such Royalty amount within [***] after receipt of the invoice.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pPr>
      <w:r>
        <w:rPr>
          <w:rFonts w:ascii="Times New Roman" w:hAnsi="Times New Roman"/>
          <w:b/>
          <w:color w:val="000000"/>
          <w:sz w:val="24"/>
        </w:rPr>
        <w:t>Third Party Rights</w:t>
      </w:r>
      <w:r>
        <w:rPr>
          <w:color w:val="000000"/>
        </w:rPr>
        <w:t xml:space="preserve"> </w:t>
      </w:r>
      <w:r>
        <w:rPr>
          <w:rFonts w:ascii="Times New Roman" w:hAnsi="Times New Roman"/>
          <w:b/>
          <w:color w:val="000000"/>
          <w:sz w:val="24"/>
        </w:rPr>
        <w:t>Covering the Collaboration Product</w:t>
      </w:r>
      <w:r>
        <w:rPr>
          <w:rFonts w:ascii="Times New Roman" w:hAnsi="Times New Roman"/>
          <w:color w:val="000000"/>
          <w:sz w:val="24"/>
        </w:rPr>
        <w:t xml:space="preserve">. RxSight shall be responsible for all payments and related reporting obligations, if any, owed to Third Parties under any license and other agreements entered into by or on behalf of RxSight or any of its Affiliates and existing as of the Effective Date, pursuant to which RxSight or any of its Affiliates has rights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obligations with respect to any Collaboration Product or the Exploitation thereof, including any license and other agreements relating to RxSight Technology. All such payments and reports shall be made and delivered promptly by RxSight in accordance with the terms of the applicable license or other agreement. Subject to Section 7.3.6(a), Alcon shall be responsible for all payments and related reporting obligations, if any, owed to Third Parties under any license and other agreements entered into by or on behalf of Alcon or any of its Affiliates and existing as of the Effective Date, pursuant to which Alcon or any of its Affiliates has rights or obligations with respect to any Collaboration Product or the Exploitation thereof, including any license and other agreements relating to Alcon Technology. All such payments and reports shall be made and delivered promptly by Alcon in accordance with the terms of the applicable license or other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REPORTS AND PAYMENT TERMS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both"/>
        <w:rPr/>
      </w:pPr>
      <w:r>
        <w:rPr>
          <w:rFonts w:ascii="Times New Roman" w:hAnsi="Times New Roman"/>
          <w:b/>
          <w:color w:val="000000"/>
          <w:sz w:val="24"/>
        </w:rPr>
        <w:t>Payment Currency and Exchange Rate</w:t>
      </w:r>
      <w:r>
        <w:rPr>
          <w:rFonts w:ascii="Times New Roman" w:hAnsi="Times New Roman"/>
          <w:color w:val="000000"/>
          <w:sz w:val="24"/>
        </w:rPr>
        <w:t xml:space="preserve">. Unless otherwise agreed by the Parties, all payments due under this Agreement shall be paid in Dollars by wire transfer or electronic funds transfer of immediately available funds to an account designated by the payee. Unless otherwise specified in this Agreement, all amounts shall be invoiced by the payee and paid by the payor within [***] following receipt of the applicable invoice. When conversion of payments from any currency other than Dollars is required, conversion shall be made to Dollars in a manner consistent with the Accounting Standard of the Party making the conversion and such Party’s normal practices used to prepare its audited financial statements.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both"/>
        <w:rPr/>
      </w:pPr>
      <w:r>
        <w:rPr>
          <w:rFonts w:ascii="Times New Roman" w:hAnsi="Times New Roman"/>
          <w:b/>
          <w:color w:val="000000"/>
          <w:sz w:val="24"/>
        </w:rPr>
        <w:t>Set Off</w:t>
      </w:r>
      <w:r>
        <w:rPr>
          <w:rFonts w:ascii="Times New Roman" w:hAnsi="Times New Roman"/>
          <w:color w:val="000000"/>
          <w:sz w:val="24"/>
        </w:rPr>
        <w:t>. Notwithstanding anything in this Agreement to the contrary, each Party shall have the right to offset any amounts owed to it by the other Party under this Agreement against any amounts otherwise payable by such Party to the other Party under this Agreement, including any Milestone Payments, Royalties or other payments, provided that such offset right may only be exercised with respect to amounts that are due, payable and undisputed, or finally determined pursuant to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both"/>
        <w:rPr/>
      </w:pPr>
      <w:r>
        <w:rPr>
          <w:rFonts w:ascii="Times New Roman" w:hAnsi="Times New Roman"/>
          <w:b/>
          <w:color w:val="000000"/>
          <w:sz w:val="24"/>
        </w:rPr>
        <w:t>Records and Audits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8.3.1</w:t>
      </w:r>
    </w:p>
    <w:p>
      <w:pPr>
        <w:pStyle w:val="TextBody"/>
        <w:bidi w:val="0"/>
        <w:spacing w:before="0" w:after="240"/>
        <w:jc w:val="both"/>
        <w:rPr/>
      </w:pPr>
      <w:r>
        <w:rPr>
          <w:rFonts w:ascii="Times New Roman" w:hAnsi="Times New Roman"/>
          <w:color w:val="000000"/>
          <w:sz w:val="24"/>
        </w:rPr>
        <w:t>Alcon shall keep, and shall cause its Affiliates and its and their Sublicensees and subcontractors to keep, complete and accurate financial books and records to the extent necessary to ascertain properly and to verify any payments for Royalties. Such books and records shall be kept for such period of time required by Applicable Laws, but no less than [***] following the end of the Calendar Year to which they pertain. RxSight shall have the right, but not more than once each Calendar Year during the Term and [***] thereafter, to have an internationally-recognized independent accounting firm appointed by RxSight and reasonably acceptable to Alcon (the “</w:t>
      </w:r>
      <w:r>
        <w:rPr>
          <w:rFonts w:ascii="Times New Roman" w:hAnsi="Times New Roman"/>
          <w:b/>
          <w:color w:val="000000"/>
          <w:sz w:val="24"/>
        </w:rPr>
        <w:t>Auditor</w:t>
      </w:r>
      <w:r>
        <w:rPr>
          <w:color w:val="000000"/>
        </w:rPr>
        <w:t>”</w:t>
      </w:r>
      <w:r>
        <w:rPr>
          <w:rFonts w:ascii="Times New Roman" w:hAnsi="Times New Roman"/>
          <w:color w:val="000000"/>
          <w:sz w:val="24"/>
        </w:rPr>
        <w:t xml:space="preserve">) to inspect Alcon’s books and records maintained pursuant to this Section 8.2 (including any books and records of its Affiliates) solely for the purpose of determining the accuracy of (a) any payments for Royalties due hereunder and (b) the withholding taxes, if any, required by Applicable Laws to be withheld. No period will be audited more than once (unless an audit or inspection reveals a material inaccuracy in reports made under this Agreement, in which case it may be repeated within such Calendar Year) and each audit must be reasonable in scope. The Auditor shall keep confidential any information obtained during such inspection in accordance with the confidentiality agreement entered into with Alcon pursuant to Section 8.3.3 and shall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report to RxSight only the amounts of payments due and payable. No other information shall be shared. Such audits shall be exercised during normal business hours upon reasonable prior written notice to Alcon. RxSight shall bear the full cost of such audit unless such audit discloses an underpayment by Alcon for Royalties of more than [***] of the amount due under this Agreement for the audited period that was due to an error in an invoice or report by Alcon, in which case, Alcon will pay the reasonable and documented fees of the Auditor.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Auditor shall act as an independent expert and not as an arbitrator. The Auditor shall provide its audit report and basis for any determination to Alcon at the time such report is provided to RxSight before it is considered final. Either Party shall have the right, within [***] following receipt of the Auditor’s final report, to dispute any findings set forth therein by delivering to the other Party and the Auditor a reasonably detailed written notice describing the basis for such dispute. Upon receipt of such notice, the Auditor, acting as an independent expert, shall review the disputed matters in good faith and issue a revised determination, limited to such disputed matters, within [***]. Either Party that disagrees with such revised determination following such process may submit such disputed matter for resolution in accordance with the dispute resolution procedures set forth in Section 16.6.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following the final resolution of any audit (including any dispute resolution pursuant to this Section 8.2), it is determined that additional amounts are owed by Alcon to RxSight, or that amounts were overpaid by Alcon to RxSight, then Alcon shall pay such additional amounts, or RxSight shall refund such overpayments to Alcon, as applicable, within [***] after such final determination.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auditing Party shall treat all information subject to review under this Section 8.2 in accordance with the confidentiality provisions of Article 10, and Alcon shall not be obligated to provide any information to the Auditor until the Auditor has entered into a reasonably acceptable confidentiality agreement with Alcon.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8.4</w:t>
      </w:r>
    </w:p>
    <w:p>
      <w:pPr>
        <w:pStyle w:val="TextBody"/>
        <w:bidi w:val="0"/>
        <w:spacing w:before="0" w:after="240"/>
        <w:jc w:val="both"/>
        <w:rPr/>
      </w:pPr>
      <w:r>
        <w:rPr>
          <w:rFonts w:ascii="Times New Roman" w:hAnsi="Times New Roman"/>
          <w:b/>
          <w:color w:val="000000"/>
          <w:sz w:val="24"/>
        </w:rPr>
        <w:t>Taxes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8.4.1</w:t>
      </w:r>
    </w:p>
    <w:p>
      <w:pPr>
        <w:pStyle w:val="TextBody"/>
        <w:bidi w:val="0"/>
        <w:spacing w:before="0" w:after="240"/>
        <w:jc w:val="both"/>
        <w:rPr/>
      </w:pPr>
      <w:r>
        <w:rPr>
          <w:rFonts w:ascii="Times New Roman" w:hAnsi="Times New Roman"/>
          <w:b/>
          <w:color w:val="000000"/>
          <w:sz w:val="24"/>
        </w:rPr>
        <w:t>Cooperation and Coordination</w:t>
      </w:r>
      <w:r>
        <w:rPr>
          <w:rFonts w:ascii="Times New Roman" w:hAnsi="Times New Roman"/>
          <w:color w:val="000000"/>
          <w:sz w:val="24"/>
        </w:rPr>
        <w:t>. The Parties acknowledge and agree that it is their mutual objective and intent to minimize, to the extent feasible and in compliance with Applicable Laws, Taxes (including Indirect Taxes such as sales Tax) payable with respect to their efforts under this Agreement and that they shall use reasonable efforts to cooperate and coordinate with each other to achieve such objective, including by completing and filing documents required or permitted under the provisions of any Applicable Laws in connection with a claim of exemption from, or entitlement to a reduced rate of, withholding Taxes or in connection with any claim to a refund of or credit for any payment of such Taxes.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8.4.2</w:t>
      </w:r>
    </w:p>
    <w:p>
      <w:pPr>
        <w:pStyle w:val="TextBody"/>
        <w:bidi w:val="0"/>
        <w:spacing w:before="0" w:after="240"/>
        <w:jc w:val="both"/>
        <w:rPr/>
      </w:pPr>
      <w:r>
        <w:rPr>
          <w:rFonts w:ascii="Times New Roman" w:hAnsi="Times New Roman"/>
          <w:b/>
          <w:color w:val="000000"/>
          <w:sz w:val="24"/>
        </w:rPr>
        <w:t>Payment of Tax</w:t>
      </w:r>
      <w:r>
        <w:rPr>
          <w:rFonts w:ascii="Times New Roman" w:hAnsi="Times New Roman"/>
          <w:color w:val="000000"/>
          <w:sz w:val="24"/>
        </w:rPr>
        <w:t>. The Upfront Payment, Milestone Payments, Royalties and other amounts payable by Alcon to RxSight pursuant to this Agreement (each, a “</w:t>
      </w:r>
      <w:r>
        <w:rPr>
          <w:rFonts w:ascii="Times New Roman" w:hAnsi="Times New Roman"/>
          <w:b/>
          <w:color w:val="000000"/>
          <w:sz w:val="24"/>
        </w:rPr>
        <w:t>Payment</w:t>
      </w:r>
      <w:r>
        <w:rPr>
          <w:color w:val="000000"/>
        </w:rPr>
        <w:t>”</w:t>
      </w:r>
      <w:r>
        <w:rPr>
          <w:rFonts w:ascii="Times New Roman" w:hAnsi="Times New Roman"/>
          <w:color w:val="000000"/>
          <w:sz w:val="24"/>
        </w:rPr>
        <w:t xml:space="preserve">) shall be paid free and clear of any and all Taxes, except for any withholding Taxes required by Applicable Laws. Except as provided in this Section 8.4.2, RxSight shall be solely responsible for paying any and all Taxes (other than withholding Taxes required by Applicable Laws to be deducted from Payments and remitted by Alcon) levied on account of, or measured in whole or in part by reference to, any Payments it receives. Alcon shall deduct or withhold from the Payments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Taxes that it is required by Applicable Laws to deduct or withhold. Notwithstanding the foregoing, if RxSight is entitled under any applicable Tax treaty to a reduction in the rate of, or the elimination of, any applicable withholding Tax, it may deliver to Alcon or the appropriate Governmental Authority (with the assistance of Alcon to the extent that this is reasonably required and is expressly requested in writing) a completed Internal Revenue Service Form 6166 and such other documentation as reasonably required under Applicable Laws (including Swiss tax laws) to reduce the applicable rate of withholding or to relieve Alcon of its obligation to withhold such Tax, and Alcon shall apply the reduced rate of withholding or dispense with withholding, as the case may be; provided that Alcon has received evidence, in a form satisfactory to Alcon, of RxSight’s delivery of all applicable forms (and, if necessary, evidence, in a form satisfactory to Alcon, of RxSight’s receipt of appropriate authorization from a Governmental Authority) at least [***] prior to the time Payments are due. If, in accordance with the foregoing, Alcon withholds any amount of Tax, it shall pay to RxSight the net balance when due, make timely payment to the proper Tax authority of the withheld amount and send to RxSight proof of such payment within [***] following such payments.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8.4.3</w:t>
      </w:r>
    </w:p>
    <w:p>
      <w:pPr>
        <w:pStyle w:val="TextBody"/>
        <w:bidi w:val="0"/>
        <w:spacing w:before="0" w:after="240"/>
        <w:jc w:val="both"/>
        <w:rPr/>
      </w:pPr>
      <w:r>
        <w:rPr>
          <w:rFonts w:ascii="Times New Roman" w:hAnsi="Times New Roman"/>
          <w:b/>
          <w:color w:val="000000"/>
          <w:sz w:val="24"/>
        </w:rPr>
        <w:t>Indirect Taxes</w:t>
      </w:r>
      <w:r>
        <w:rPr>
          <w:rFonts w:ascii="Times New Roman" w:hAnsi="Times New Roman"/>
          <w:color w:val="000000"/>
          <w:sz w:val="24"/>
        </w:rPr>
        <w:t>. All amounts mentioned in this Agreement are exclusive of any value added, goods and services, sales, use, excise, consumption, and other similar indirect Taxes (“</w:t>
      </w:r>
      <w:r>
        <w:rPr>
          <w:rFonts w:ascii="Times New Roman" w:hAnsi="Times New Roman"/>
          <w:b/>
          <w:color w:val="000000"/>
          <w:sz w:val="24"/>
        </w:rPr>
        <w:t>Indirect Taxes</w:t>
      </w:r>
      <w:r>
        <w:rPr>
          <w:color w:val="000000"/>
        </w:rPr>
        <w:t>”</w:t>
      </w:r>
      <w:r>
        <w:rPr>
          <w:rFonts w:ascii="Times New Roman" w:hAnsi="Times New Roman"/>
          <w:color w:val="000000"/>
          <w:sz w:val="24"/>
        </w:rPr>
        <w:t>). RxSight shall issue all invoices in full compliance with the Indirect Tax laws and regulations applicable at RxSight’s place of business, which is the U.S. as of the Effective Date. If any Indirect Taxes are due based on local law, RxSight will be allowed to add the amount of Indirect Taxes to the amounts mentioned in this agreement and invoice the net amount plus the applicable Indirect Taxes.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8.4.4</w:t>
      </w:r>
    </w:p>
    <w:p>
      <w:pPr>
        <w:pStyle w:val="TextBody"/>
        <w:bidi w:val="0"/>
        <w:spacing w:before="0" w:after="240"/>
        <w:jc w:val="both"/>
        <w:rPr/>
      </w:pPr>
      <w:r>
        <w:rPr>
          <w:rFonts w:ascii="Times New Roman" w:hAnsi="Times New Roman"/>
          <w:b/>
          <w:color w:val="000000"/>
          <w:sz w:val="24"/>
        </w:rPr>
        <w:t>Changes in Domicile</w:t>
      </w:r>
      <w:r>
        <w:rPr>
          <w:rFonts w:ascii="Times New Roman" w:hAnsi="Times New Roman"/>
          <w:color w:val="000000"/>
          <w:sz w:val="24"/>
        </w:rPr>
        <w:t>. Notwithstanding any provision to the contrary in this Agreement, if as a result of a Party assigning, transferring, or conveying rights under this Agreement to an Affiliate or changing its tax domicile, additional Taxes become due that would not otherwise have been due hereunder with respect to payments under this Agreement, then such Party will be responsible for all such additional withholding Taxes.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8.5</w:t>
      </w:r>
    </w:p>
    <w:p>
      <w:pPr>
        <w:pStyle w:val="TextBody"/>
        <w:bidi w:val="0"/>
        <w:spacing w:before="0" w:after="240"/>
        <w:jc w:val="both"/>
        <w:rPr/>
      </w:pPr>
      <w:r>
        <w:rPr>
          <w:rFonts w:ascii="Times New Roman" w:hAnsi="Times New Roman"/>
          <w:b/>
          <w:color w:val="000000"/>
          <w:sz w:val="24"/>
        </w:rPr>
        <w:t>No Projections</w:t>
      </w:r>
      <w:r>
        <w:rPr>
          <w:rFonts w:ascii="Times New Roman" w:hAnsi="Times New Roman"/>
          <w:color w:val="000000"/>
          <w:sz w:val="24"/>
        </w:rPr>
        <w:t>. RxSight and Alcon acknowledge and agree that nothing in this Agreement shall be construed as representing an estimate or projection of anticipated sales of any Collaboration Product. NEITHER RXSIGHT NOR ALCON MAKES ANY REPRESENTATION OR WARRANTY, EITHER EXPRESS OR IMPLIED, THAT IT WILL BE ABLE TO SUCCESSFULLY DEVELOP OR COMMERCIALIZE ANY COLLABORATION PRODUCT OR, IF COMMERCIALIZED, THAT ANY PARTICULAR NET SALES LEVEL OF SUCH COLLABORATION PRODUCT WILL BE ACHIEVED.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8.6</w:t>
      </w:r>
    </w:p>
    <w:p>
      <w:pPr>
        <w:pStyle w:val="TextBody"/>
        <w:bidi w:val="0"/>
        <w:spacing w:before="0" w:after="240"/>
        <w:jc w:val="both"/>
        <w:rPr/>
      </w:pPr>
      <w:r>
        <w:rPr>
          <w:rFonts w:ascii="Times New Roman" w:hAnsi="Times New Roman"/>
          <w:b/>
          <w:color w:val="000000"/>
          <w:sz w:val="24"/>
        </w:rPr>
        <w:t>Late Payments</w:t>
      </w:r>
      <w:r>
        <w:rPr>
          <w:rFonts w:ascii="Times New Roman" w:hAnsi="Times New Roman"/>
          <w:color w:val="000000"/>
          <w:sz w:val="24"/>
        </w:rPr>
        <w:t>. In the event that any undisputed payment due under this Agreement is not made when due, the undisputed payment shall accrue interest from the date due at a rate per annum equal to [***] for the date on which such payment was due, calculated daily on the basis of a 365-day year, or similar reputable data source; provided that in no event shall such rate exceed the maximum legal annual interest rate. The payment of such interest shall not limit a Party from exercising any other rights it may have as a consequence of the lateness of any payment.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8.7</w:t>
      </w:r>
    </w:p>
    <w:p>
      <w:pPr>
        <w:pStyle w:val="TextBody"/>
        <w:bidi w:val="0"/>
        <w:spacing w:before="0" w:after="240"/>
        <w:jc w:val="both"/>
        <w:rPr/>
      </w:pPr>
      <w:r>
        <w:rPr>
          <w:rFonts w:ascii="Times New Roman" w:hAnsi="Times New Roman"/>
          <w:b/>
          <w:color w:val="000000"/>
          <w:sz w:val="24"/>
        </w:rPr>
        <w:t>Disputed Payments</w:t>
      </w:r>
      <w:r>
        <w:rPr>
          <w:rFonts w:ascii="Times New Roman" w:hAnsi="Times New Roman"/>
          <w:color w:val="000000"/>
          <w:sz w:val="24"/>
        </w:rPr>
        <w:t>. If a Party disputes an invoice or portions thereof or other payment obligation under this Agreement, then such Party will timely pay the undisputed amount of the invoice or other payment obligation, and the Parties will resolve such dispute in accordance with Section 16.6.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INTELLECTUAL PROPERTY RIGHTS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9.1</w:t>
      </w:r>
    </w:p>
    <w:p>
      <w:pPr>
        <w:pStyle w:val="TextBody"/>
        <w:bidi w:val="0"/>
        <w:spacing w:before="0" w:after="240"/>
        <w:jc w:val="both"/>
        <w:rPr/>
      </w:pPr>
      <w:r>
        <w:rPr>
          <w:rFonts w:ascii="Times New Roman" w:hAnsi="Times New Roman"/>
          <w:b/>
          <w:color w:val="000000"/>
          <w:sz w:val="24"/>
        </w:rPr>
        <w:t>Inventorship</w:t>
      </w:r>
      <w:r>
        <w:rPr>
          <w:rFonts w:ascii="Times New Roman" w:hAnsi="Times New Roman"/>
          <w:color w:val="000000"/>
          <w:sz w:val="24"/>
        </w:rPr>
        <w:t xml:space="preserve">. Inventorship and the determination of whether any Know-How (including inventions) are discovered, developed, created, conceived or reduced to practice by a Party will, for purposes of this Agreement, be determined in accordance with U.S. patent laws irrespective of where such discovery, development, creation, conception or reduction to practice occurs.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9.2</w:t>
      </w:r>
    </w:p>
    <w:p>
      <w:pPr>
        <w:pStyle w:val="TextBody"/>
        <w:bidi w:val="0"/>
        <w:spacing w:before="0" w:after="240"/>
        <w:jc w:val="both"/>
        <w:rPr/>
      </w:pPr>
      <w:r>
        <w:rPr>
          <w:rFonts w:ascii="Times New Roman" w:hAnsi="Times New Roman"/>
          <w:b/>
          <w:color w:val="000000"/>
          <w:sz w:val="24"/>
        </w:rPr>
        <w:t>Ownership of Intellectual Property</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9.2.1</w:t>
      </w:r>
    </w:p>
    <w:p>
      <w:pPr>
        <w:pStyle w:val="TextBody"/>
        <w:bidi w:val="0"/>
        <w:spacing w:before="0" w:after="240"/>
        <w:jc w:val="both"/>
        <w:rPr/>
      </w:pPr>
      <w:r>
        <w:rPr>
          <w:rFonts w:ascii="Times New Roman" w:hAnsi="Times New Roman"/>
          <w:b/>
          <w:color w:val="000000"/>
          <w:sz w:val="24"/>
        </w:rPr>
        <w:t>Background Intellectual Property</w:t>
      </w:r>
      <w:r>
        <w:rPr>
          <w:rFonts w:ascii="Times New Roman" w:hAnsi="Times New Roman"/>
          <w:color w:val="000000"/>
          <w:sz w:val="24"/>
        </w:rPr>
        <w:t>. Each Party shall solely own and retain all right, title and interest in and to any and all Intellectual Property that such Party or its Affiliates (or its or their (sub)licensees/Sublicensees): (a) Controls as of the Effective Date; or (b) discovers, develops, creates, conceives or reduces to practice or acquires (whether by license, exercise of option, acquisition or otherwise) outside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9.2.2</w:t>
      </w:r>
    </w:p>
    <w:p>
      <w:pPr>
        <w:pStyle w:val="TextBody"/>
        <w:bidi w:val="0"/>
        <w:spacing w:before="0" w:after="240"/>
        <w:jc w:val="both"/>
        <w:rPr/>
      </w:pPr>
      <w:r>
        <w:rPr>
          <w:rFonts w:ascii="Times New Roman" w:hAnsi="Times New Roman"/>
          <w:b/>
          <w:color w:val="000000"/>
          <w:sz w:val="24"/>
        </w:rPr>
        <w:t>Arising Intellectual Property</w:t>
      </w:r>
      <w:r>
        <w:rPr>
          <w:rFonts w:ascii="Times New Roman" w:hAnsi="Times New Roman"/>
          <w:color w:val="000000"/>
          <w:sz w:val="24"/>
        </w:rPr>
        <w:t>. With respect to Intellectual Property which may arise during the Term pursuant to activities performed in the scope of this Agreement (including the Development Activities), the following shall apply: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Alcon Arising Intellectual Property</w:t>
      </w:r>
      <w:r>
        <w:rPr>
          <w:rFonts w:ascii="Times New Roman" w:hAnsi="Times New Roman"/>
          <w:color w:val="000000"/>
          <w:sz w:val="24"/>
        </w:rPr>
        <w:t>. All Intellectual Property that solely relates to, or otherwise constitutes an Improvement solely to, any Alcon Technology, regardless of whether such Intellectual Property is generated solely by or on behalf of Alcon, solely by or on behalf of RxSight, or jointly by or on behalf of Alcon and RxSight, shall be owned exclusively by Alcon (“</w:t>
      </w:r>
      <w:r>
        <w:rPr>
          <w:rFonts w:ascii="Times New Roman" w:hAnsi="Times New Roman"/>
          <w:b/>
          <w:color w:val="000000"/>
          <w:sz w:val="24"/>
        </w:rPr>
        <w:t>Alcon Arising Intellectual Property</w:t>
      </w:r>
      <w:r>
        <w:rPr>
          <w:color w:val="000000"/>
        </w:rPr>
        <w:t>”</w:t>
      </w:r>
      <w:r>
        <w:rPr>
          <w:rFonts w:ascii="Times New Roman" w:hAnsi="Times New Roman"/>
          <w:color w:val="000000"/>
          <w:sz w:val="24"/>
        </w:rPr>
        <w:t>). RxSight shall promptly notify Alcon upon the generation of any Alcon Arising Intellectual Property, and RxSight hereby assigns all right, title, and interest in and to such Alcon Arising Intellectual Property to Alcon. For the avoidance of doubt, all Intellectual Property which may arise during the Term pursuant to activities performed in the scope of this Agreement (including the Development Activities) that is related to any diffractive or EDOF optical design of a Collaboration Product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diffractive or EDOF optical design is contributed at least in part by the Alcon Materials) shall be considered an Improvement to the Alcon Technology and shall constitute Alcon Arising Intellectual Property.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RxSight Arising Intellectual Property</w:t>
      </w:r>
      <w:r>
        <w:rPr>
          <w:rFonts w:ascii="Times New Roman" w:hAnsi="Times New Roman"/>
          <w:color w:val="000000"/>
          <w:sz w:val="24"/>
        </w:rPr>
        <w:t>. All Intellectual Property that solely relates to, or otherwise constitutes an Improvement solely to, any RxSight Technology, regardless of whether such Intellectual Property is generated solely by or on behalf of Alcon, solely by or on behalf of RxSight, or jointly by or on behalf of Alcon and RxSight, shall be owned exclusively by RxSight (“</w:t>
      </w:r>
      <w:r>
        <w:rPr>
          <w:rFonts w:ascii="Times New Roman" w:hAnsi="Times New Roman"/>
          <w:b/>
          <w:color w:val="000000"/>
          <w:sz w:val="24"/>
        </w:rPr>
        <w:t>RxSight Arising Intellectual Property</w:t>
      </w:r>
      <w:r>
        <w:rPr>
          <w:color w:val="000000"/>
        </w:rPr>
        <w:t>”</w:t>
      </w:r>
      <w:r>
        <w:rPr>
          <w:rFonts w:ascii="Times New Roman" w:hAnsi="Times New Roman"/>
          <w:color w:val="000000"/>
          <w:sz w:val="24"/>
        </w:rPr>
        <w:t xml:space="preserve">). Alcon shall promptly notify RxSight upon its generation of any RxSight Arising Intellectual Property, and Alcon hereby assigns all right, title, and interest in and to such RxSight Arising Intellectual Property to RxSight.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Other Arising Intellectual Property</w:t>
      </w:r>
      <w:r>
        <w:rPr>
          <w:rFonts w:ascii="Times New Roman" w:hAnsi="Times New Roman"/>
          <w:color w:val="000000"/>
          <w:sz w:val="24"/>
        </w:rPr>
        <w:t>. Except as set forth in Section 9.2.2(a) and Section 9.2.2(b), ownership of Intellectual Property which arises during the Term pursuant to activities performed in the scope of this Agreement (including the Development Activities) shall follow inventorship (“</w:t>
      </w:r>
      <w:r>
        <w:rPr>
          <w:rFonts w:ascii="Times New Roman" w:hAnsi="Times New Roman"/>
          <w:b/>
          <w:color w:val="000000"/>
          <w:sz w:val="24"/>
        </w:rPr>
        <w:t>Other Arising Intellectual Property</w:t>
      </w:r>
      <w:r>
        <w:rPr>
          <w:color w:val="000000"/>
        </w:rPr>
        <w:t>”</w:t>
      </w:r>
      <w:r>
        <w:rPr>
          <w:rFonts w:ascii="Times New Roman" w:hAnsi="Times New Roman"/>
          <w:color w:val="000000"/>
          <w:sz w:val="24"/>
        </w:rPr>
        <w:t>). All Other Arising Intellectual Property that is generated jointly by or on behalf of Alcon and RxSight, shall be owned jointly by the Parties (“</w:t>
      </w:r>
      <w:r>
        <w:rPr>
          <w:rFonts w:ascii="Times New Roman" w:hAnsi="Times New Roman"/>
          <w:b/>
          <w:color w:val="000000"/>
          <w:sz w:val="24"/>
        </w:rPr>
        <w:t>Joint Arising Intellectual Property</w:t>
      </w:r>
      <w:r>
        <w:rPr>
          <w:color w:val="000000"/>
        </w:rPr>
        <w:t>”</w:t>
      </w:r>
      <w:r>
        <w:rPr>
          <w:rFonts w:ascii="Times New Roman" w:hAnsi="Times New Roman"/>
          <w:color w:val="000000"/>
          <w:sz w:val="24"/>
        </w:rPr>
        <w:t>). Each Party has an undivided one</w:t>
        <w:noBreakHyphen/>
        <w:t>half (1/2) interest in Joint Arising Intellectual Property, without a duty of accounting to the other Party except as set forth in this Agreement. Each Party hereby assigns, and shall cause its Affiliates, (sub)licensees, and contractors (and its and their employees or agents) to so assign (or, in the case of subcontractors, use commercially reasonable efforts to cause such subcontractors to assign or license), to the other Party, without additional compensation, such right, title and interest in and to any Joint Arising Intellectual Property, as is necessary to fully effect the joint ownership provided for in this Section 9.2.2(c). To the extent necessary in any jurisdiction to effect the purpose of the foregoing, each Party hereby grants to the other Party a non-exclusive, royalty-free, fully-paid up, worldwide license under such Party’s rights, title, and interest in and to any Joint Arising Intellectual Property solely to exercise such Party’s internal use rights as set forth herein, without the right to sublicense except to its Affiliates and subcontractors performing activities on its behalf and subject to the same restrictions set forth in this Section. During the Term and thereafter, RxSight (a) shall not, and shall ensure that its Affiliates and Sublicensees do not, use any Joint Arising Intellectual Property to research, Develop, Manufacture, Commercialize, or otherwise Exploit any Restricted Product; and (b) shall not, and shall ensure that its Affiliates and Sublicensees do not, license, assign, disclose or grant any rights to Joint Arising Intellectual Property to any Third Party (other than customers, distributors, subcontractors, consultants, agents and similar Persons conducting activities on behalf of RxSight in connection with a product that uses Joint Arising Intellectual Property in manner that complies with this Section 9.2.2(c)), in each case without the prior written consent of Alcon, such consent not to be unreasonably withheld, conditioned or delayed. To the extent RxSight intends to use any Joint Arising Intellectual Property as part of its submission for Regulatory Approval for any product that is not a Restricted Product, RxSight shall provide Alcon with reasonable advanced notice of such planned use of (provided that RxSight shall not have any obligation to disclose its Confidential Information about such product), and shall reasonably consider in good faith Alcon’s comments regarding the potential adverse impact of such planned use on a Collaboration Product.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Exclusion of Subcontractor Activities</w:t>
      </w:r>
      <w:r>
        <w:rPr>
          <w:rFonts w:ascii="Times New Roman" w:hAnsi="Times New Roman"/>
          <w:color w:val="000000"/>
          <w:sz w:val="24"/>
        </w:rPr>
        <w:t>. For the purposes of determining ownership of Intellectual Property under this Section 9.2.2, (i) in no event shall RxSight’s or its Affiliate’s or subcontractor’s conduct of activities under this Agreement be deemed to be activities conducted on behalf of Alcon, and (ii) in no event shall Alcon’s or its Affiliate’s or subcontractor’s conduct of activities under this Agreement be deemed to be activities conducted on behalf of RxSight.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9.2.3</w:t>
      </w:r>
    </w:p>
    <w:p>
      <w:pPr>
        <w:pStyle w:val="TextBody"/>
        <w:bidi w:val="0"/>
        <w:spacing w:before="0" w:after="240"/>
        <w:jc w:val="both"/>
        <w:rPr/>
      </w:pPr>
      <w:r>
        <w:rPr>
          <w:rFonts w:ascii="Times New Roman" w:hAnsi="Times New Roman"/>
          <w:b/>
          <w:color w:val="000000"/>
          <w:sz w:val="24"/>
        </w:rPr>
        <w:t>Assignments; Cooperation</w:t>
      </w:r>
      <w:r>
        <w:rPr>
          <w:rFonts w:ascii="Times New Roman" w:hAnsi="Times New Roman"/>
          <w:color w:val="000000"/>
          <w:sz w:val="24"/>
        </w:rPr>
        <w:t xml:space="preserve">. Each Party represents and covenants that all of its and its Affiliates and its and their (sub)licensees’ employee(s), contractor(s) and agent(s), in each case, who perform activities under this Agreement, are or will be obligated under a binding written agreement to, or otherwise did, assign to such Party (or, if such Party is unable to cause such Person to agree to such assignment obligation despite using commercially reasonable efforts to negotiate such assignment obligation, provide an exclusive license under) all Intellectual Property discovered, developed, created, conceived or reduced to practice by such employee(s),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contractor(s) or other agent(s) under or in connection with this Agreement, except where Applicable Laws require otherwise and except in the case of governmental, not-for-profit and public institutions that have standard policies against such an assignment (in which case a suitable license, or right to obtain such a license, shall be obtained). Each Party shall execute and deliver all such documents, instruments and other papers and take all such other action that the other Party may reasonably request in order to effect the provisions of this Article 9.</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9.3</w:t>
      </w:r>
    </w:p>
    <w:p>
      <w:pPr>
        <w:pStyle w:val="TextBody"/>
        <w:bidi w:val="0"/>
        <w:spacing w:before="0" w:after="240"/>
        <w:jc w:val="both"/>
        <w:rPr/>
      </w:pPr>
      <w:r>
        <w:rPr>
          <w:rFonts w:ascii="Times New Roman" w:hAnsi="Times New Roman"/>
          <w:b/>
          <w:color w:val="000000"/>
          <w:sz w:val="24"/>
        </w:rPr>
        <w:t>Prosecution and Maintenance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9.3.1</w:t>
      </w:r>
    </w:p>
    <w:p>
      <w:pPr>
        <w:pStyle w:val="TextBody"/>
        <w:bidi w:val="0"/>
        <w:spacing w:before="0" w:after="240"/>
        <w:jc w:val="both"/>
        <w:rPr/>
      </w:pPr>
      <w:r>
        <w:rPr>
          <w:rFonts w:ascii="Times New Roman" w:hAnsi="Times New Roman"/>
          <w:b/>
          <w:color w:val="000000"/>
          <w:sz w:val="24"/>
        </w:rPr>
        <w:t>Alcon-Owned Patents</w:t>
      </w:r>
      <w:r>
        <w:rPr>
          <w:rFonts w:ascii="Times New Roman" w:hAnsi="Times New Roman"/>
          <w:color w:val="000000"/>
          <w:sz w:val="24"/>
        </w:rPr>
        <w:t>. As between the Parties, Alcon shall have the sole right, but not the obligation, to Prosecute and Maintain all Patents that Alcon owns in the Territory (including all Patents that constitute Alcon Arising Intellectual Property), using counsel of its choice, in each case, at its sole cost and expense.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9.3.2</w:t>
      </w:r>
    </w:p>
    <w:p>
      <w:pPr>
        <w:pStyle w:val="TextBody"/>
        <w:bidi w:val="0"/>
        <w:spacing w:before="0" w:after="240"/>
        <w:jc w:val="both"/>
        <w:rPr/>
      </w:pPr>
      <w:r>
        <w:rPr>
          <w:rFonts w:ascii="Times New Roman" w:hAnsi="Times New Roman"/>
          <w:b/>
          <w:color w:val="000000"/>
          <w:sz w:val="24"/>
        </w:rPr>
        <w:t>Licensed RxSight Patents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Control</w:t>
      </w:r>
      <w:r>
        <w:rPr>
          <w:rFonts w:ascii="Times New Roman" w:hAnsi="Times New Roman"/>
          <w:color w:val="000000"/>
          <w:sz w:val="24"/>
        </w:rPr>
        <w:t>. As between the Parties, RxSight shall have the first right, but not the obligation, to Prosecute and Maintain the Licensed RxSight Patents in the Territory, using counsel of its choice, in each case, at its sole cost and expense. RxSight shall keep Alcon reasonably informed of all filings, correspondence, and other communications RxSight sends to or receives from any patent office or agency relating to the Prosecution and Maintenance of the Licensed RxSight Patents.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Procedures</w:t>
      </w:r>
      <w:r>
        <w:rPr>
          <w:rFonts w:ascii="Times New Roman" w:hAnsi="Times New Roman"/>
          <w:color w:val="000000"/>
          <w:sz w:val="24"/>
        </w:rPr>
        <w:t>;</w:t>
      </w:r>
      <w:r>
        <w:rPr>
          <w:color w:val="000000"/>
        </w:rPr>
        <w:t xml:space="preserve"> </w:t>
      </w:r>
      <w:r>
        <w:rPr>
          <w:rFonts w:ascii="Times New Roman" w:hAnsi="Times New Roman"/>
          <w:b/>
          <w:color w:val="000000"/>
          <w:sz w:val="24"/>
        </w:rPr>
        <w:t>Step</w:t>
      </w:r>
      <w:r>
        <w:rPr>
          <w:rFonts w:ascii="Times New Roman" w:hAnsi="Times New Roman"/>
          <w:color w:val="000000"/>
          <w:sz w:val="24"/>
        </w:rPr>
        <w:t>-</w:t>
      </w:r>
      <w:r>
        <w:rPr>
          <w:rFonts w:ascii="Times New Roman" w:hAnsi="Times New Roman"/>
          <w:b/>
          <w:color w:val="000000"/>
          <w:sz w:val="24"/>
        </w:rPr>
        <w:t>In</w:t>
      </w:r>
      <w:r>
        <w:rPr>
          <w:rFonts w:ascii="Times New Roman" w:hAnsi="Times New Roman"/>
          <w:color w:val="000000"/>
          <w:sz w:val="24"/>
        </w:rPr>
        <w:t>. If, as between the Parties, after RxSight’s receipt of the Approval Milestone Payment, RxSight is considering whether to cease to Prosecute and Maintain a Licensed RxSight Patent (including to conduct a defense proceeding as set forth in the definition of “</w:t>
      </w:r>
      <w:r>
        <w:rPr>
          <w:rFonts w:ascii="Times New Roman" w:hAnsi="Times New Roman"/>
          <w:b/>
          <w:color w:val="000000"/>
          <w:sz w:val="24"/>
        </w:rPr>
        <w:t>Prosecute and Maintain</w:t>
      </w:r>
      <w:r>
        <w:rPr>
          <w:color w:val="000000"/>
        </w:rPr>
        <w:t>”</w:t>
      </w:r>
      <w:r>
        <w:rPr>
          <w:rFonts w:ascii="Times New Roman" w:hAnsi="Times New Roman"/>
          <w:color w:val="000000"/>
          <w:sz w:val="24"/>
        </w:rPr>
        <w:t>) in a country in the Territory, RxSight shall consult with Alcon regarding such potential decision and consider in good faith any comments or feedback provided by Alcon. If RxSight thereafter decides not to Prosecute and Maintain such Licensed RxSight Patent, RxSight shall provide reasonable prior written notice (but not less than [***] prior to (a) express abandonment of such Licensed RxSight Patent, or (b) a final, non-extendable deadline for a patent filing, filing of a response, or making of a payment to a patent office) to Alcon of such intention. If RxSight does not have a bona fide strategic reason for choosing to cease Prosecution and Maintenance of a Licensed RxSight Patent that is a Product-Specific Patent, Alcon shall thereupon have the option, but not the obligation, to assume the control and direction of the Prosecution and Maintenance of such Licensed RxSight Patent that is a Product-Specific Patent at its sole cost and expense in such country. In such event, the applicable Licensed RxSight Patent that is a Product-Specific Patent shall no longer constitute a Licensed RxSight Patent in such country.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9.3.3</w:t>
      </w:r>
    </w:p>
    <w:p>
      <w:pPr>
        <w:pStyle w:val="TextBody"/>
        <w:bidi w:val="0"/>
        <w:spacing w:before="0" w:after="240"/>
        <w:jc w:val="both"/>
        <w:rPr/>
      </w:pPr>
      <w:r>
        <w:rPr>
          <w:rFonts w:ascii="Times New Roman" w:hAnsi="Times New Roman"/>
          <w:b/>
          <w:color w:val="000000"/>
          <w:sz w:val="24"/>
        </w:rPr>
        <w:t>Patent Term Extension</w:t>
      </w:r>
      <w:r>
        <w:rPr>
          <w:rFonts w:ascii="Times New Roman" w:hAnsi="Times New Roman"/>
          <w:color w:val="000000"/>
          <w:sz w:val="24"/>
        </w:rPr>
        <w:t>. As between the Parties, RxSight will control and, subject to consideration of comments from Alcon in good faith, elect whether to pursue patent term extensions or supplemental protection certificates for any Licensed RxSight Patent.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9.3.4</w:t>
      </w:r>
    </w:p>
    <w:p>
      <w:pPr>
        <w:pStyle w:val="TextBody"/>
        <w:bidi w:val="0"/>
        <w:spacing w:before="0" w:after="240"/>
        <w:jc w:val="both"/>
        <w:rPr/>
      </w:pPr>
      <w:r>
        <w:rPr>
          <w:rFonts w:ascii="Times New Roman" w:hAnsi="Times New Roman"/>
          <w:b/>
          <w:color w:val="000000"/>
          <w:sz w:val="24"/>
        </w:rPr>
        <w:t>Cooperation of the Parties</w:t>
      </w:r>
      <w:r>
        <w:rPr>
          <w:rFonts w:ascii="Times New Roman" w:hAnsi="Times New Roman"/>
          <w:color w:val="000000"/>
          <w:sz w:val="24"/>
        </w:rPr>
        <w:t xml:space="preserve">. Each Party shall, and shall cause its Affiliates to, upon the other Party’s reasonable request, cooperate fully with the other Party in the Prosecution and Maintenance of Patents under this Section 9.3, including by: (a) offering its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comments, if any, promptly; (b) executing, and requiring its employees or contractors to execute, all papers and instruments required or reasonably requested to enable the other Party to apply for and to Prosecute and Maintain such Patents in any country as permitted by this Section 9.3; (c) providing access to relevant documents and other evidence and making its employees available at reasonable business hours; (d) providing the prosecuting Party, upon its request, with copies of any patentability search reports generated by its patent counsel with respect to such Patents, including relevant Third Party patents and patent applications (provided that neither Party shall be required to provide legally privileged information with respect to such Patents unless and until procedures reasonably acceptable to such Party are in place to protect such privilege); and (e) promptly informing the other Party of any matters coming to such Party’s attention that may affect the Prosecution and Maintenance of any such Patents.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9.3.5</w:t>
      </w:r>
    </w:p>
    <w:p>
      <w:pPr>
        <w:pStyle w:val="TextBody"/>
        <w:bidi w:val="0"/>
        <w:spacing w:before="0" w:after="240"/>
        <w:jc w:val="both"/>
        <w:rPr/>
      </w:pPr>
      <w:r>
        <w:rPr>
          <w:rFonts w:ascii="Times New Roman" w:hAnsi="Times New Roman"/>
          <w:b/>
          <w:color w:val="000000"/>
          <w:sz w:val="24"/>
        </w:rPr>
        <w:t>Joint Arising Patents</w:t>
      </w:r>
      <w:r>
        <w:rPr>
          <w:rFonts w:ascii="Times New Roman" w:hAnsi="Times New Roman"/>
          <w:color w:val="000000"/>
          <w:sz w:val="24"/>
        </w:rPr>
        <w:t>. With respect to Patents within Joint Arising Intellectual Property (“</w:t>
      </w:r>
      <w:r>
        <w:rPr>
          <w:rFonts w:ascii="Times New Roman" w:hAnsi="Times New Roman"/>
          <w:b/>
          <w:color w:val="000000"/>
          <w:sz w:val="24"/>
        </w:rPr>
        <w:t>Joint Arising Patents</w:t>
      </w:r>
      <w:r>
        <w:rPr>
          <w:color w:val="000000"/>
        </w:rPr>
        <w:t>”</w:t>
      </w:r>
      <w:r>
        <w:rPr>
          <w:rFonts w:ascii="Times New Roman" w:hAnsi="Times New Roman"/>
          <w:color w:val="000000"/>
          <w:sz w:val="24"/>
        </w:rPr>
        <w:t>), the Parties shall discuss in good faith and agree, on a Patent-by-Patent basis based on affiliation of the inventors and subject matter, the appropriate Party to lead Prosecution and Maintenance of such Joint Arising Patents.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9.4</w:t>
      </w:r>
    </w:p>
    <w:p>
      <w:pPr>
        <w:pStyle w:val="TextBody"/>
        <w:bidi w:val="0"/>
        <w:spacing w:before="0" w:after="240"/>
        <w:jc w:val="both"/>
        <w:rPr/>
      </w:pPr>
      <w:r>
        <w:rPr>
          <w:rFonts w:ascii="Times New Roman" w:hAnsi="Times New Roman"/>
          <w:b/>
          <w:color w:val="000000"/>
          <w:sz w:val="24"/>
        </w:rPr>
        <w:t>Infringement by Third Parties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9.4.1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Each Party shall promptly notify the other Party in writing after becoming aware of any alleged, threatened or actual claim of infringement of any Licensed RxSight Patent or Joint Arising Patent in the Territory (a “</w:t>
      </w:r>
      <w:r>
        <w:rPr>
          <w:rFonts w:ascii="Times New Roman" w:hAnsi="Times New Roman"/>
          <w:b/>
          <w:color w:val="000000"/>
          <w:sz w:val="24"/>
        </w:rPr>
        <w:t>Competitive Infringement</w:t>
      </w:r>
      <w:r>
        <w:rPr>
          <w:color w:val="000000"/>
        </w:rPr>
        <w:t>”</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9.4.2</w:t>
      </w:r>
    </w:p>
    <w:p>
      <w:pPr>
        <w:pStyle w:val="TextBody"/>
        <w:bidi w:val="0"/>
        <w:spacing w:before="0" w:after="240"/>
        <w:jc w:val="both"/>
        <w:rPr/>
      </w:pPr>
      <w:r>
        <w:rPr>
          <w:rFonts w:ascii="Times New Roman" w:hAnsi="Times New Roman"/>
          <w:b/>
          <w:color w:val="000000"/>
          <w:sz w:val="24"/>
        </w:rPr>
        <w:t>Enforcement Rights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RxSight Control Prior to Approval Milestone Payment</w:t>
      </w:r>
      <w:r>
        <w:rPr>
          <w:rFonts w:ascii="Times New Roman" w:hAnsi="Times New Roman"/>
          <w:color w:val="000000"/>
          <w:sz w:val="24"/>
        </w:rPr>
        <w:t>. Prior to RxSight’s receipt of the Approval Milestone Payment, as between the Parties, RxSight shall have the sole right, but not the obligation, to initiate any proceedings or take other appropriate actions against a Competitive Infringement, including as a defense or counterclaim in connection with any Third Party Infringement Claim, at RxSight’s sole cost and expense, using counsel of its own choice, and RxSight shall retain control of the prosecution of such proceedings.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Alcon First Right for SVIOL Competitive Infringement (Post-Approval)</w:t>
      </w:r>
      <w:r>
        <w:rPr>
          <w:rFonts w:ascii="Times New Roman" w:hAnsi="Times New Roman"/>
          <w:color w:val="000000"/>
          <w:sz w:val="24"/>
        </w:rPr>
        <w:t>. After RxSight’s receipt of the Approval Milestone Payment, as between the Parties, with respect to any Competitive Infringement arising from the Exploitation of a Hybrid SVIOL, Alcon shall have the first right, but not the obligation, to initiate any proceedings or take other appropriate actions against such Competitive Infringement, including as a defense or counterclaim in connection with any Third Party Infringement Claim, at Alcon’s sole cost and expense, using counsel of its own choice, and Alcon shall retain control of the prosecution of such proceedings. In exercising such right, Alcon shall have the first right to enforce (i) any Patents that Alcon solely owns hereunder, (ii) the Product-Specific Patents, and (iii) solely to the extent there are no Product-Specific Patents that can reasonably be asserted or enforced against such Competitive Infringement, any other Licensed RxSight Patents (including the RxSight Platform Patents). If Alcon elects not to prosecute or settle such Competitive Infringement, it will notify RxSight thereof, and RxSight may, with Alcon’s prior written consent (which consent shall not be unreasonably withheld, conditioned or delayed), prosecute such Competitive Infringement at its sole cost and expense.</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RxSight Control for Non-SVIOL Competitive Infringement</w:t>
      </w:r>
      <w:r>
        <w:rPr>
          <w:rFonts w:ascii="Times New Roman" w:hAnsi="Times New Roman"/>
          <w:color w:val="000000"/>
          <w:sz w:val="24"/>
        </w:rPr>
        <w:t>. After RxSight’s receipt of the Approval Milestone Payment, as between the Parties, RxSight shall have the sole right, but not the obligation, to initiate any proceedings or take other appropriate actions against any Competitive Infringement arising from the Exploitation of a product that is not a Hybrid SVIOL, including as a defense or counterclaim in connection with any Third Party Infringement Claim, at RxSight’s sole cost and expense, using counsel of its own choice, and RxSight shall retain control of the prosecution of such proceedings.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Alcon Control for Alcon-Owned Patents</w:t>
      </w:r>
      <w:r>
        <w:rPr>
          <w:rFonts w:ascii="Times New Roman" w:hAnsi="Times New Roman"/>
          <w:color w:val="000000"/>
          <w:sz w:val="24"/>
        </w:rPr>
        <w:t>. At any time during the Term, as between the Parties, Alcon shall have the sole right, but not the obligation, to initiate any proceedings or take other appropriate actions against any infringement with respect to any Patents that Alcon solely owns hereunder.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9.4.3</w:t>
      </w:r>
    </w:p>
    <w:p>
      <w:pPr>
        <w:pStyle w:val="TextBody"/>
        <w:bidi w:val="0"/>
        <w:spacing w:before="0" w:after="240"/>
        <w:jc w:val="both"/>
        <w:rPr/>
      </w:pPr>
      <w:r>
        <w:rPr>
          <w:rFonts w:ascii="Times New Roman" w:hAnsi="Times New Roman"/>
          <w:b/>
          <w:color w:val="000000"/>
          <w:sz w:val="24"/>
        </w:rPr>
        <w:t>Allocation of Recoveries</w:t>
      </w:r>
      <w:r>
        <w:rPr>
          <w:rFonts w:ascii="Times New Roman" w:hAnsi="Times New Roman"/>
          <w:color w:val="000000"/>
          <w:sz w:val="24"/>
        </w:rPr>
        <w:t>. Any recoveries resulting from an enforcement action relating to a claim of Competitive Infringement (whether by way of settlement or otherwise) shall be first applied against payment of each Party’s costs and expenses in connection therewith. The enforcing Party will retain any such recoveries in excess of such costs and expenses; provided,</w:t>
      </w:r>
      <w:r>
        <w:rPr>
          <w:color w:val="000000"/>
        </w:rPr>
        <w:t xml:space="preserve"> </w:t>
      </w:r>
      <w:r>
        <w:rPr>
          <w:rFonts w:ascii="Times New Roman" w:hAnsi="Times New Roman"/>
          <w:i/>
          <w:color w:val="000000"/>
          <w:sz w:val="24"/>
        </w:rPr>
        <w:t>however</w:t>
      </w:r>
      <w:r>
        <w:rPr>
          <w:rFonts w:ascii="Times New Roman" w:hAnsi="Times New Roman"/>
          <w:color w:val="000000"/>
          <w:sz w:val="24"/>
        </w:rPr>
        <w:t>,</w:t>
      </w:r>
      <w:r>
        <w:rPr>
          <w:color w:val="000000"/>
        </w:rPr>
        <w:t xml:space="preserve"> </w:t>
      </w:r>
      <w:r>
        <w:rPr>
          <w:rFonts w:ascii="Times New Roman" w:hAnsi="Times New Roman"/>
          <w:color w:val="000000"/>
          <w:sz w:val="24"/>
        </w:rPr>
        <w:t>that (a) if Alcon controls such Competitive Infringement action, to the extent that any award or settlement with respect to a Licensed RxSight Patent or Joint Arising Patent is attributable to loss of sales or profits with respect to a Collaboration Product, such amount shall be paid to or retained by Alcon and treated as “Net Sales” in the Calendar Year in which the money is actually received and any Royalties pursuant to Section 7.3 shall be payable by Alcon to RxSight with respect thereto, and (b) if RxSight controls such Competitive Infringement action, then the Parties shall negotiate in good faith an appropriate allocation of such remainder to reflect the economic interests of the Parties under this Agreement with respect to the applicable Collaboration Product.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9.4.4</w:t>
      </w:r>
    </w:p>
    <w:p>
      <w:pPr>
        <w:pStyle w:val="TextBody"/>
        <w:bidi w:val="0"/>
        <w:spacing w:before="0" w:after="240"/>
        <w:jc w:val="both"/>
        <w:rPr/>
      </w:pPr>
      <w:r>
        <w:rPr>
          <w:rFonts w:ascii="Times New Roman" w:hAnsi="Times New Roman"/>
          <w:b/>
          <w:color w:val="000000"/>
          <w:sz w:val="24"/>
        </w:rPr>
        <w:t>Cooperation</w:t>
      </w:r>
      <w:r>
        <w:rPr>
          <w:rFonts w:ascii="Times New Roman" w:hAnsi="Times New Roman"/>
          <w:color w:val="000000"/>
          <w:sz w:val="24"/>
        </w:rPr>
        <w:t>;</w:t>
      </w:r>
      <w:r>
        <w:rPr>
          <w:color w:val="000000"/>
        </w:rPr>
        <w:t xml:space="preserve"> </w:t>
      </w:r>
      <w:r>
        <w:rPr>
          <w:rFonts w:ascii="Times New Roman" w:hAnsi="Times New Roman"/>
          <w:b/>
          <w:color w:val="000000"/>
          <w:sz w:val="24"/>
        </w:rPr>
        <w:t>Settlement</w:t>
      </w:r>
      <w:r>
        <w:rPr>
          <w:rFonts w:ascii="Times New Roman" w:hAnsi="Times New Roman"/>
          <w:color w:val="000000"/>
          <w:sz w:val="24"/>
        </w:rPr>
        <w:t>. Where a Party controls a Competitive Infringement action under this Section 9.4, the other Party shall, and shall cause its Affiliates to, provide reasonable assistance in connection therewith, including by executing reasonably appropriate documents, cooperating in discovery, joining (or furnishing a power of attorney solely for the purpose of joining) in, or being named as a necessary party to, such action, providing access to relevant records, documents (including laboratory notebooks) and other evidence and making inventors and other of its employees available at reasonable business hours. The Party controlling such Competitive Infringement action shall have the right to direct and control such action, including settlement; provided that such Party shall not enter into any settlement that (a) admits the invalidity or non-infringement of, or otherwise materially impairs the other Party’s rights in, the applicable Patent, or (b) allocates recoveries in a manner inconsistent with Section 9.4.3, in each case without the prior written consent of the other Party. The Party controlling such Competitive Infringement shall (i) consult with the other Party regarding the strategy for such action, (ii) consider in good faith any comments from the other Party and (iii) keep the other Party reasonably informed of material developments, including by providing copies of material filings.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9.5</w:t>
      </w:r>
    </w:p>
    <w:p>
      <w:pPr>
        <w:pStyle w:val="TextBody"/>
        <w:bidi w:val="0"/>
        <w:spacing w:before="0" w:after="240"/>
        <w:jc w:val="both"/>
        <w:rPr/>
      </w:pPr>
      <w:r>
        <w:rPr>
          <w:rFonts w:ascii="Times New Roman" w:hAnsi="Times New Roman"/>
          <w:b/>
          <w:color w:val="000000"/>
          <w:sz w:val="24"/>
        </w:rPr>
        <w:t>Invalidity or Unenforceability Defenses or Actions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9.5.1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Each Party shall promptly notify the other Party in writing of any alleged or threatened assertion of invalidity or unenforceability of any Licensed RxSight Patent or Joint Arising Patent by a Third Party of which such Party becomes aware.</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9.5.2</w:t>
      </w:r>
    </w:p>
    <w:p>
      <w:pPr>
        <w:pStyle w:val="TextBody"/>
        <w:bidi w:val="0"/>
        <w:spacing w:before="0" w:after="240"/>
        <w:jc w:val="both"/>
        <w:rPr/>
      </w:pPr>
      <w:r>
        <w:rPr>
          <w:rFonts w:ascii="Times New Roman" w:hAnsi="Times New Roman"/>
          <w:b/>
          <w:color w:val="000000"/>
          <w:sz w:val="24"/>
        </w:rPr>
        <w:t>Defense Actions</w:t>
      </w:r>
      <w:r>
        <w:rPr>
          <w:rFonts w:ascii="Times New Roman" w:hAnsi="Times New Roman"/>
          <w:color w:val="000000"/>
          <w:sz w:val="24"/>
        </w:rPr>
        <w:t>. As between the Parties, the Party having the right to Prosecute and Maintain a Patent under Section 9.3 shall have the first right to defend and control the defense of the validity and enforceability of such Patent in the Territory, using counsel of its own choice, at its sole cost and expense; provided</w:t>
      </w:r>
      <w:r>
        <w:rPr>
          <w:color w:val="000000"/>
        </w:rPr>
        <w:t xml:space="preserve"> </w:t>
      </w:r>
      <w:r>
        <w:rPr>
          <w:rFonts w:ascii="Times New Roman" w:hAnsi="Times New Roman"/>
          <w:color w:val="000000"/>
          <w:sz w:val="24"/>
        </w:rPr>
        <w:t xml:space="preserve">that if the assertion of invalidity or unenforceability of such Patents is brought as a defense or counterclaim in connection with a Competitive Infringement action initiated pursuant to Section 9.4, the applicable enforcing Party with respect to Competitive Infringement shall have the first right, but not the obligation, to defend and control the defense of such validity and enforceability of such Patents at its sole cost and expense. If a responsible Party elects not to defend or control the defense of a Patent in an action arising under this Section 9.5, it shall provide reasonable prior written notice to the other Party of such intention, and the other Party may conduct and control the defense of any action at its own cost and expense. For clarity, this Section 9.5 shall not apply to control of oppositions, interferences, re-issuances, reexamination requests, derivation proceedings, inter partes reviews, post-grant reviews or other similar post-grant proceedings, which proceedings constitute Prosecution and Maintenance under Section 9.3. In the event of a termination of this Agreement pursuant to which Section 12.7 applies, this Section 9.5.2 shall survive such termination solely for the duration of the license granted under Section 12.7.1 and shall apply </w:t>
      </w:r>
      <w:r>
        <w:rPr>
          <w:rFonts w:ascii="Times New Roman" w:hAnsi="Times New Roman"/>
          <w:i/>
          <w:color w:val="000000"/>
          <w:sz w:val="24"/>
        </w:rPr>
        <w:t>mutatis mutandis</w:t>
      </w:r>
      <w:r>
        <w:rPr>
          <w:rFonts w:ascii="Times New Roman" w:hAnsi="Times New Roman"/>
          <w:color w:val="000000"/>
          <w:sz w:val="24"/>
        </w:rPr>
        <w:t xml:space="preserve">. For clarity, for the purposes of this Section during such survival period, Section 9.3 shall be of no further force and effect, resulting in the Party that Controls such Patent having the right to Prosecute and Maintain such Patent.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9.5.3</w:t>
      </w:r>
    </w:p>
    <w:p>
      <w:pPr>
        <w:pStyle w:val="TextBody"/>
        <w:bidi w:val="0"/>
        <w:spacing w:before="0" w:after="240"/>
        <w:jc w:val="both"/>
        <w:rPr/>
      </w:pPr>
      <w:r>
        <w:rPr>
          <w:rFonts w:ascii="Times New Roman" w:hAnsi="Times New Roman"/>
          <w:b/>
          <w:color w:val="000000"/>
          <w:sz w:val="24"/>
        </w:rPr>
        <w:t>Cooperation</w:t>
      </w:r>
      <w:r>
        <w:rPr>
          <w:rFonts w:ascii="Times New Roman" w:hAnsi="Times New Roman"/>
          <w:color w:val="000000"/>
          <w:sz w:val="24"/>
        </w:rPr>
        <w:t>. Where a Party controls an action under this Section 9.5, the other Party shall, and shall cause its Affiliates to, provide reasonable assistance in connection therewith, including by executing reasonably appropriate documents, cooperating in discovery, joining (or furnishing a power of attorney solely for the purpose of joining) in, or being named as a necessary party to, such action, providing access to relevant records, documents (including laboratory notebooks) and other evidence and making inventors and other of its employees available at reasonable business hours. The controlling Party shall have the right to settle such action; provided</w:t>
      </w:r>
      <w:r>
        <w:rPr>
          <w:color w:val="000000"/>
        </w:rPr>
        <w:t xml:space="preserve"> </w:t>
      </w:r>
      <w:r>
        <w:rPr>
          <w:rFonts w:ascii="Times New Roman" w:hAnsi="Times New Roman"/>
          <w:color w:val="000000"/>
          <w:sz w:val="24"/>
        </w:rPr>
        <w:t>that such Party shall not enter into any settlement admitting the invalidity or non-infringement of, or otherwise impairing the other Party’s rights in, the applicable Patents without the prior written consent of the other Party (which consent shall not be unreasonably withheld, conditioned or delayed), and RxSight shall not have the right to settle any action under this Section 9.5 with respect to any Product-Specific Patent without the express written consent of Alcon (not to be unreasonably withheld, conditioned or delayed). The non-controlling Party may participate in any action regarding the validity and enforceability of such Patent in the Territory with counsel of its choice, at its sole cost and expense; provided</w:t>
      </w:r>
      <w:r>
        <w:rPr>
          <w:color w:val="000000"/>
        </w:rPr>
        <w:t xml:space="preserve"> </w:t>
      </w:r>
      <w:r>
        <w:rPr>
          <w:rFonts w:ascii="Times New Roman" w:hAnsi="Times New Roman"/>
          <w:color w:val="000000"/>
          <w:sz w:val="24"/>
        </w:rPr>
        <w:t>that the controlling Party shall retain control of the defense in such action.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9.6</w:t>
      </w:r>
    </w:p>
    <w:p>
      <w:pPr>
        <w:pStyle w:val="TextBody"/>
        <w:bidi w:val="0"/>
        <w:spacing w:before="0" w:after="240"/>
        <w:jc w:val="both"/>
        <w:rPr/>
      </w:pPr>
      <w:r>
        <w:rPr>
          <w:rFonts w:ascii="Times New Roman" w:hAnsi="Times New Roman"/>
          <w:b/>
          <w:color w:val="000000"/>
          <w:sz w:val="24"/>
        </w:rPr>
        <w:t>Third Party Infringement Claims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Each Party shall promptly notify the other in writing if the Exploitation of a Collaboration Product by or on behalf of a Party or any of its Affiliates or its or their (sub)licensees pursuant to this Agreement results in, or is reasonably expected to result in, any claim, suit or proceeding by a Third Party alleging infringement, misappropriation or other violation of the Intellectual Property rights of such Third Party (a “</w:t>
      </w:r>
      <w:r>
        <w:rPr>
          <w:rFonts w:ascii="Times New Roman" w:hAnsi="Times New Roman"/>
          <w:b/>
          <w:color w:val="000000"/>
          <w:sz w:val="24"/>
        </w:rPr>
        <w:t>Third Party Infringement Claim</w:t>
      </w:r>
      <w:r>
        <w:rPr>
          <w:color w:val="000000"/>
        </w:rPr>
        <w:t>”</w:t>
      </w:r>
      <w:r>
        <w:rPr>
          <w:rFonts w:ascii="Times New Roman" w:hAnsi="Times New Roman"/>
          <w:color w:val="000000"/>
          <w:sz w:val="24"/>
        </w:rPr>
        <w:t xml:space="preserve">), including any defense or counterclaim in connection with a Competitive Infringement action initiated pursuant to Section 9.4.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9.6.2</w:t>
      </w:r>
    </w:p>
    <w:p>
      <w:pPr>
        <w:pStyle w:val="TextBody"/>
        <w:bidi w:val="0"/>
        <w:spacing w:before="0" w:after="240"/>
        <w:jc w:val="both"/>
        <w:rPr/>
      </w:pPr>
      <w:r>
        <w:rPr>
          <w:rFonts w:ascii="Times New Roman" w:hAnsi="Times New Roman"/>
          <w:b/>
          <w:color w:val="000000"/>
          <w:sz w:val="24"/>
        </w:rPr>
        <w:t>RxSight Control Prior to Approval Milestone Payment</w:t>
      </w:r>
      <w:r>
        <w:rPr>
          <w:rFonts w:ascii="Times New Roman" w:hAnsi="Times New Roman"/>
          <w:color w:val="000000"/>
          <w:sz w:val="24"/>
        </w:rPr>
        <w:t>. Prior to RxSight’s receipt of the Approval Milestone Payment, as between the Parties, RxSight shall have the right, but not the obligation, to defend against any Third Party Infringement Claim, at RxSight’s sole cost and expense, using counsel of its own choice, and RxSight shall retain control of the prosecution of such proceedings.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9.6.3</w:t>
      </w:r>
    </w:p>
    <w:p>
      <w:pPr>
        <w:pStyle w:val="TextBody"/>
        <w:bidi w:val="0"/>
        <w:spacing w:before="0" w:after="240"/>
        <w:jc w:val="both"/>
        <w:rPr/>
      </w:pPr>
      <w:r>
        <w:rPr>
          <w:rFonts w:ascii="Times New Roman" w:hAnsi="Times New Roman"/>
          <w:b/>
          <w:color w:val="000000"/>
          <w:sz w:val="24"/>
        </w:rPr>
        <w:t>RxSight Technology Claims</w:t>
      </w:r>
      <w:r>
        <w:rPr>
          <w:rFonts w:ascii="Times New Roman" w:hAnsi="Times New Roman"/>
          <w:color w:val="000000"/>
          <w:sz w:val="24"/>
        </w:rPr>
        <w:t>. As between the Parties, RxSight shall have the sole right, but not the obligation, to control the defense of (including settlement of) any Third Party Infringement Claim that (a) arises solely from the Exploitation of the RxSight Technology and (b) does not seek, and it is not reasonably foreseeable that such Third Party will seek or that a court or other Governmental Authority may grant, as part of the relief requested, any injunction or other equitable relief that would restrict or limit the Exploitation of any Collaboration Product (a “</w:t>
      </w:r>
      <w:r>
        <w:rPr>
          <w:rFonts w:ascii="Times New Roman" w:hAnsi="Times New Roman"/>
          <w:b/>
          <w:color w:val="000000"/>
          <w:sz w:val="24"/>
        </w:rPr>
        <w:t>RxSight Technology Claim</w:t>
      </w:r>
      <w:r>
        <w:rPr>
          <w:color w:val="000000"/>
        </w:rPr>
        <w:t>”</w:t>
      </w:r>
      <w:r>
        <w:rPr>
          <w:rFonts w:ascii="Times New Roman" w:hAnsi="Times New Roman"/>
          <w:color w:val="000000"/>
          <w:sz w:val="24"/>
        </w:rPr>
        <w:t>), in each case at its sole cost and expense and using counsel of its own choice; provided that with respect to foregoing clause (b), a claim for injunctive relief in a complaint shall not be deemed as seeking injunctive or other equitable relief if there is no reasonable basis for such claim. RxSight shall keep Alcon reasonably informed of the status and material developments in connection with any such RxSight Technology Claim, and shall not enter into any settlement of any RxSight Technology Claim that would adversely affect Alcon’s rights with respect to any Collaboration Product or the Licensed RxSight Intellectual Property without the prior written consent of Alcon (not to be unreasonably withheld, conditioned or delayed).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9.6.4</w:t>
      </w:r>
    </w:p>
    <w:p>
      <w:pPr>
        <w:pStyle w:val="TextBody"/>
        <w:bidi w:val="0"/>
        <w:spacing w:before="0" w:after="240"/>
        <w:jc w:val="both"/>
        <w:rPr/>
      </w:pPr>
      <w:r>
        <w:rPr>
          <w:rFonts w:ascii="Times New Roman" w:hAnsi="Times New Roman"/>
          <w:b/>
          <w:color w:val="000000"/>
          <w:sz w:val="24"/>
        </w:rPr>
        <w:t>Collaboration Product Claims</w:t>
      </w:r>
      <w:r>
        <w:rPr>
          <w:rFonts w:ascii="Times New Roman" w:hAnsi="Times New Roman"/>
          <w:color w:val="000000"/>
          <w:sz w:val="24"/>
        </w:rPr>
        <w:t>. After RxSight’s receipt of the Approval Milestone Payment, as between the Parties, with respect to any Third Party Infringement Claim to the extent arising from, or alleging that, the Exploitation of a Collaboration Product infringes any Intellectual Property rights of a Third Party, other than any RxSight Technology Claim governed by Section 9.6.2, Alcon shall have the first right, but not the obligation, to control the defense of such Third Party Infringement Claim (including settlement), at its sole cost and expense and using counsel of its own choice. If Alcon elects not to control the defense of any Third Party Infringement Claim under this Section 9.6.4, it shall promptly notify RxSight in writing, and RxSight may, upon written notice to Alcon, assume control of such defense at its sole cost and expense. For the avoidance of doubt, any Third Party Infringement Claim that (a) arises from the Exploitation of a Collaboration Product and (b) seeks any injunction or other equitable relief that would restrict or limit the Exploitation of any Collaboration Product shall be deemed a Collaboration Product Claim governed by this Section 9.6.4, regardless of whether such claim also relates to the RxSight Technology.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9.6.5</w:t>
      </w:r>
    </w:p>
    <w:p>
      <w:pPr>
        <w:pStyle w:val="TextBody"/>
        <w:bidi w:val="0"/>
        <w:spacing w:before="0" w:after="240"/>
        <w:jc w:val="both"/>
        <w:rPr/>
      </w:pPr>
      <w:r>
        <w:rPr>
          <w:rFonts w:ascii="Times New Roman" w:hAnsi="Times New Roman"/>
          <w:b/>
          <w:color w:val="000000"/>
          <w:sz w:val="24"/>
        </w:rPr>
        <w:t>Cooperation; Settlement</w:t>
      </w:r>
      <w:r>
        <w:rPr>
          <w:rFonts w:ascii="Times New Roman" w:hAnsi="Times New Roman"/>
          <w:color w:val="000000"/>
          <w:sz w:val="24"/>
        </w:rPr>
        <w:t xml:space="preserve">. Each Party shall, and shall cause its Affiliates to, assist and cooperate with the Party controlling the defense, as such Party may reasonably request from time to time, including by executing reasonably appropriate documents, cooperating in discovery, joining (or furnishing a power of attorney solely for the purpose of joining) in, or being named as a necessary party to, such action, providing access to relevant records and documents (including laboratory notebooks), and making inventors and other employees available at reasonable business hours. The Party controlling the defense of a Third Party Infringement Claim shall (i) consult with the other Party regarding the strategy for such action, (ii) consider in good faith any comments from the other Party and (iii) keep the other Party reasonably informed of material developments, including by providing copies of material filings. The Party controlling the defense of a Third Party Infringement Claim shall not enter into any settlement that materially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impairs the other Party’s rights to a Collaboration Product or any other product that incorporates RxSight Technology or Alcon Technology (as applicable) without the prior written consent of the other Party, such as by way of admission of infringement, misappropriation or other violation of the Intellectual Property rights of a Third Party by a Collaboration Product or any other product that incorporates RxSight Technology or Alcon Technology (as applicable).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9.6.6</w:t>
      </w:r>
    </w:p>
    <w:p>
      <w:pPr>
        <w:pStyle w:val="TextBody"/>
        <w:bidi w:val="0"/>
        <w:spacing w:before="0" w:after="240"/>
        <w:jc w:val="both"/>
        <w:rPr/>
      </w:pPr>
      <w:r>
        <w:rPr>
          <w:rFonts w:ascii="Times New Roman" w:hAnsi="Times New Roman"/>
          <w:b/>
          <w:color w:val="000000"/>
          <w:sz w:val="24"/>
        </w:rPr>
        <w:t>Independent Defense</w:t>
      </w:r>
      <w:r>
        <w:rPr>
          <w:rFonts w:ascii="Times New Roman" w:hAnsi="Times New Roman"/>
          <w:color w:val="000000"/>
          <w:sz w:val="24"/>
        </w:rPr>
        <w:t xml:space="preserve">. Notwithstanding the foregoing, this Section 9.6 shall not prevent either Party from defending itself against a Third Party Infringement Claim if it has been named a defendant or is required to join an action as a co-defendant or joint defendant.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9.6.7</w:t>
      </w:r>
    </w:p>
    <w:p>
      <w:pPr>
        <w:pStyle w:val="TextBody"/>
        <w:bidi w:val="0"/>
        <w:spacing w:before="0" w:after="240"/>
        <w:jc w:val="both"/>
        <w:rPr/>
      </w:pPr>
      <w:r>
        <w:rPr>
          <w:rFonts w:ascii="Times New Roman" w:hAnsi="Times New Roman"/>
          <w:b/>
          <w:color w:val="000000"/>
          <w:sz w:val="24"/>
        </w:rPr>
        <w:t>Cost Recovery</w:t>
      </w:r>
      <w:r>
        <w:rPr>
          <w:rFonts w:ascii="Times New Roman" w:hAnsi="Times New Roman"/>
          <w:color w:val="000000"/>
          <w:sz w:val="24"/>
        </w:rPr>
        <w:t>. After giving effect to Section 7.3.3, Alcon shall be entitled to deduct (a) all documented and verifiable costs and expenses incurred by Alcon in defending Third Party Infringement Claims against the Royalties or Minimum Royalty Payments (as applicable) payable to RxSight hereunder to the extent such Third Party Infringement Claim arises solely from the incorporation or use of the RxSight Technology in the applicable Collaboration Product, and (b) [***] of all documented and verifiable costs and expenses incurred by Alcon in defending Third Party Infringement Claims against the Royalties or Minimum Royalty Payments (as applicable) payable to RxSight hereunder to the extent such Third Party Infringement Claim arises neither solely from the incorporation or use of the RxSight Technology nor Alcon Technology in the applicable Collaboration Product. For clarity, Alcon shall not be entitled to deduct any such costs or expenses to the extent such Third Party Infringement Claim arises solely from the incorporation or use of the Alcon Technology in the applicable Collaboration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9.7</w:t>
      </w:r>
    </w:p>
    <w:p>
      <w:pPr>
        <w:pStyle w:val="TextBody"/>
        <w:bidi w:val="0"/>
        <w:spacing w:before="0" w:after="240"/>
        <w:jc w:val="both"/>
        <w:rPr/>
      </w:pPr>
      <w:r>
        <w:rPr>
          <w:rFonts w:ascii="Times New Roman" w:hAnsi="Times New Roman"/>
          <w:b/>
          <w:color w:val="000000"/>
          <w:sz w:val="24"/>
        </w:rPr>
        <w:t>Third Party Rights</w:t>
      </w:r>
      <w:r>
        <w:rPr>
          <w:rFonts w:ascii="Times New Roman" w:hAnsi="Times New Roman"/>
          <w:color w:val="000000"/>
          <w:sz w:val="24"/>
        </w:rPr>
        <w:t>. If either Party determines that any Patent or Know-How of a Third Party in any country in the Territory is necessary or reasonably useful for the Exploitation of a Collaboration Product (such right, a “</w:t>
      </w:r>
      <w:r>
        <w:rPr>
          <w:rFonts w:ascii="Times New Roman" w:hAnsi="Times New Roman"/>
          <w:b/>
          <w:color w:val="000000"/>
          <w:sz w:val="24"/>
        </w:rPr>
        <w:t>Third Party Right</w:t>
      </w:r>
      <w:r>
        <w:rPr>
          <w:color w:val="000000"/>
        </w:rPr>
        <w:t>”</w:t>
      </w:r>
      <w:r>
        <w:rPr>
          <w:rFonts w:ascii="Times New Roman" w:hAnsi="Times New Roman"/>
          <w:color w:val="000000"/>
          <w:sz w:val="24"/>
        </w:rPr>
        <w:t xml:space="preserve">), then such Party shall promptly notify the other Party of such Third Party Right. As between the Parties, if the Third Party Right solely relates to RxSight Technology, RxSight shall have the sole right to negotiate and obtain a license or other rights with respect to such Third Party Right that it deems necessary for the Exploitation of any Collaboration Product in the Field in the Territory, and RxSight shall be responsible for all costs and obligations associated with obtaining such Third Party Rights. As between the Parties, if the Third Party Right solely relates to Alcon Technology, Alcon shall have the sole right to negotiate and obtain a license or other rights with respect to such Third Party Right that it deems necessary for the Exploitation of any Collaboration Product in the Field in the Territory, and Alcon shall be responsible for all costs and obligations associated with obtaining such Third Party Rights. As between the Parties, if the Third Party Right is neither solely related to Alcon Technology nor solely related to RxSight Technology, RxSight shall have the first right to negotiate and obtain a license or other rights from such Third Party with respect to such Third Party Right that it deems necessary or reasonably useful for the Exploitation of any Collaboration Product in the Field in the Territory. If the Third Party Right is neither solely related to Alcon Technology nor solely related to RxSight Technology, and RxSight does not exercise its first right to negotiate and obtain a license or other rights from such Third Party with respect to such Third Party Right, then Alcon shall have the backup right to negotiate and obtain a license or other rights with respect to such Third Party Right that it deems necessary or reasonably useful for the Exploitation of any Collaboration Product in the Field in the Territory, and [***] costs of obtaining such Third Party Rights (including any upfront, milestone, royalty and other payments to such Third Party); provided that in lieu of directly reimbursing Alcon to cover its [***], Alcon may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deduct its share from the Royalties owed to RxSight under Section 7.3. The Parties shall reasonably cooperate with each other in connection with obtaining Third Party Rights, including by keeping each other reasonably informed, providing relevant information and executing necessary documents to the Party leading the transactions with the Third Parties. In the event of a termination of this Agreement pursuant to which Section 12.7 applies, this Section 9.7 shall survive such termination for the duration of the Reversion Term, any Third Party Right licensed or obtained by Alcon hereunder shall be deemed Alcon Reversion Product Intellectual Property and the right to deduct from Royalties hereunder shall apply to RxSight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9.8</w:t>
      </w:r>
    </w:p>
    <w:p>
      <w:pPr>
        <w:pStyle w:val="TextBody"/>
        <w:bidi w:val="0"/>
        <w:spacing w:before="0" w:after="240"/>
        <w:jc w:val="both"/>
        <w:rPr/>
      </w:pPr>
      <w:r>
        <w:rPr>
          <w:rFonts w:ascii="Times New Roman" w:hAnsi="Times New Roman"/>
          <w:b/>
          <w:color w:val="000000"/>
          <w:sz w:val="24"/>
        </w:rPr>
        <w:t>Trademarks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9.8.1</w:t>
      </w:r>
    </w:p>
    <w:p>
      <w:pPr>
        <w:pStyle w:val="TextBody"/>
        <w:bidi w:val="0"/>
        <w:spacing w:before="0" w:after="240"/>
        <w:jc w:val="both"/>
        <w:rPr/>
      </w:pPr>
      <w:r>
        <w:rPr>
          <w:rFonts w:ascii="Times New Roman" w:hAnsi="Times New Roman"/>
          <w:b/>
          <w:color w:val="000000"/>
          <w:sz w:val="24"/>
        </w:rPr>
        <w:t>Product Trademarks</w:t>
      </w:r>
      <w:r>
        <w:rPr>
          <w:rFonts w:ascii="Times New Roman" w:hAnsi="Times New Roman"/>
          <w:color w:val="000000"/>
          <w:sz w:val="24"/>
        </w:rPr>
        <w:t>. During the Term, Alcon shall have the sole right to select any Product Trademark for use with a Collaboration Product; provided that Alcon shall reasonably consult with RxSight regarding the selection of such Product Trademarks and shall consider in good faith any comments provided by RxSight. Notwithstanding the foregoing, Alcon shall retain sole and exclusive decision-making authority with respect to the selection of all Product Trademarks. Alcon will be free, in its sole discretion at its sole expense, to register any Product Trademark for use with a Collaboration Product in any trademark office. Alcon shall own all right, title and interest in and to any Product Trademarks and shall have the sole right to prosecute, enforce and defend such Product Trademarks. RxSight shall not, and shall cause its Affiliates and its and their (sub)licensees not to, (a) use in their respective businesses, any Trademark that is confusingly similar to, misleading or deceptive with respect to or that dilutes any (or any part) of the Product Trademarks, and (b) do any act that endangers, destroys or similarly affects, in any material respect, the value of the goodwill pertaining to the Product Trademarks. RxSight shall not, and shall cause its Affiliates and its and their (sub)licensees not to, attack, dispute or contest the validity of or ownership of any Product Trademark anywhere in the Territory or any registrations issued or issuing with respect thereto. In the event that any Product Trademark is infringed by a Third Party, Alcon may request from RxSight, and RxSight shall provide, reasonable assistance to enforce its rights and defend against such infringement, and Alcon shall reimburse RxSight’s reasonable and verifiable costs incurred for such assistance.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9.8.2</w:t>
      </w:r>
    </w:p>
    <w:p>
      <w:pPr>
        <w:pStyle w:val="TextBody"/>
        <w:bidi w:val="0"/>
        <w:spacing w:before="0" w:after="240"/>
        <w:jc w:val="both"/>
        <w:rPr/>
      </w:pPr>
      <w:r>
        <w:rPr>
          <w:rFonts w:ascii="Times New Roman" w:hAnsi="Times New Roman"/>
          <w:b/>
          <w:color w:val="000000"/>
          <w:sz w:val="24"/>
        </w:rPr>
        <w:t>Alcon Trademarks</w:t>
      </w:r>
      <w:r>
        <w:rPr>
          <w:rFonts w:ascii="Times New Roman" w:hAnsi="Times New Roman"/>
          <w:color w:val="000000"/>
          <w:sz w:val="24"/>
        </w:rPr>
        <w:t>. Alcon shall have the sole right to select any Alcon Trademarks for use with a Collaboration Product. Alcon shall own all right, title and interest in and to any such Alcon Trademarks and shall have the sole right to prosecute, enforce and defend such Alcon Trademarks. RxSight shall not, and shall cause its Affiliates and its and their (sub)licensees not to, (a) use in their respective businesses, any Trademark that is confusingly similar to, misleading or deceptive with respect to or that dilutes any (or any part) of the Alcon Trademarks, and (b) do any act that endangers, destroys or similarly affects, in any material respect, the value of the goodwill pertaining to the Alcon Trademarks. RxSight shall not, and shall cause its Affiliates and its and their (sub)licensees not to, attack, dispute or contest the validity of or ownership of any Alcon Trademark anywhere in the Territory or any registrations issued or issuing with respect thereto.</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9.8.3</w:t>
      </w:r>
    </w:p>
    <w:p>
      <w:pPr>
        <w:pStyle w:val="TextBody"/>
        <w:bidi w:val="0"/>
        <w:spacing w:before="0" w:after="240"/>
        <w:jc w:val="both"/>
        <w:rPr/>
      </w:pPr>
      <w:r>
        <w:rPr>
          <w:rFonts w:ascii="Times New Roman" w:hAnsi="Times New Roman"/>
          <w:b/>
          <w:color w:val="000000"/>
          <w:sz w:val="24"/>
        </w:rPr>
        <w:t>RxSight Trademarks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the remainder of this Section 9.8.3, Alcon shall have sole and exclusive control over all packaging, promotional materials, package inserts, and labeling for the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Collaboration Products in the Field in the Territory, including all decisions regarding branding, trade dress, and presentation. Alcon shall include a reasonable and customary form of attribution to RxSight in the label and/or packaging for each Collaboration Product, which shall include use of one or more RxSight Trademarks, taking into account applicable legal, regulatory and commercial considerations. Alcon shall provide RxSight with samples of any materials that include any RxSight Trademark prior to first public disclosure or use, and RxSight shall have the right to provide comments with respect to the use of such RxSight Trademark, including comments regarding compliance with RxSight’s trademark usage guidelines. Alcon shall consider such comments in good faith; provided that Alcon shall retain final decision-making authority with respect to all such materials. Alcon shall use such RxSight Trademarks in a manner consistent with RxSight’s then-current trademark usage guidelines (as provided to Alcon in writing), to protect the validity and goodwill associated with such RxSight Trademarks. All goodwill arising from the use of the RxSight Trademarks shall inure to the benefit of RxSight.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own all right, title and interest in and to any RxSight Trademarks and shall have the sole right, but not the obligation, to prosecute, enforce and defend such RxSight Trademarks. Alcon shall not, and shall cause its Affiliates and its and their (sub)licensees not to, (i) use in their respective businesses, any Trademark that is confusingly similar to, misleading or deceptive with respect to or that dilutes any (or any part) of the RxSight Trademarks, and (ii) do any act that endangers, destroys or similarly affects, in any material respect, the value of the goodwill pertaining to the RxSight Trademarks. Alcon shall not, and shall cause its Affiliates and its and their (sub)licensees not to, attack, dispute or contest the validity of or ownership of any RxSight Trademarks anywhere in the Territory or any registrations issued or issuing with respect thereto. In the event that any RxSight Trademark used or intended for use for the Commercialization of the Collaboration Products in the Territory is infringed by a Third Party, RxSight may request from Alcon, and Alcon shall provide, reasonable assistance to enforce its rights and defend against such infringement, and RxSight shall reimburse Alcon’s reasonable and verifiable costs incurred for such assistance.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9.9</w:t>
      </w:r>
    </w:p>
    <w:p>
      <w:pPr>
        <w:pStyle w:val="TextBody"/>
        <w:bidi w:val="0"/>
        <w:spacing w:before="0" w:after="240"/>
        <w:jc w:val="both"/>
        <w:rPr/>
      </w:pPr>
      <w:r>
        <w:rPr>
          <w:rFonts w:ascii="Times New Roman" w:hAnsi="Times New Roman"/>
          <w:b/>
          <w:color w:val="000000"/>
          <w:sz w:val="24"/>
        </w:rPr>
        <w:t>Patent Markings</w:t>
      </w:r>
      <w:r>
        <w:rPr>
          <w:rFonts w:ascii="Times New Roman" w:hAnsi="Times New Roman"/>
          <w:color w:val="000000"/>
          <w:sz w:val="24"/>
        </w:rPr>
        <w:t>. Each Party shall comply, and shall cause its Affiliates and sublicensees to comply, with all applicable patent marking requirements under the laws of each country in the Territory in which Collaboration Products are Manufactured, distributed, or sold.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CONFIDENTIALITY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10.1.1</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 In connection with this Agreement, each Party may have access to technical, business or other information and materials, patentable or otherwise, in any form (written, oral, photographic, electronic, magnetic or otherwise) that is disclosed or otherwise provided by or on behalf of the other Party, whether prior to, on or after the Effective Date, including: (a) any unpublished Patents; (b) any information regarding the scientific, regulatory or business affairs or other activities of either Party; (c) the terms of this Agreement; and (d) information relating to any Collaboration Product or the Exploitation thereof (collectively, “</w:t>
      </w:r>
      <w:r>
        <w:rPr>
          <w:rFonts w:ascii="Times New Roman" w:hAnsi="Times New Roman"/>
          <w:b/>
          <w:color w:val="000000"/>
          <w:sz w:val="24"/>
        </w:rPr>
        <w:t>Confidential Information</w:t>
      </w:r>
      <w:r>
        <w:rPr>
          <w:color w:val="000000"/>
        </w:rPr>
        <w:t>”</w:t>
      </w:r>
      <w:r>
        <w:rPr>
          <w:rFonts w:ascii="Times New Roman" w:hAnsi="Times New Roman"/>
          <w:color w:val="000000"/>
          <w:sz w:val="24"/>
        </w:rPr>
        <w:t xml:space="preserve">). Information exchanged by the Parties pursuant to the Confidentiality Agreement and the Ancillary Agreements shall be treated as Confidential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Information under, and governed by the terms of, this Agreement. Notwithstanding the foregoing, (x) Know-How within Licensed RxSight Intellectual Property solely relating to any Collaboration Product or the Exploitation thereof shall be deemed the Confidential Information of RxSight under this Agreement, and (y) the terms of this Agreement shall be the Confidential Information of both Parties (and both Parties shall be deemed the Receiving Party with respect thereto).</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10.1.2</w:t>
      </w:r>
    </w:p>
    <w:p>
      <w:pPr>
        <w:pStyle w:val="TextBody"/>
        <w:bidi w:val="0"/>
        <w:spacing w:before="0" w:after="240"/>
        <w:jc w:val="both"/>
        <w:rPr/>
      </w:pPr>
      <w:r>
        <w:rPr>
          <w:rFonts w:ascii="Times New Roman" w:hAnsi="Times New Roman"/>
          <w:b/>
          <w:color w:val="000000"/>
          <w:sz w:val="24"/>
        </w:rPr>
        <w:t>Restrictions</w:t>
      </w:r>
      <w:r>
        <w:rPr>
          <w:rFonts w:ascii="Times New Roman" w:hAnsi="Times New Roman"/>
          <w:color w:val="000000"/>
          <w:sz w:val="24"/>
        </w:rPr>
        <w:t>. With respect to the Confidential Information of one Party (the “</w:t>
      </w:r>
      <w:r>
        <w:rPr>
          <w:rFonts w:ascii="Times New Roman" w:hAnsi="Times New Roman"/>
          <w:b/>
          <w:color w:val="000000"/>
          <w:sz w:val="24"/>
        </w:rPr>
        <w:t>Disclosing Party</w:t>
      </w:r>
      <w:r>
        <w:rPr>
          <w:color w:val="000000"/>
        </w:rPr>
        <w:t>”</w:t>
      </w:r>
      <w:r>
        <w:rPr>
          <w:rFonts w:ascii="Times New Roman" w:hAnsi="Times New Roman"/>
          <w:color w:val="000000"/>
          <w:sz w:val="24"/>
        </w:rPr>
        <w:t>), at all times during the Term and for a period of [***] following the termination or expiration of this Agreement in its entirety, the other Party (the “</w:t>
      </w:r>
      <w:r>
        <w:rPr>
          <w:rFonts w:ascii="Times New Roman" w:hAnsi="Times New Roman"/>
          <w:b/>
          <w:color w:val="000000"/>
          <w:sz w:val="24"/>
        </w:rPr>
        <w:t>Receiving Party</w:t>
      </w:r>
      <w:r>
        <w:rPr>
          <w:color w:val="000000"/>
        </w:rPr>
        <w:t>”</w:t>
      </w:r>
      <w:r>
        <w:rPr>
          <w:rFonts w:ascii="Times New Roman" w:hAnsi="Times New Roman"/>
          <w:color w:val="000000"/>
          <w:sz w:val="24"/>
        </w:rPr>
        <w:t>) shall, and shall cause its Affiliates and each of its and their respective officers, directors, employees and agents to, (a) keep all of the Disclosing Party’s Confidential Information in confidence with the same degree of care with which the Receiving Party holds its own confidential information (but in no event less than a commercially reasonable degree of care) and (b) not publish or otherwise disclose to a Third Party and not use the Disclosing Party’s Confidential Information for any purpose, except to the extent such disclosure or use is expressly permitted under this Agreement. The Receiving Party may only disclose Confidential Information of the Disclosing Party to its Affiliates and each of its and their respective officers, directors, employees and agents to the extent reasonably necessary for the purposes of performing its obligations or exercising its rights under this Agreement; provided,</w:t>
      </w:r>
      <w:r>
        <w:rPr>
          <w:color w:val="000000"/>
        </w:rPr>
        <w:t xml:space="preserve"> </w:t>
      </w:r>
      <w:r>
        <w:rPr>
          <w:rFonts w:ascii="Times New Roman" w:hAnsi="Times New Roman"/>
          <w:color w:val="000000"/>
          <w:sz w:val="24"/>
        </w:rPr>
        <w:t>that (x) such Persons are bound by legally enforceable obligations to maintain the confidentiality and limit the use of the Confidential Information in a manner consistent with the confidentiality and non-use provisions of this Agreement; and (y) the actions and inactions of any such Person shall, with respect to such Confidential Information, be deemed to be the actions and inactions of such Receiving Party for all purposes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10.1.3</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Notwithstanding the foregoing, the obligations of confidentiality and restrictions on use of Confidential Information under Section 10.1.2 do not apply to any information that the Receiving Party can prove by competent written evidence: (a) is now, or hereafter becomes, through no breach of this Agreement or, prior to the Effective Date, the Confidentiality Agreement by the Receiving Party, generally known or available to the public; (b) is known by the Receiving Party, without any obligation of confidentiality, at the time of receiving such information, other than by previous disclosure by or on behalf of the Disclosing Party or its Affiliates or its or their (sub)licensees/Sublicensees; (c) is hereafter furnished to the Receiving Party without restriction by a Third Party who has no obligation of confidentiality or limitations on use with respect thereto, as a matter of right; or (d) is independently discovered or developed by or on behalf of the Receiving Party without the use of or reference to Confidential Information of the Disclosing Party; and any such information, to the extent subject to any of clauses (a) through (d) above, shall not be deemed to be Confidential Information of a Party. Specific aspects or details of Confidential Information shall not be deemed to be within any of the foregoing exclusions merely because it is embraced by more general information falling within those exclusions. Further, any combination of Confidential Information shall not be considered in the public domain or in the possession of the Receiving Party merely because individual elements of such Confidential Information are in the public domain or in the possession of the Receiving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10.1.4</w:t>
      </w:r>
    </w:p>
    <w:p>
      <w:pPr>
        <w:pStyle w:val="TextBody"/>
        <w:bidi w:val="0"/>
        <w:spacing w:before="0" w:after="240"/>
        <w:jc w:val="both"/>
        <w:rPr/>
      </w:pPr>
      <w:r>
        <w:rPr>
          <w:rFonts w:ascii="Times New Roman" w:hAnsi="Times New Roman"/>
          <w:b/>
          <w:color w:val="000000"/>
          <w:sz w:val="24"/>
        </w:rPr>
        <w:t>Permitted Uses and Disclosures</w:t>
      </w:r>
      <w:r>
        <w:rPr>
          <w:rFonts w:ascii="Times New Roman" w:hAnsi="Times New Roman"/>
          <w:color w:val="000000"/>
          <w:sz w:val="24"/>
        </w:rPr>
        <w:t xml:space="preserve">. The Receiving Party may use and disclose Confidential Information of the Disclosing Party in the following instances; provided that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reasonable measures shall be taken to assure confidential treatment of such information, to the extent such protection is available: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disclosures made by or on behalf of the Receiving Party to a Patent authority as may be reasonably necessary or useful for purposes of obtaining, prosecuting, maintaining, enforcing or defending a Patent as permitted by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RxSight, uses and disclosures made by or on behalf of RxSight (as the Receiving Party) to the extent necessary in connection with the performance of any activities contemplated by this Agreement or the Ancillary Agreements, including uses and disclosures to (i) Regulatory Authorities as required to perform regulatory activities pursuant to this Agreement in connection a Collaboration Product in the Territory, (ii) Sublicensees and (iii) permitted subcontractors, in each case of (ii) and (iii), under written obligations of confidentiality and non-use that are consistent with the confidentiality provisions of this Agreement as they apply to the Receiving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Alcon, uses and disclosures made by or on behalf of Alcon (as the Receiving Party) to the extent necessary in connection with the Commercialization of the Collaboration Products or the performance of its obligations and activities or exercise of its rights as contemplated by this Agreement or the Ancillary Agreements, including uses and disclosures to (i) Sublicensees and (ii) subcontractors, in each case of (i) and (ii), under written obligations of confidentiality and non-use that are consistent with the confidentiality provisions of this Agreement as they apply to the Receiving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disclosures made by or on behalf of the Receiving Party for the purpose of complying with a valid order of a court of competent jurisdiction or other Governmental Authority of competent jurisdiction or, if in the opinion of the Receiving Party’s legal counsel, such disclosure is otherwise required by Applicable Laws (other than with respect to disclosures of this Agreement, which are addressed in Section 10.1.5 and Section 10.2); provided, however, to the extent permitted under Applicable Law, that the Receiving Party shall first have given prompt written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Governmental Authority or, if disclosed, be used only for the purposes for which the order was issued or such disclosure was required by Applicable Laws; and provided, further, that (i) the Confidential Information disclosed in response to such court or governmental order or as required by Applicable Laws shall be limited to the information that is legally required to be disclosed in response to such court or governmental order or by such law and (ii) the Receiving Party, at the Disclosing Party’s cost and expense, shall use efforts to secure confidential treatment of such Confidential Information at least as diligent as such Party would use to protect its own Confidential Information, but in no event less than reasonable efforts;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disclosures made by the Receiving Party to its attorneys, accountants, consultants or financial advisors for the sole purpose of enabling such attorneys, accountants, consultants or financial advisors to provide advice to the Receiving Party, on the condition that such attorneys, accountants, consultants or financial advisors are bound by confidentiality and non-use obligations consistent with the confidentiality provisions of this Agreement as they apply to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Receiving Party (provided, however,</w:t>
      </w:r>
      <w:r>
        <w:rPr>
          <w:color w:val="000000"/>
        </w:rPr>
        <w:t xml:space="preserve"> </w:t>
      </w:r>
      <w:r>
        <w:rPr>
          <w:rFonts w:ascii="Times New Roman" w:hAnsi="Times New Roman"/>
          <w:color w:val="000000"/>
          <w:sz w:val="24"/>
        </w:rPr>
        <w:t>that in the case of attorneys, no written agreement shall be required);</w:t>
      </w:r>
      <w:r>
        <w:rPr>
          <w:color w:val="000000"/>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disclosures made by the Receiving Party to potential and actual bona fide financing sources, investors, acquirers and licensees solely for the purpose of evaluating or carrying out an actual or potential investment, acquisition or collaboration, in each case, on a need-to-know basis and under written obligations of confidentiality and non-use at least as stringent as those herein; provided that RxSight will not disclose the Confidential Information of Alcon (including the confidential terms of this Agreement) to any Industry Participant without Alcon’s written consent, which may be withheld, delayed or conditioned in Alcon’s sole discretion;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information disclosed pursuant to this Section 10.1.4 remains Confidential Information and subject to the restrictions set forth in this Agreement, including the foregoing provisions of this Article 10.</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10.1.5</w:t>
      </w:r>
    </w:p>
    <w:p>
      <w:pPr>
        <w:pStyle w:val="TextBody"/>
        <w:bidi w:val="0"/>
        <w:spacing w:before="0" w:after="240"/>
        <w:jc w:val="both"/>
        <w:rPr/>
      </w:pPr>
      <w:r>
        <w:rPr>
          <w:rFonts w:ascii="Times New Roman" w:hAnsi="Times New Roman"/>
          <w:b/>
          <w:color w:val="000000"/>
          <w:sz w:val="24"/>
        </w:rPr>
        <w:t>Disclosure of Agreement</w:t>
      </w:r>
      <w:r>
        <w:rPr>
          <w:rFonts w:ascii="Times New Roman" w:hAnsi="Times New Roman"/>
          <w:color w:val="000000"/>
          <w:sz w:val="24"/>
        </w:rPr>
        <w:t>. Notwithstanding the foregoing, either Party or its Affiliates or its or their Sublicensees may disclose the relevant terms of this Agreement (a) to the extent required or advisable to comply with the rules and regulations promulgated by the U.S. Securities and Exchange Commission or any equivalent Governmental Authority in any country in the Territory or (b) upon request from a Governmental Authority (such as a Tax authority) in any country in the Territory; provided</w:t>
      </w:r>
      <w:r>
        <w:rPr>
          <w:color w:val="000000"/>
        </w:rPr>
        <w:t xml:space="preserve"> </w:t>
      </w:r>
      <w:r>
        <w:rPr>
          <w:rFonts w:ascii="Times New Roman" w:hAnsi="Times New Roman"/>
          <w:color w:val="000000"/>
          <w:sz w:val="24"/>
        </w:rPr>
        <w:t>that (i) such Party, its Affiliate(s) or and its or their Sublicensee(s), shall, to the extent permitted by Applicable Law, submit a confidential treatment request (or equivalent protection in a country other than the U.S.) in connection with such disclosure, (ii) shall provide a proposed redacted form of the Agreement to the other Party for review and comment and (iii) if the other Party timely provides any comments regarding the proposed redactions, the Parties shall consult with one another on such proposed redactions and consider in good faith such comments to the redacted Agreement for submission with such confidential treatment request (or such other protection).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both"/>
        <w:rPr/>
      </w:pPr>
      <w:r>
        <w:rPr>
          <w:rFonts w:ascii="Times New Roman" w:hAnsi="Times New Roman"/>
          <w:b/>
          <w:color w:val="000000"/>
          <w:sz w:val="24"/>
        </w:rPr>
        <w:t>Press Releases</w:t>
      </w:r>
      <w:r>
        <w:rPr>
          <w:rFonts w:ascii="Times New Roman" w:hAnsi="Times New Roman"/>
          <w:color w:val="000000"/>
          <w:sz w:val="24"/>
        </w:rPr>
        <w:t xml:space="preserve">. Promptly following the Effective Date, each Party may issue a press release in the mutually agreed upon form for such Party attached hereto as </w:t>
      </w:r>
      <w:r>
        <w:rPr>
          <w:rFonts w:ascii="Times New Roman" w:hAnsi="Times New Roman"/>
          <w:b/>
          <w:color w:val="000000"/>
          <w:sz w:val="24"/>
        </w:rPr>
        <w:t xml:space="preserve">Exhibit F </w:t>
      </w:r>
      <w:r>
        <w:rPr>
          <w:rFonts w:ascii="Times New Roman" w:hAnsi="Times New Roman"/>
          <w:color w:val="000000"/>
          <w:sz w:val="24"/>
        </w:rPr>
        <w:t xml:space="preserve">at a time mutually agreed to by the Parties. Prior to Regulatory Approval of a Collaboration Product, neither Party shall issue any press release or public statement disclosing information relating to this Agreement or the transactions contemplated hereby or the terms hereof or the research, development and commercial information (including with respect to regulatory matters) regarding such Collaboration Product without the prior written consent of the other Party; provided that either Party may restate the content of any previously agreed press release or public announcement without the prior written consent of the other Party. Following submission of a Regulatory Approval of a Collaboration Product, Alcon shall have the right to issue any press release or public statement relating to such Collaboration Product, including with respect to the Commercialization thereof, without the prior written consent of RxSight; provided that Alcon shall not, without RxSight’s prior written consent, disclose (i) the confidential terms of this Agreement, or (ii) any information that constitutes RxSight’s Confidential Information, in each case in any such press release or public statement. For the avoidance of doubt, following Regulatory Approval of a Collaboration Product, RxSight shall continue to be subject to the consent requirement set forth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above. Notwithstanding the foregoing, neither Party will be prevented from complying with any duty of disclosure it may have pursuant to Applicable Laws or pursuant to the rules of any recognized stock exchange on which its securities are listed (or to which an application for listing has been submitted), subject to Section 10.1.5 and the remainder of this Section 10.2. If either Party desires, or is required pursuant to Applicable Laws or pursuant to the rules of any recognized stock exchange on which its securities are listed (or to which an application for listing has been submitted), to issue a press release or other public statement disclosing information relating to this Agreement or the transactions contemplated hereby or the terms hereof, the Party proposing such publication will provide the other Party with a copy of the proposed press release or public statement; provided that, for clarity, the foregoing shall not apply to disclosures of this Agreement to comply with the rules and regulations promulgated by the U.S. Securities and Exchange Commission or any equivalent Governmental Authority in any country in the Territory, which shall be governed by Section 10.1.5. The Party proposing such publication shall specify with each such proposed press release or public statement, taking into account the urgency of the matter being disclosed, a reasonable period of time (in no event less than [***]) within which the other Party may provide any comments on such proposed press release or public statement. If the other Party provides any comments, the Parties shall consult with one another on such proposed press release or public statement and work in good faith to prepare a mutually acceptable press release or public statement. Neither Party shall be required to seek the permission of the other Party to repeat any information relating to this Agreement that has already been publicly disclosed in accordance with this Section 10.2; provided</w:t>
      </w:r>
      <w:r>
        <w:rPr>
          <w:color w:val="000000"/>
        </w:rPr>
        <w:t xml:space="preserve"> </w:t>
      </w:r>
      <w:r>
        <w:rPr>
          <w:rFonts w:ascii="Times New Roman" w:hAnsi="Times New Roman"/>
          <w:color w:val="000000"/>
          <w:sz w:val="24"/>
        </w:rPr>
        <w:t>that such information continues as of such time to be accurate and the frequency and form of such disclosure are reasonable.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10.3</w:t>
      </w:r>
    </w:p>
    <w:p>
      <w:pPr>
        <w:pStyle w:val="TextBody"/>
        <w:bidi w:val="0"/>
        <w:spacing w:before="0" w:after="240"/>
        <w:jc w:val="both"/>
        <w:rPr/>
      </w:pPr>
      <w:r>
        <w:rPr>
          <w:rFonts w:ascii="Times New Roman" w:hAnsi="Times New Roman"/>
          <w:b/>
          <w:color w:val="000000"/>
          <w:sz w:val="24"/>
        </w:rPr>
        <w:t>Publication</w:t>
      </w:r>
      <w:r>
        <w:rPr>
          <w:rFonts w:ascii="Times New Roman" w:hAnsi="Times New Roman"/>
          <w:color w:val="000000"/>
          <w:sz w:val="24"/>
        </w:rPr>
        <w:t xml:space="preserve">. Neither Party nor its Affiliates shall publish, publicly present, and/or submit for written or oral publication any manuscript, presentation, abstract, or similar publication that includes information relating to the Development, Manufacture or Commercialization of a Collaboration Product to the extent such information refers to the other Party’s Confidential Information without the prior written consent of the other Party, which shall not be unreasonably withheld or delayed. For the avoidance of doubt, any results of Clinical Trials contemplated hereunder shall be deemed Alcon’s Confidential Information.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TERM AND TERMINATION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This Agreement will commence on the Effective Date and will continue in force and effect for ten (10) years from the date Regulatory Approval for the first Collaboration Product is received from the FDA (the “</w:t>
      </w:r>
      <w:r>
        <w:rPr>
          <w:rFonts w:ascii="Times New Roman" w:hAnsi="Times New Roman"/>
          <w:b/>
          <w:color w:val="000000"/>
          <w:sz w:val="24"/>
        </w:rPr>
        <w:t>Initial Term</w:t>
      </w:r>
      <w:r>
        <w:rPr>
          <w:color w:val="000000"/>
        </w:rPr>
        <w:t>”</w:t>
      </w:r>
      <w:r>
        <w:rPr>
          <w:rFonts w:ascii="Times New Roman" w:hAnsi="Times New Roman"/>
          <w:color w:val="000000"/>
          <w:sz w:val="24"/>
        </w:rPr>
        <w:t>). Thereafter, this Agreement shall automatically renew for additional five (5)-year periods (each, a “</w:t>
      </w:r>
      <w:r>
        <w:rPr>
          <w:rFonts w:ascii="Times New Roman" w:hAnsi="Times New Roman"/>
          <w:b/>
          <w:color w:val="000000"/>
          <w:sz w:val="24"/>
        </w:rPr>
        <w:t>Renewal Period</w:t>
      </w:r>
      <w:r>
        <w:rPr>
          <w:color w:val="000000"/>
        </w:rPr>
        <w:t xml:space="preserve">” </w:t>
      </w:r>
      <w:r>
        <w:rPr>
          <w:rFonts w:ascii="Times New Roman" w:hAnsi="Times New Roman"/>
          <w:color w:val="000000"/>
          <w:sz w:val="24"/>
        </w:rPr>
        <w:t>and, together with the Initial Term, the “</w:t>
      </w:r>
      <w:r>
        <w:rPr>
          <w:rFonts w:ascii="Times New Roman" w:hAnsi="Times New Roman"/>
          <w:b/>
          <w:color w:val="000000"/>
          <w:sz w:val="24"/>
        </w:rPr>
        <w:t>Term</w:t>
      </w:r>
      <w:r>
        <w:rPr>
          <w:color w:val="000000"/>
        </w:rPr>
        <w:t>”</w:t>
      </w:r>
      <w:r>
        <w:rPr>
          <w:rFonts w:ascii="Times New Roman" w:hAnsi="Times New Roman"/>
          <w:color w:val="000000"/>
          <w:sz w:val="24"/>
        </w:rPr>
        <w:t xml:space="preserve">), unless Alcon gives its intention not to renew upon written notice to RxSight at least [***] prior to the expiration of the Initial Term or any Renewal Period, as the case may be;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following the Initial Term, RxSight shall have the right, upon written notice to Alcon delivered at least [***]. Notwithstanding the foregoing, this Agreement may be earlier terminated in accordance with this Article 11.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rFonts w:ascii="Times New Roman" w:hAnsi="Times New Roman"/>
          <w:b/>
          <w:color w:val="000000"/>
          <w:sz w:val="24"/>
        </w:rPr>
        <w:t>Termination for Material Safety Issue or Violation of Applicable Laws</w:t>
      </w:r>
      <w:r>
        <w:rPr>
          <w:rFonts w:ascii="Times New Roman" w:hAnsi="Times New Roman"/>
          <w:color w:val="000000"/>
          <w:sz w:val="24"/>
        </w:rPr>
        <w:t xml:space="preserve">. Either Party may terminate this Agreement immediately upon written notice to the other Party if the terminating Party (a) deems that such termination is necessary to comply with Applicable Laws,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or (b) reasonably determines, based on clear and convincing scientific or clinical evidence, that a Material Safety Issue exists with respect to a Collaboration Product that has directly resulted in, or would with reasonable certainty directly result in: (i) the FDA formally refusing to accept or approve any PMA application for such Collaboration Product that cannot reasonably be resubmitted or remediated; or (ii) the FDA issuing a formal order revoking or withdrawing any PMA obtained for such Collaboration Product, in each case (i) and (ii) where such refusal, revocation, or withdrawal is not reasonably capable of being cured, mitigated, or remediated through reasonable scientific, regulatory, or manufacturing measures within a period of [***] without material additional cost or expense that would be disproportionate to the commercial value of the applicable Collaboration Product, in each case (a) and (b) which written notice shall include reasonable evidence in support of such termination.</w:t>
      </w:r>
      <w:r>
        <w:rPr>
          <w:color w:val="000000"/>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rFonts w:ascii="Times New Roman" w:hAnsi="Times New Roman"/>
          <w:b/>
          <w:color w:val="000000"/>
          <w:sz w:val="24"/>
        </w:rPr>
        <w:t>Termination for Cause</w:t>
      </w:r>
      <w:r>
        <w:rPr>
          <w:rFonts w:ascii="Times New Roman" w:hAnsi="Times New Roman"/>
          <w:color w:val="000000"/>
          <w:sz w:val="24"/>
        </w:rPr>
        <w:t>. Either Party may terminate this Agreement upon written notice to the other Party if such other Party materially breaches its obligations under this Agreement and, after receiving written notice from the non-breaching Party identifying such material breach in reasonable detail, fails to cure such material breach within [***] from the date of such notice; provided</w:t>
      </w:r>
      <w:r>
        <w:rPr>
          <w:color w:val="000000"/>
        </w:rPr>
        <w:t xml:space="preserve"> </w:t>
      </w:r>
      <w:r>
        <w:rPr>
          <w:rFonts w:ascii="Times New Roman" w:hAnsi="Times New Roman"/>
          <w:color w:val="000000"/>
          <w:sz w:val="24"/>
        </w:rPr>
        <w:t>that: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termination shall not become effective at the end of such [***] period if the breaching Party cures the breach specified in the written notice during such period (as such period may be extended in accordance with Section 11.3.2);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alleged breaching Party disputes in good faith the existence or materiality of a breach specified in a notice provided by the other Party in accordance with this Section 11.3, or whether such breach has been cured, and such alleged breaching Party provides the other Party notice of such dispute within such [***] period, then the [***] period shall be tolled and the termination shall become effective only if it has been finally determined pursuant to Section 16.6 that the alleged breaching Party has materially breached this Agreement, or that such breach has not been cured, and such Party fails to cure such breach within [***] following such determination (which [***] period shall be subject to extension). During the pendency of such dispute, all of the terms and conditions of this Agreement and the Manufacturing and Supply Agreement shall remain in effect, and the Parties shall continue to perform all of their respective obligations hereunder.</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rFonts w:ascii="Times New Roman" w:hAnsi="Times New Roman"/>
          <w:b/>
          <w:color w:val="000000"/>
          <w:sz w:val="24"/>
        </w:rPr>
        <w:t>Termination for Insolvency</w:t>
      </w:r>
      <w:r>
        <w:rPr>
          <w:rFonts w:ascii="Times New Roman" w:hAnsi="Times New Roman"/>
          <w:color w:val="000000"/>
          <w:sz w:val="24"/>
        </w:rPr>
        <w:t>. If either Party (or any controlling Affiliate) (a) files for protection under bankruptcy or insolvency laws, (b) makes an assignment for the benefit of creditors, (c) appoints or suffers appointment of a receiver or trustee over substantially all of its property that is not discharged within [***] after such filing, (d) proposes a written agreement of composition or extension of its debts, (e) proposes or is a party to any dissolution or liquidation, (f) files a petition under any bankruptcy or insolvency act or has any such petition filed against that is not discharged within [***] of the filing or (g) admits in writing its inability generally to meet its obligations as they fall due in the general course (each of cases (a)-(g), an “</w:t>
      </w:r>
      <w:r>
        <w:rPr>
          <w:rFonts w:ascii="Times New Roman" w:hAnsi="Times New Roman"/>
          <w:b/>
          <w:color w:val="000000"/>
          <w:sz w:val="24"/>
        </w:rPr>
        <w:t>Insolvency Event</w:t>
      </w:r>
      <w:r>
        <w:rPr>
          <w:color w:val="000000"/>
        </w:rPr>
        <w:t>”</w:t>
      </w:r>
      <w:r>
        <w:rPr>
          <w:rFonts w:ascii="Times New Roman" w:hAnsi="Times New Roman"/>
          <w:color w:val="000000"/>
          <w:sz w:val="24"/>
        </w:rPr>
        <w:t>), then the other Party may terminate this Agreement in its entirety effective immediately upon written notice to such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rFonts w:ascii="Times New Roman" w:hAnsi="Times New Roman"/>
          <w:b/>
          <w:color w:val="000000"/>
          <w:sz w:val="24"/>
        </w:rPr>
        <w:t>Termination for Failing to Advance Development Program or Continue Agreement</w:t>
      </w:r>
      <w:r>
        <w:rPr>
          <w:rFonts w:ascii="Times New Roman" w:hAnsi="Times New Roman"/>
          <w:color w:val="000000"/>
          <w:sz w:val="24"/>
        </w:rPr>
        <w:t xml:space="preserv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11.5.1</w:t>
      </w:r>
    </w:p>
    <w:p>
      <w:pPr>
        <w:pStyle w:val="TextBody"/>
        <w:bidi w:val="0"/>
        <w:spacing w:before="0" w:after="240"/>
        <w:jc w:val="both"/>
        <w:rPr/>
      </w:pPr>
      <w:r>
        <w:rPr>
          <w:rFonts w:ascii="Times New Roman" w:hAnsi="Times New Roman"/>
          <w:b/>
          <w:color w:val="000000"/>
          <w:sz w:val="24"/>
        </w:rPr>
        <w:t>Feasibility Met</w:t>
      </w:r>
      <w:r>
        <w:rPr>
          <w:rFonts w:ascii="Times New Roman" w:hAnsi="Times New Roman"/>
          <w:color w:val="000000"/>
          <w:sz w:val="24"/>
        </w:rPr>
        <w:t>. This Agreement shall terminate upon the occurrence of the event expressly set forth in Section 3.2.5(a) in accordance with the terms and conditions of such Section.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11.5.2</w:t>
      </w:r>
    </w:p>
    <w:p>
      <w:pPr>
        <w:pStyle w:val="TextBody"/>
        <w:bidi w:val="0"/>
        <w:spacing w:before="0" w:after="240"/>
        <w:jc w:val="both"/>
        <w:rPr/>
      </w:pPr>
      <w:r>
        <w:rPr>
          <w:rFonts w:ascii="Times New Roman" w:hAnsi="Times New Roman"/>
          <w:b/>
          <w:color w:val="000000"/>
          <w:sz w:val="24"/>
        </w:rPr>
        <w:t>Feasibility Not Met</w:t>
      </w:r>
      <w:r>
        <w:rPr>
          <w:rFonts w:ascii="Times New Roman" w:hAnsi="Times New Roman"/>
          <w:color w:val="000000"/>
          <w:sz w:val="24"/>
        </w:rPr>
        <w:t>. This Agreement shall terminate upon the occurrence of the event expressly set forth in Section 3.2.5(b) and Section 3.2.5(c) in accordance with the terms and conditions of such Section.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11.5.3</w:t>
      </w:r>
    </w:p>
    <w:p>
      <w:pPr>
        <w:pStyle w:val="TextBody"/>
        <w:bidi w:val="0"/>
        <w:spacing w:before="0" w:after="240"/>
        <w:jc w:val="both"/>
        <w:rPr/>
      </w:pPr>
      <w:r>
        <w:rPr>
          <w:rFonts w:ascii="Times New Roman" w:hAnsi="Times New Roman"/>
          <w:b/>
          <w:color w:val="000000"/>
          <w:sz w:val="24"/>
        </w:rPr>
        <w:t>Non-Payment of Approval Milestone Payment</w:t>
      </w:r>
      <w:r>
        <w:rPr>
          <w:rFonts w:ascii="Times New Roman" w:hAnsi="Times New Roman"/>
          <w:color w:val="000000"/>
          <w:sz w:val="24"/>
        </w:rPr>
        <w:t>. This Agreement shall terminate upon the occurrence of the event expressly set forth in Section 3.3.3 in accordance with the terms and conditions of such Section.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11.5.4</w:t>
      </w:r>
    </w:p>
    <w:p>
      <w:pPr>
        <w:pStyle w:val="TextBody"/>
        <w:bidi w:val="0"/>
        <w:spacing w:before="0" w:after="240"/>
        <w:jc w:val="both"/>
        <w:rPr/>
      </w:pPr>
      <w:r>
        <w:rPr>
          <w:rFonts w:ascii="Times New Roman" w:hAnsi="Times New Roman"/>
          <w:b/>
          <w:color w:val="000000"/>
          <w:sz w:val="24"/>
        </w:rPr>
        <w:t>Alcon’s Sole Discretion</w:t>
      </w:r>
      <w:r>
        <w:rPr>
          <w:rFonts w:ascii="Times New Roman" w:hAnsi="Times New Roman"/>
          <w:color w:val="000000"/>
          <w:sz w:val="24"/>
        </w:rPr>
        <w:t xml:space="preserve">. Alcon may, at its sole discretion, elect not to make any Feasibility Milestone Payment or Approval Milestone Payment at any time prior to the due date for making such payment, by providing written notice to RxSight. Upon delivery of such notice, this Agreement shall automatically terminate in its entirety effective as of the date of such notice.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both"/>
        <w:rPr/>
      </w:pPr>
      <w:r>
        <w:rPr>
          <w:rFonts w:ascii="Times New Roman" w:hAnsi="Times New Roman"/>
          <w:b/>
          <w:color w:val="000000"/>
          <w:sz w:val="24"/>
        </w:rPr>
        <w:t>Mutual Termination Rights</w:t>
      </w:r>
      <w:r>
        <w:rPr>
          <w:rFonts w:ascii="Times New Roman" w:hAnsi="Times New Roman"/>
          <w:color w:val="000000"/>
          <w:sz w:val="24"/>
        </w:rPr>
        <w:t xml:space="preserve">. From the Effective Date until the [***], if either Party proposes in writing to mutually terminate this Agreement to the other Party, then upon receipt of a proposal to mutually terminate, the Parties shall discuss in good faith for [***] the reasons for wanting to terminate and potential ways of amending the Agreement to avoid termination. If the proposing Party does not withdraw its proposal to terminate by the end of such [***] period, then the non-proposing Party shall mutually agree to terminate this Agreement, unless the proposing Party’s reason for termination is the unsatisfactory performance of the Collaboration Product, Alcon Technology, or RxSight Technology. At any time from the Effective Date until the [***], Alcon may, by written notice to RxSight, elect to have Section 11.6 become null and void with respect to RxSight’s rights under this Section 11.6 with immediate effect upon such notice.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Alcon Option to Continue Agreement</w:t>
      </w:r>
      <w:r>
        <w:rPr>
          <w:color w:val="000000"/>
        </w:rPr>
        <w:t xml:space="preserve"> </w:t>
      </w:r>
      <w:r>
        <w:rPr>
          <w:rFonts w:ascii="Times New Roman" w:hAnsi="Times New Roman"/>
          <w:color w:val="000000"/>
          <w:sz w:val="24"/>
        </w:rPr>
        <w:t>TC "9.6 Alcon Option to Continue Agreement" \f C \l "2" . Notwithstanding anything to the contrary under this Agreement, if, at any time during the Term, Alcon has the right to terminate this Agreement under Section 11.3 or Section 11.4 (for clarity, subject to the dispute resolution process in accordance with Section 16.6), then Alcon may instead, by way of written notice to RxSight, elect to continue this Agreement in accordance with its terms as modified by this Section 11.6, in which case, effective as of the date Alcon delivers such notice (or, if later, the date that Alcon would otherwise have the right to terminate this Agreement pursuant to Section 11.3) of such election to RxSight: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may set off up to [***] of the actual damages incurred by Alcon and legal costs pursuing such claim against RxSight arising from such breach in accordance with Section 8.2;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11.7.2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other provisions of this Agreement shall remain in full force and effect without change.</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EFFECTS OF EXPIRATION OR TERMINATION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In the event of termination or expiration (including for non-renewal) of this Agreement pursuant to Article 11, except as expressly set forth otherwise in this Agreement (including under the surviving provisions set forth in Section 12.4), the rights and obligations of the Parties hereunder shall terminate as of the date of such termination.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both"/>
        <w:rPr/>
      </w:pPr>
      <w:r>
        <w:rPr>
          <w:rFonts w:ascii="Times New Roman" w:hAnsi="Times New Roman"/>
          <w:b/>
          <w:color w:val="000000"/>
          <w:sz w:val="24"/>
        </w:rPr>
        <w:t>Other Specified Effects of Termination</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addition to other effects of termination in this Article 12, upon termination of this Agreement by mutual agreement pursuant to Section 11.6, (a) if the Party proposing termination is Alcon and such proposal to terminate is submitted to RxSight within [***], then RxSight shall refund to Alcon an amount equal to [***], and RxSight shall be entitled to retain the remaining [***], which retention shall constitute RxSight’s sole and exclusive remedy with respect to such termination of this Agreement pursuant to Section 11.6 and (b) if the Party proposing termination is RxSight and such proposal to terminate is submitted to Alcon [***], then RxSight shall refund to Alcon an amount equal to [***], which refund shall constitute Alcon’s sole and exclusive remedy with respect to such termination of this Agreement pursuant to Section 11.6.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other effects of termination in this Article 12, upon termination of this Agreement by Alcon pursuant to Section 11.6, effective as of the effective date of termination, RxSight shall, and shall cause its Affiliates and any Third Parties acting on its or their behalf to, immediately cease all Development, Manufacture, Commercialization, and any other Exploitation of any product that uses, incorporates, or relies upon any Licensed Alcon Intellectual Property, and shall not, directly or indirectly, resume any such activities at any time thereafter. Except in the event of a termination of this Agreement pursuant to which Section 12.7 applies, within [***], (i) RxSight shall, and shall cause its Affiliates and any Third Parties acting on its or their behalf to, return or destroy (at Alcon’s election) all unused Alcon Materials in their possession, custody, or control, and (ii) Alcon shall, and shall cause its Affiliates and any Third Parties acting on its or their behalf to, return or destroy (at RxSight’s election) all unused Collaboration Products in their possession, custody, or control.</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other effects of termination in this Article 12, upon termination of this Agreement by Alcon pursuant to Section 11.5.4, if such termination occurs during the period after the payment of the Feasibility Milestone Payment and before Alcon has paid the Regulatory Submission Milestone Payment, and RxSight subsequently submits all required Regulatory Documentation for FDA consideration for Regulatory Approval for the first Collaboration Product as evidenced by acceptance of the application for substantive review, then (a) Section 6.2.2 of this Agreement shall survive such termination, and (b) Alcon shall pay to RxSight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both"/>
        <w:rPr/>
      </w:pPr>
      <w:r>
        <w:rPr>
          <w:rFonts w:ascii="Times New Roman" w:hAnsi="Times New Roman"/>
          <w:b/>
          <w:color w:val="000000"/>
          <w:sz w:val="24"/>
        </w:rPr>
        <w:t>Return of Confidential Information</w:t>
      </w:r>
      <w:r>
        <w:rPr>
          <w:rFonts w:ascii="Times New Roman" w:hAnsi="Times New Roman"/>
          <w:color w:val="000000"/>
          <w:sz w:val="24"/>
        </w:rPr>
        <w:t>. Each Receiving Party shall return or destroy (at the Disclosing Party’s election) all Confidential Information of the Disclosing Party (other than the terms of this Agreement) in its possession as of the effective date of termination of this Agreement; provided</w:t>
      </w:r>
      <w:r>
        <w:rPr>
          <w:color w:val="000000"/>
        </w:rPr>
        <w:t xml:space="preserve"> </w:t>
      </w:r>
      <w:r>
        <w:rPr>
          <w:rFonts w:ascii="Times New Roman" w:hAnsi="Times New Roman"/>
          <w:color w:val="000000"/>
          <w:sz w:val="24"/>
        </w:rPr>
        <w:t xml:space="preserve">that each Receiving Party may retain (a) one (1) copy of such Confidential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Information, which may be retained solely by the legal department of the Receiving Party to confirm compliance with the non-use and non-disclosure provisions of this Agreement, (b) any Confidential Information of the Disclosing Party contained in the Receiving Party’s laboratory notebooks or databases; and (c) any Confidential Information of the Disclosing Party to the extent necessary to exercise any surviving rights or perform any surviving obligations under this Agreement; provided, further,</w:t>
      </w:r>
      <w:r>
        <w:rPr>
          <w:color w:val="000000"/>
        </w:rPr>
        <w:t xml:space="preserve"> </w:t>
      </w:r>
      <w:r>
        <w:rPr>
          <w:rFonts w:ascii="Times New Roman" w:hAnsi="Times New Roman"/>
          <w:color w:val="000000"/>
          <w:sz w:val="24"/>
        </w:rPr>
        <w:t>that, in each case (a)-(c), all such Confidential Information shall remain subject to the confidentiality, non-use and non-disclosure obligations of Article 10.</w:t>
      </w:r>
      <w:r>
        <w:rPr>
          <w:color w:val="000000"/>
          <w:u w:val="single"/>
        </w:rPr>
        <w:t xml:space="preserve"> </w:t>
      </w:r>
      <w:r>
        <w:rPr>
          <w:rFonts w:ascii="Times New Roman" w:hAnsi="Times New Roman"/>
          <w:color w:val="000000"/>
          <w:sz w:val="24"/>
        </w:rPr>
        <w:t>Notwithstanding the foregoing, a Receiving Party shall not be required to return or destroy any computer files created during automatic system back up that are subsequently stored securely by it and not readily accessible to its employees, consultants or others who received the Disclosing Party’s Confidential Information under this Agreement; provided</w:t>
      </w:r>
      <w:r>
        <w:rPr>
          <w:color w:val="000000"/>
        </w:rPr>
        <w:t xml:space="preserve"> </w:t>
      </w:r>
      <w:r>
        <w:rPr>
          <w:rFonts w:ascii="Times New Roman" w:hAnsi="Times New Roman"/>
          <w:color w:val="000000"/>
          <w:sz w:val="24"/>
        </w:rPr>
        <w:t>that such Confidential Information shall remain subject to the confidentiality, non-use and non-disclosure obligations of Article 10.</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12.4</w:t>
      </w:r>
    </w:p>
    <w:p>
      <w:pPr>
        <w:pStyle w:val="TextBody"/>
        <w:bidi w:val="0"/>
        <w:spacing w:before="0" w:after="240"/>
        <w:jc w:val="both"/>
        <w:rPr/>
      </w:pPr>
      <w:r>
        <w:rPr>
          <w:rFonts w:ascii="Times New Roman" w:hAnsi="Times New Roman"/>
          <w:b/>
          <w:color w:val="000000"/>
          <w:sz w:val="24"/>
        </w:rPr>
        <w:t>Accrued Rights; Survival</w:t>
      </w:r>
      <w:r>
        <w:rPr>
          <w:rFonts w:ascii="Times New Roman" w:hAnsi="Times New Roman"/>
          <w:color w:val="000000"/>
          <w:sz w:val="24"/>
        </w:rPr>
        <w:t>. Termination or expiration of this Agreement shall not relieve the Parties of any obligation accruing prior to such termination or expiration, nor affect in any way the survival of any other right, duty or obligation of the Parties that is expressly stated elsewhere in this Agreement to survive such termination or expiration. Without limiting the foregoing the following provisions shall survive termination or expiration of this Agreement: Article 1 (Definitions) solely to the extent defined terms are used in provisions otherwise surviving, Section 3.1.4 (Ownership of and Rights to Collaboration Data), with respect to Data generated prior to the effective date of termination or expiration, Section 3.1.6(b)</w:t>
      </w:r>
      <w:r>
        <w:rPr>
          <w:rFonts w:ascii="Times New Roman" w:hAnsi="Times New Roman"/>
          <w:b/>
          <w:color w:val="000000"/>
          <w:sz w:val="24"/>
        </w:rPr>
        <w:t xml:space="preserve">, </w:t>
      </w:r>
      <w:r>
        <w:rPr>
          <w:rFonts w:ascii="Times New Roman" w:hAnsi="Times New Roman"/>
          <w:color w:val="000000"/>
          <w:sz w:val="24"/>
        </w:rPr>
        <w:t xml:space="preserve">Section 6.2.1 (Regulatory; General) (solely in accordance with its terms), Section 6.2.4 (Right of Reference) (solely in accordance with its terms), Section 6.2.6 (Recalls), Sections 7.3.1, 7.3.6 and 7.3.8 (Financial Provisions) (solely with respect to any financial compensation that has accrued prior to expiry or termination and with respect to Royalties payable by Alcon for Collaboration Products sold following such expiry or termination), Sections 8.1, 8.2, 8.4, 8.6 and 8.7 (Reports and Payment Terms) (solely with respect to (i) any financial compensation that has accrued prior to expiry or termination (ii) Royalties payable by Alcon for Collaboration Products sold following such expiry or termination and (iii) any payment due pursuant to Section 12.2.3), Section 8.3 (Records) (for the time period set forth therein), Section 9.1 (Inventorship), Section 9.2 (Ownership of Intellectual Property), Section 9.5.2 (solely in accordance with its terms), Section 9.7 (Third Party Rights) (solely in accordance with its terms), Section 10.1 (Confidential Information) (for the time period set forth in Section 10.1.2), Article 12 (Effects of Termination), Article 14 (Indemnification and Liability), Section 15.7 (Disclaimer) and Article 16 (General Provisions) solely to the extent required for provisions otherwise surviving.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12.5</w:t>
      </w:r>
    </w:p>
    <w:p>
      <w:pPr>
        <w:pStyle w:val="TextBody"/>
        <w:bidi w:val="0"/>
        <w:spacing w:before="0" w:after="240"/>
        <w:jc w:val="both"/>
        <w:rPr/>
      </w:pPr>
      <w:r>
        <w:rPr>
          <w:rFonts w:ascii="Times New Roman" w:hAnsi="Times New Roman"/>
          <w:b/>
          <w:color w:val="000000"/>
          <w:sz w:val="24"/>
        </w:rPr>
        <w:t>Termination Not Sole Remedy</w:t>
      </w:r>
      <w:r>
        <w:rPr>
          <w:rFonts w:ascii="Times New Roman" w:hAnsi="Times New Roman"/>
          <w:color w:val="000000"/>
          <w:sz w:val="24"/>
        </w:rPr>
        <w:t>. Except as otherwise expressly provided in this Article 12, termination of this Agreement is not the sole remedy under this Agreement and, whether or not termination is effected, all other remedies will remain available and such termination shall not preclude either Party from claiming any other damages, compensation or relief that it may be entitled to upon such termination.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12.6</w:t>
      </w:r>
    </w:p>
    <w:p>
      <w:pPr>
        <w:pStyle w:val="TextBody"/>
        <w:bidi w:val="0"/>
        <w:spacing w:before="0" w:after="240"/>
        <w:jc w:val="both"/>
        <w:rPr/>
      </w:pPr>
      <w:r>
        <w:rPr>
          <w:rFonts w:ascii="Times New Roman" w:hAnsi="Times New Roman"/>
          <w:b/>
          <w:color w:val="000000"/>
          <w:sz w:val="24"/>
        </w:rPr>
        <w:t>Rights in Bankruptcy</w:t>
      </w:r>
      <w:r>
        <w:rPr>
          <w:rFonts w:ascii="Times New Roman" w:hAnsi="Times New Roman"/>
          <w:color w:val="000000"/>
          <w:sz w:val="24"/>
        </w:rPr>
        <w:t>. The Parties intend to take advantage of the protections of Section 365(n) (or any successor provision) of title 11 of the United States Code (the “</w:t>
      </w:r>
      <w:r>
        <w:rPr>
          <w:rFonts w:ascii="Times New Roman" w:hAnsi="Times New Roman"/>
          <w:b/>
          <w:color w:val="000000"/>
          <w:sz w:val="24"/>
        </w:rPr>
        <w:t>U</w:t>
      </w:r>
      <w:r>
        <w:rPr>
          <w:rFonts w:ascii="Times New Roman" w:hAnsi="Times New Roman"/>
          <w:color w:val="000000"/>
          <w:sz w:val="24"/>
        </w:rPr>
        <w:t>.</w:t>
      </w:r>
      <w:r>
        <w:rPr>
          <w:rFonts w:ascii="Times New Roman" w:hAnsi="Times New Roman"/>
          <w:b/>
          <w:color w:val="000000"/>
          <w:sz w:val="24"/>
        </w:rPr>
        <w:t>S</w:t>
      </w:r>
      <w:r>
        <w:rPr>
          <w:rFonts w:ascii="Times New Roman" w:hAnsi="Times New Roman"/>
          <w:color w:val="000000"/>
          <w:sz w:val="24"/>
        </w:rPr>
        <w:t>.</w:t>
      </w:r>
      <w:r>
        <w:rPr>
          <w:color w:val="000000"/>
        </w:rPr>
        <w:t xml:space="preserve"> </w:t>
      </w:r>
      <w:r>
        <w:rPr>
          <w:rFonts w:ascii="Times New Roman" w:hAnsi="Times New Roman"/>
          <w:b/>
          <w:color w:val="000000"/>
          <w:sz w:val="24"/>
        </w:rPr>
        <w:t>Bankruptcy Code</w:t>
      </w:r>
      <w:r>
        <w:rPr>
          <w:color w:val="000000"/>
        </w:rPr>
        <w:t>”</w:t>
      </w:r>
      <w:r>
        <w:rPr>
          <w:rFonts w:ascii="Times New Roman" w:hAnsi="Times New Roman"/>
          <w:color w:val="000000"/>
          <w:sz w:val="24"/>
        </w:rPr>
        <w:t xml:space="preserve">) or any other analogous provisions in any other country to the maximum extent permitted by Applicable Laws. All rights and licenses granted to Alcon under or pursuant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this Agreement, but only to the extent they constitute licenses of a right to “intellectual property” as defined in Section 101 of the U.S. Bankruptcy Code, shall be deemed to be “intellectual property” for the purposes of Section 365(n) or any other analogous provisions in any other country. Alcon shall retain and may fully exercise all of its rights and elections under the U.S. Bankruptcy Code or any other analogous provisions in any other country, including the right to obtain the intellectual property from another Person.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12.6.1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will, during the Term, create and maintain current and updated copies or, if not amenable to copying, detailed descriptions or other appropriate embodiments, to the extent feasible, of all Intellectual Property licensed to the other Party under this Agreement. Each Party acknowledges and agrees that “embodiments” of intellectual property within the meaning of Section 365(n) of the U.S. Bankruptcy Code include (a) copies of research data; (b) laboratory samples; (c) product samples and inventory; (d) formulas; (e) laboratory notes and notebooks; (f) data and other results related to Clinical Trials; (g) Regulatory Documentation (including filings and Regulatory Approvals); (h) rights of reference in respect of Regulatory Documentation (including filings and Regulatory Approvals); (i) pre-clinical research data and other results; (j) tangible Know-How (including Licensed Alcon Intellectual Property and Licensed RxSight Intellectual Property); and (k) marketing, advertising and promotional materials that relate to such Intellectual Property. Upon the occurrence of an Insolvency Event by or against a Party, the non-insolvent Party shall be entitled to a complete duplicate of (or complete access to, as appropriate) all such Intellectual Property (including all embodiments of such Intellectual Property), which, if not already in such non-insolvent Party’s possession, shall be promptly delivered to such non-insolvent Party upon such non-insolvent Party’s written request (x) upon commencement of a bankruptcy proceeding, unless the insolvent Party continues to perform all of its obligations under this Agreement, or (y) if not delivered pursuant to clause (x) above because the insolvent Party continues to perform, upon the rejection of this Agreement by or on behalf of the insolvent Party. Unless and until the insolvent Party rejects this Agreement, the insolvent Party shall perform all of its obligations under this Agreement or provide the Intellectual Property (including all embodiments of such Intellectual Property) to the non-insolvent Party and shall not interfere with the non-insolvent Party’s rights to such Intellectual Property, including the right to obtain the Intellectual Property from another Person.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intend and agree that (a) any sale of a Party’s (or any Affiliate’s) assets under Section 363 of the U.S. Bankruptcy Code shall be subject to the other Party’s rights under Section 365(n) of the U.S. Bankruptcy Code, (b) the other Party cannot be compelled to accept a money satisfaction of its interests in the Intellectual Property licensed pursuant to this Agreement and (c) any such sale therefore may not be made to a purchaser “free and clear” of the other Party’s rights under this Agreement and Section 365(n) of the U.S. Bankruptcy Code without the other Party’s express, contemporaneous written consent.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12.6.3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rights, powers and remedies of each Party provided in this Section 12.6 are not in substitution for any other rights, powers and remedies now or hereafter existing at law or in equity (including the U.S. Bankruptcy Code). The Parties intend the following rights to extend to the maximum extent permitted by Applicable Laws, and to be enforceable under Section 365(n) of the U.S. Bankruptcy Code: (a) the right of access to any Intellectual Property rights (including all embodiments thereof) of each Party or any Third Party with whom such Party contracts to perform an obligation of such Party under this Agreement, and, in the case of any such Third Party,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is necessary or useful for the Exploitation of any Collaboration Products or the exercise of any other rights granted to a Party under this Agreement; (b) the right to contract directly with any Third Party to complete the contracted work; and (c) the right to cure any default under any such agreement with a Third Party and set off the costs thereof against amounts payable to a Party under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12.7</w:t>
      </w:r>
    </w:p>
    <w:p>
      <w:pPr>
        <w:pStyle w:val="TextBody"/>
        <w:bidi w:val="0"/>
        <w:spacing w:before="0" w:after="240"/>
        <w:jc w:val="both"/>
        <w:rPr/>
      </w:pPr>
      <w:r>
        <w:rPr>
          <w:rFonts w:ascii="Times New Roman" w:hAnsi="Times New Roman"/>
          <w:b/>
          <w:color w:val="000000"/>
          <w:sz w:val="24"/>
        </w:rPr>
        <w:t>Product Reversion</w:t>
      </w:r>
      <w:r>
        <w:rPr>
          <w:rFonts w:ascii="Times New Roman" w:hAnsi="Times New Roman"/>
          <w:color w:val="000000"/>
          <w:sz w:val="24"/>
        </w:rPr>
        <w:t>. In the case of termination of this Agreement where such termination arises solely as a result of Alcon’s election pursuant to Section 11.5.1, Section 11.5.3 or Section 11.5.4, then, at RxSight’s election, the following shall apply: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Alcon shall grant, and hereby grants to RxSight a worldwide (or regional at RxSight’s election), exclusive (or non-exclusive at RxSight’s election), transferable, irrevocable license, with the right to sublicense (through multiple tiers), under the Alcon Reversion Product Intellectual Property during the Reversion Term (excluding all Patent enforcement rights), solely to (a) Develop and Manufacture any Reversion Product, (b) if such Reversion Product satisfies all Phase 1 Feasibility Requirements in accordance with this Agreement and the Development Plan (but excluding Phase 1 Feasibility Requirements that can only be reasonably achieved through tests performed by Alcon itself or through an Alcon-designated Third Party facility, unless Alcon provides RxSight with access and ability to reasonably perform such tests commensurate with how Alcon would have performed such test), to seek Regulatory Approval for such Reversion Product, and (c) if such Reversion Product receives Regulatory Approval, Commercialize such Reversion Product, it being understood that the license rights granted under (i) the foregoing clause (a) shall automatically terminate if the first Reversion Product fails to satisfy the applicable Phase 1 Feasibility Requirements (but excluding Phase 1 Feasibility Requirements that can only be reasonably achieved through tests performed by Alcon itself or through an Alcon-designated Third Party facility, unless Alcon provides RxSight with access and ability to reasonably perform such tests commensurate with how Alcon would have performed such test) within [***], provided that such period shall be extended by the amount of time that is reasonably attributable to any delay in the Development of the Reversion Product resulting from Alcon’s breach of its obligations under any surviving provision of this Agreement or any Ancillary Agreement, (ii) the foregoing clause (b) shall automatically terminate if the first Reversion Product does not receive Regulatory Approval within [***], provided that such period shall be extended by the amount of time that is reasonably attributable to any delay in the Development of the Reversion Product resulting from Alcon’s breach of its obligations under any surviving provision of this Agreement or any Ancillary Agreement, and (iii) the foregoing clause (c) shall arise only upon satisfaction of such Phase 1 Feasibility Requirements and receipt of Regulatory Approval for the applicable Reversion Product, (w) Alcon, its Affiliates and licensees retain the right to use, license, and otherwise exploit the Alcon Reversion Product Intellectual Property for any purpose other than the Exploitation of Reversion Products, (x) RxSight assumes sole responsibility for obtaining any additional licenses or rights from Third Parties that may be necessary to Exploit the Reversion Products following the effective date of termination, (y) Alcon shall have no obligation to provide any freedom-to-operate analysis or assurance with respect to the Reversion Products, and any changes made by RxSight to the Reversion Products following the effective date of termination shall be made at RxSight’s sole risk and expense, and (z) following the effective date of such termination, RxSight shall be free to implement any Minor Upgrade referenced in clause (b) of the definition of Minor Upgrade or Material Upgrade with respect to the Reversion Product in its sole discretion; provided that the license granted by Alcon under this Section 12.7.1 shall not be expanded in any way to include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rights to any Intellectual Property that were not included in such license on the effective date of such termination;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12.7.2</w:t>
      </w:r>
    </w:p>
    <w:p>
      <w:pPr>
        <w:pStyle w:val="TextBody"/>
        <w:bidi w:val="0"/>
        <w:spacing w:before="0" w:after="240"/>
        <w:jc w:val="both"/>
        <w:rPr/>
      </w:pPr>
      <w:r>
        <w:rPr>
          <w:rFonts w:ascii="Times New Roman" w:hAnsi="Times New Roman"/>
          <w:color w:val="000000"/>
          <w:sz w:val="24"/>
        </w:rPr>
        <w:t xml:space="preserve">commencing on the effective date of termination, RxSight will pay to Alcon Royalties on Net Sales of such Reversion Product (or any future version of a Reversion Product to which a Minor Upgrade or Material Upgrade is made pursuant to Section 12.7.1) at a rate equal to [***] (where references to “Alcon” in the definition of Net Sales will be replaced with “RxSight”). Such Royalties will be calculated and paid in accordance with the terms set forth in Section 7.3 and Article 8, applied </w:t>
      </w:r>
      <w:r>
        <w:rPr>
          <w:rFonts w:ascii="Times New Roman" w:hAnsi="Times New Roman"/>
          <w:i/>
          <w:color w:val="000000"/>
          <w:sz w:val="24"/>
        </w:rPr>
        <w:t>mutatis mutandis</w:t>
      </w:r>
      <w:r>
        <w:rPr>
          <w:color w:val="000000"/>
        </w:rPr>
        <w:t xml:space="preserve"> </w:t>
      </w:r>
      <w:r>
        <w:rPr>
          <w:rFonts w:ascii="Times New Roman" w:hAnsi="Times New Roman"/>
          <w:color w:val="000000"/>
          <w:sz w:val="24"/>
        </w:rPr>
        <w:t xml:space="preserve">with respect to Net Sales of Reversion Products (or any future version of a Reversion Products to which a Minor Upgrade or Material Upgrade is made pursuant to Section 12.7.1) by RxSight, its Affiliates and its (sub)licensees; except that Section 7.3.2, Section 7.3.3, Section 7.3.4 and Section 7.3.5 shall not apply;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request by RxSight in writing, Alcon shall disclose to RxSight all Data and Know-How Controlled by Alcon as of the effective date of termination that is necessary for RxSight to (i) Develop and Manufacture as contemplated by Article 3, and (ii) and Commercialize the Collaboration Products, including all materiovigilance data and safety database data under the Materiovigilance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request by RxSight in writing Alcon shall transfer and assign to RxSight all Product Trademarks (including any domain names and social media identifiers) owned by Alcon that were used solely in connection with the Commercialization of the Collaboration Products by Alcon;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purchase from Alcon any or all inventory of the Collaboration Products held by Alcon or its Affiliates or its or their Sublicensees as of the effective date of termination at a price equal to the actual price paid by Alcon to RxSight for such inventory; provided that such inventory complies with applicable specifications, has been handled and stored in compliance with Applicable Law and has sufficient shelf life;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shall continue to perform, or cause to be performed, any Development Activities allocated to Alcon under the Development Plan as in effect immediately prior to such termination, for so long as reasonably necessary to complete such Development Activities, in accordance with the terms and conditions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Alcon shall use commercially reasonable efforts to notify RxSight of any Third Party licenses or other rights actually known to Alcon as of the effective date of termination that Alcon reasonably believes may be necessary for RxSight to Exploit the Reversion Products. To the extent Alcon is a party to any agreement solely related to a Reversion Product and such agreement is assignable without additional cost or liability to Alcon, Alcon may, at its option, assign such agreement to RxSight. If Alcon elects not to assign such agreement, or if such agreement is not assignable, Alcon shall have no obligation to obtain any consent or enter into any arrangement on RxSight’s behalf, but may, upon RxSight’s written request, facilitate an introduction between RxSight and the applicable Third Party. For clarity, Alcon shall have no obligation to conduct any freedom-to-operate analysis, identify Third Party rights not actually known to it, or secure any Third Party rights for the benefit of RxSight;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request by RxSight in writing, Alcon shall update Schedule 13.3.3(a) to reflect any additional Patents that became Licensed Alcon Patents during the Term and that are included within the Alcon Reversion Product Intellectual Property as of the effective date of termination, such update to be provided by Alcon no later than [***] following receipt of RxSight’s written request therefor;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shall, during the Reversion Term and subject to the terms and conditions of the Manufacturing and Supply Agreement, supply Alcon Materials (in the form as such exists as of the effective date of termination) to RxSight as necessary for RxSight’s Exploitation of the Reversion Products (provided that Alcon shall not be obligated to implement any changes to the Alcon Materials to accommodate a Minor Upgrade made by RxSight under Section 12.7.1) for so long as RxSight is Exploiting the Reversion Products;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12.7.10</w:t>
      </w:r>
    </w:p>
    <w:p>
      <w:pPr>
        <w:pStyle w:val="TextBody"/>
        <w:bidi w:val="0"/>
        <w:spacing w:before="0" w:after="240"/>
        <w:jc w:val="both"/>
        <w:rPr/>
      </w:pPr>
      <w:r>
        <w:rPr>
          <w:rFonts w:ascii="Times New Roman" w:hAnsi="Times New Roman"/>
          <w:color w:val="000000"/>
          <w:sz w:val="24"/>
        </w:rPr>
        <w:t>the rights and obligations set forth in this Section 12.7 are intended to ensure an efficient transition of relevant obligations and rights to RxSight as related to any Reversion Products to minimize disruption to customers and patients. Such rights and obligations shall be exercised, if at all, on a one-time basis in connection with the applicable termination of this Agreement, Alcon shall have no obligation to [***], and except as otherwise provided in this Section 12.7, Alcon shall have no further obligations to RxSight with respect to the Reversion Products, including any obligation to [***], and all risk associated with the ongoing Exploitation of the Reversion Products following the effective date of termination shall vest solely in RxSight.</w:t>
      </w:r>
      <w:r>
        <w:rPr>
          <w:color w:val="000000"/>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 period of [***] pursuant to Section 11.5 or Section 11.6, (a) neither Alcon nor its Affiliates shall issue, publish, or authorize any press release or other public statement, whether written, electronic or oral, that disparages or denigrates the RxSight Technology as it is or was incorporated or intended to be incorporated into the Collaboration Products, and (b) neither RxSight nor its Affiliates shall issue, publish, or authorize any press release or other public statement, whether written, electronic or oral, that disparages or denigrates the Alcon Technology as it is or was incorporated or intended to be incorporated into the Collaboration Products; provided that this Section 12.8 shall not apply to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13.</w:t>
      </w:r>
    </w:p>
    <w:p>
      <w:pPr>
        <w:pStyle w:val="TextBody"/>
        <w:bidi w:val="0"/>
        <w:spacing w:before="0" w:after="240"/>
        <w:jc w:val="center"/>
        <w:rPr/>
      </w:pPr>
      <w:r>
        <w:rPr>
          <w:rFonts w:ascii="Times New Roman" w:hAnsi="Times New Roman"/>
          <w:b/>
          <w:caps/>
          <w:color w:val="000000"/>
          <w:sz w:val="24"/>
        </w:rPr>
        <w:br/>
        <w:t>REPRESENTATIONS AND WARRANTIES</w:t>
      </w:r>
      <w:r>
        <w:rPr>
          <w:rFonts w:ascii="Times New Roman" w:hAnsi="Times New Roman"/>
          <w:caps/>
          <w:color w:val="000000"/>
          <w:sz w:val="24"/>
        </w:rPr>
        <w:t>;</w:t>
      </w:r>
      <w:r>
        <w:rPr>
          <w:caps/>
          <w:color w:val="000000"/>
        </w:rPr>
        <w:t xml:space="preserve"> </w:t>
      </w:r>
      <w:r>
        <w:rPr>
          <w:rFonts w:ascii="Times New Roman" w:hAnsi="Times New Roman"/>
          <w:b/>
          <w:caps/>
          <w:color w:val="000000"/>
          <w:sz w:val="24"/>
        </w:rPr>
        <w:t>COVENANTS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both"/>
        <w:rPr/>
      </w:pPr>
      <w:r>
        <w:rPr>
          <w:rFonts w:ascii="Times New Roman" w:hAnsi="Times New Roman"/>
          <w:b/>
          <w:color w:val="000000"/>
          <w:sz w:val="24"/>
        </w:rPr>
        <w:t>Representations and Warranties by Each Party</w:t>
      </w:r>
      <w:r>
        <w:rPr>
          <w:rFonts w:ascii="Times New Roman" w:hAnsi="Times New Roman"/>
          <w:color w:val="000000"/>
          <w:sz w:val="24"/>
        </w:rPr>
        <w:t>. Each Party represents and warrants to the other Party as of the Effective Date that: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13.1.1</w:t>
      </w:r>
    </w:p>
    <w:p>
      <w:pPr>
        <w:pStyle w:val="TextBody"/>
        <w:bidi w:val="0"/>
        <w:spacing w:before="0" w:after="240"/>
        <w:jc w:val="both"/>
        <w:rPr/>
      </w:pPr>
      <w:r>
        <w:rPr>
          <w:rFonts w:ascii="Times New Roman" w:hAnsi="Times New Roman"/>
          <w:b/>
          <w:color w:val="000000"/>
          <w:sz w:val="24"/>
        </w:rPr>
        <w:t>Good Standing</w:t>
      </w:r>
      <w:r>
        <w:rPr>
          <w:rFonts w:ascii="Times New Roman" w:hAnsi="Times New Roman"/>
          <w:color w:val="000000"/>
          <w:sz w:val="24"/>
        </w:rPr>
        <w:t>. It is a corporation duly organized, validly existing and in good standing (or foreign equivalent) under the laws of its jurisdiction of formation;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13.1.2</w:t>
      </w:r>
    </w:p>
    <w:p>
      <w:pPr>
        <w:pStyle w:val="TextBody"/>
        <w:bidi w:val="0"/>
        <w:spacing w:before="0" w:after="240"/>
        <w:jc w:val="both"/>
        <w:rPr/>
      </w:pPr>
      <w:r>
        <w:rPr>
          <w:rFonts w:ascii="Times New Roman" w:hAnsi="Times New Roman"/>
          <w:b/>
          <w:color w:val="000000"/>
          <w:sz w:val="24"/>
        </w:rPr>
        <w:t>Authority and Capabilities</w:t>
      </w:r>
      <w:r>
        <w:rPr>
          <w:rFonts w:ascii="Times New Roman" w:hAnsi="Times New Roman"/>
          <w:color w:val="000000"/>
          <w:sz w:val="24"/>
        </w:rPr>
        <w:t>. It has (a) full corporate power and authority to execute, deliver and perform this Agreement and (b) taken all corporate action(s) required by Applicable Laws and its organizational documents to authorize the execution and delivery of this Agreement and the consummation of the transactions and performance of its obligations contemplated by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13.1.3</w:t>
      </w:r>
    </w:p>
    <w:p>
      <w:pPr>
        <w:pStyle w:val="TextBody"/>
        <w:bidi w:val="0"/>
        <w:spacing w:before="0" w:after="240"/>
        <w:jc w:val="both"/>
        <w:rPr/>
      </w:pPr>
      <w:r>
        <w:rPr>
          <w:rFonts w:ascii="Times New Roman" w:hAnsi="Times New Roman"/>
          <w:b/>
          <w:color w:val="000000"/>
          <w:sz w:val="24"/>
        </w:rPr>
        <w:t>Valid and Binding</w:t>
      </w:r>
      <w:r>
        <w:rPr>
          <w:rFonts w:ascii="Times New Roman" w:hAnsi="Times New Roman"/>
          <w:color w:val="000000"/>
          <w:sz w:val="24"/>
        </w:rPr>
        <w:t xml:space="preserve">. This Agreement constitutes a legal, valid and binding agreement enforceable against it in accordance with its terms (except as the enforceability thereof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13.1.4</w:t>
      </w:r>
    </w:p>
    <w:p>
      <w:pPr>
        <w:pStyle w:val="TextBody"/>
        <w:bidi w:val="0"/>
        <w:spacing w:before="0" w:after="240"/>
        <w:jc w:val="both"/>
        <w:rPr/>
      </w:pPr>
      <w:r>
        <w:rPr>
          <w:rFonts w:ascii="Times New Roman" w:hAnsi="Times New Roman"/>
          <w:b/>
          <w:color w:val="000000"/>
          <w:sz w:val="24"/>
        </w:rPr>
        <w:t>No Conflict</w:t>
      </w:r>
      <w:r>
        <w:rPr>
          <w:rFonts w:ascii="Times New Roman" w:hAnsi="Times New Roman"/>
          <w:color w:val="000000"/>
          <w:sz w:val="24"/>
        </w:rPr>
        <w:t>. The execution and delivery of this Agreement and all other instruments and documents required to be executed pursuant to this Agreement and the consummation of the transactions contemplated hereby do not and shall not: (a) conflict with or result in a breach of any provision of its organizational documents; (b) result in a breach of any agreement to which it is a party; or (c) violate any Applicable Laws or any order, writ, judgment, injunction, decree, determination or award of any court or Governmental Authority presently in effect applicable to such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both"/>
        <w:rPr/>
      </w:pPr>
      <w:r>
        <w:rPr>
          <w:rFonts w:ascii="Times New Roman" w:hAnsi="Times New Roman"/>
          <w:b/>
          <w:color w:val="000000"/>
          <w:sz w:val="24"/>
        </w:rPr>
        <w:t>Representations and Warranties by RxSight</w:t>
      </w:r>
      <w:r>
        <w:rPr>
          <w:rFonts w:ascii="Times New Roman" w:hAnsi="Times New Roman"/>
          <w:color w:val="000000"/>
          <w:sz w:val="24"/>
        </w:rPr>
        <w:t>. RxSight further represents and warrants to Alcon as follows, as of the Effective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13.2.1</w:t>
      </w:r>
    </w:p>
    <w:p>
      <w:pPr>
        <w:pStyle w:val="TextBody"/>
        <w:bidi w:val="0"/>
        <w:spacing w:before="0" w:after="240"/>
        <w:jc w:val="both"/>
        <w:rPr/>
      </w:pPr>
      <w:r>
        <w:rPr>
          <w:rFonts w:ascii="Times New Roman" w:hAnsi="Times New Roman"/>
          <w:b/>
          <w:color w:val="000000"/>
          <w:sz w:val="24"/>
        </w:rPr>
        <w:t>No Grants that Conflict with this Agreement</w:t>
      </w:r>
      <w:r>
        <w:rPr>
          <w:rFonts w:ascii="Times New Roman" w:hAnsi="Times New Roman"/>
          <w:color w:val="000000"/>
          <w:sz w:val="24"/>
        </w:rPr>
        <w:t xml:space="preserve">. RxSight and its Affiliates have not granted any licenses or rights (or other encumbrances) to any Third Party under or with respect to the Licensed RxSight Intellectual Property that conflict with the licenses or rights granted to Alcon hereunder.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13.2.2</w:t>
      </w:r>
    </w:p>
    <w:p>
      <w:pPr>
        <w:pStyle w:val="TextBody"/>
        <w:bidi w:val="0"/>
        <w:spacing w:before="0" w:after="240"/>
        <w:jc w:val="both"/>
        <w:rPr/>
      </w:pPr>
      <w:r>
        <w:rPr>
          <w:rFonts w:ascii="Times New Roman" w:hAnsi="Times New Roman"/>
          <w:b/>
          <w:color w:val="000000"/>
          <w:sz w:val="24"/>
        </w:rPr>
        <w:t>Control over Know-How and Patents</w:t>
      </w:r>
      <w:r>
        <w:rPr>
          <w:rFonts w:ascii="Times New Roman" w:hAnsi="Times New Roman"/>
          <w:color w:val="000000"/>
          <w:sz w:val="24"/>
        </w:rPr>
        <w:t>. RxSight has Control over all Know-How and Patents Controlled by it or its Affiliates that are necessary or reasonably useful for the Exploitation of the RxSight Technology as contemplated by this Agreement as of the Effective Date. Neither RxSight nor any of its Affiliates is a party to any license agreement with a Third Party pursuant to which RxSight or any of its Affiliates is obligated to pay any amount to a Third Party for the practice of any Intellectual Property rights with respect to RxSight’s or its Affiliates’ performance of its activities and obligations, or the Exploitation of the RxSight Technology, in each case as contemplated by this Agreement as of the Effective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13.2.3</w:t>
      </w:r>
    </w:p>
    <w:p>
      <w:pPr>
        <w:pStyle w:val="TextBody"/>
        <w:bidi w:val="0"/>
        <w:spacing w:before="0" w:after="240"/>
        <w:jc w:val="both"/>
        <w:rPr/>
      </w:pPr>
      <w:r>
        <w:rPr>
          <w:rFonts w:ascii="Times New Roman" w:hAnsi="Times New Roman"/>
          <w:b/>
          <w:color w:val="000000"/>
          <w:sz w:val="24"/>
        </w:rPr>
        <w:t>Licensed RxSight Intellectual Property</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All Licensed RxSight Patents existing as of the Effective Date are listed in Schedule 13.2.3(a) (the “</w:t>
      </w:r>
      <w:r>
        <w:rPr>
          <w:rFonts w:ascii="Times New Roman" w:hAnsi="Times New Roman"/>
          <w:b/>
          <w:color w:val="000000"/>
          <w:sz w:val="24"/>
        </w:rPr>
        <w:t>Existing RxSight Patents</w:t>
      </w:r>
      <w:r>
        <w:rPr>
          <w:color w:val="000000"/>
        </w:rPr>
        <w:t>”</w:t>
      </w:r>
      <w:r>
        <w:rPr>
          <w:rFonts w:ascii="Times New Roman" w:hAnsi="Times New Roman"/>
          <w:color w:val="000000"/>
          <w:sz w:val="24"/>
        </w:rPr>
        <w:t>). All such Existing RxSight Patents are: (i) to the extent issued, subsisting, in full force and effect and not invalid or unenforceable, in whole or in part; (ii) solely and exclusively owned by RxSight, free of any encumbrance, lien, security interest or claim of ownership by any Third Party; (iii) to the extent subject to a pending application for issuance, being diligently Prosecuted and Maintained in the respective patent offices in which such applications have been filed in accordance with Applicable Laws; and (iv) filed and maintained properly and correctly and all applicable fees applicable thereto have been paid on or before the due date for payment. RxSight is entitled and has the full right, power and authority to grant the licenses purported to be granted herein. RxSight or its Affiliate, as applicable, has complied with the duty of candor and duty of disclosure obligations in each jurisdiction where such duty exists with respect to the Existing RxSight Patents.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RxSight’s Knowledge, the Existing RxSight Patents represent all Patents within RxSight’s or its Affiliates’ ownership or Control that are necessary or useful for the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Exploitation of the RxSight Technology to Develop one (1) or more Collaboration Products as contemplated by this Agreement as of the Effective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RxSight’s Knowledge, the Exploitation of the RxSight Technology by Alcon or its Affiliates or its or their Sublicensees within the scope of the licenses granted hereunder as contemplated by this Agreement as of the Effective Date do not and will not infringe, misappropriate or otherwise violate any claim of an issued Patent or Know-How of any Third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RxSight’s Knowledge, each of the Existing RxSight Patents properly identifies each and every inventor of the claims thereof as determined in accordance with the laws of the jurisdiction in which such Existing RxSight Patent is issued or such application is pending. To RxSight’s Knowledge, RxSight and its Affiliates have obtained, or caused its Affiliates, as applicable, to obtain, assignments from the inventors of any Licensed RxSight Intellectual Property all inventorship rights to such Licensed RxSight Intellectual Property, and all such assignments are valid and enforceable. RxSight and its Affiliates have made any and all payments owing by RxSight or any of its Affiliates to any inventor of any Licensed RxSight Intellectual Property owned by RxSight or such Affiliate that is required under Applicable Law in connection with the creation or exploitation of or transfer of rights to such Licensed RxSight Intellectual Property.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and its Affiliates have not misappropriated any Intellectual Property rights of any Third Party in the Development, Manufacture and other Exploitation of the RxSight Technology.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Know-How within Licensed RxSight Intellectual Property has been kept confidential by RxSight and its Affiliates, or has been disclosed to Third Parties by RxSight and its Affiliates only under terms of confidentiality. To RxSight’s Knowledge, no material breach of such confidentiality has been committed by any Third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RxSight Trademarks existing as of the Effective Date are listed in Schedule 1.180. All such RxSight Trademarks are (i) to the extent registered, valid, subsisting, in full force and effect, and not abandoned, cancelled, or subject to any outstanding order or proceeding adversely affecting their validity or enforceability, in whole or in part; (ii) solely and exclusively owned by RxSight, free and clear of any encumbrance, lien, security interest, license, coexistence agreement, consent, or other claim of ownership or rights by any Affiliate or Third Party; (iii) to the extent registered or the subject of a pending application, properly filed, maintained, and prosecuted in the applicable trademark offices in accordance with Applicable Laws, including the timely filing of all required affidavits, declarations of use, specimens, renewals, and maintenance filings; and (iv) not infringing, misappropriating, or diluting any trademark or other proprietary rights of any Third Party, and not the subject of any pending or threatened opposition, cancellation, invalidation, or similar proceeding.</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13.2.4</w:t>
      </w:r>
    </w:p>
    <w:p>
      <w:pPr>
        <w:pStyle w:val="TextBody"/>
        <w:bidi w:val="0"/>
        <w:spacing w:before="0" w:after="240"/>
        <w:jc w:val="both"/>
        <w:rPr/>
      </w:pPr>
      <w:r>
        <w:rPr>
          <w:rFonts w:ascii="Times New Roman" w:hAnsi="Times New Roman"/>
          <w:b/>
          <w:color w:val="000000"/>
          <w:sz w:val="24"/>
        </w:rPr>
        <w:t>Litigation and Actions Relating to Intellectual Property</w:t>
      </w:r>
      <w:r>
        <w:rPr>
          <w:rFonts w:ascii="Times New Roman" w:hAnsi="Times New Roman"/>
          <w:color w:val="000000"/>
          <w:sz w:val="24"/>
        </w:rPr>
        <w:t xml:space="preserve">. There are no claims, judgments, orders, decrees or settlements against, or amounts with respect thereto owed by, RxSight or any of its Affiliates relating to the Licensed RxSight Intellectual Property. RxSight is not aware of any pending suit or proceeding filed by a Third Party with a court of competent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jurisdiction: (a)</w:t>
      </w:r>
      <w:r>
        <w:rPr>
          <w:color w:val="000000"/>
        </w:rPr>
        <w:t xml:space="preserve"> </w:t>
      </w:r>
      <w:r>
        <w:rPr>
          <w:rFonts w:ascii="Times New Roman" w:hAnsi="Times New Roman"/>
          <w:color w:val="000000"/>
          <w:sz w:val="24"/>
        </w:rPr>
        <w:t>seeking to invalidate, declare unenforceable or otherwise challenge the inventorship, ownership, scope, validity or enforceability of any of the Licensed RxSight Intellectual Property; or (b) asserting or alleging that RxSight or any of its Affiliates is infringing or has misappropriated or otherwise is violating, or that the Exploitation of the RxSight Technology is or would infringe, misappropriate or otherwise violate, any Patent, trade secret or other Intellectual Property rights of any Third Party. To RxSight’s Knowledge, no Person (x) has infringed or is infringing or threatening in writing to infringe, or (y) has misappropriated or is misappropriating or threatening in writing to misappropriate, in each case the Licensed RxSight Intellectual Property in a manner that would reasonably be expected to materially adversely affect the Exploitation of a Collaboration Product.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13.2.5</w:t>
      </w:r>
    </w:p>
    <w:p>
      <w:pPr>
        <w:pStyle w:val="TextBody"/>
        <w:bidi w:val="0"/>
        <w:spacing w:before="0" w:after="240"/>
        <w:jc w:val="both"/>
        <w:rPr/>
      </w:pPr>
      <w:r>
        <w:rPr>
          <w:rFonts w:ascii="Times New Roman" w:hAnsi="Times New Roman"/>
          <w:b/>
          <w:color w:val="000000"/>
          <w:sz w:val="24"/>
        </w:rPr>
        <w:t>Other Material Claims and Actions</w:t>
      </w:r>
      <w:r>
        <w:rPr>
          <w:rFonts w:ascii="Times New Roman" w:hAnsi="Times New Roman"/>
          <w:color w:val="000000"/>
          <w:sz w:val="24"/>
        </w:rPr>
        <w:t>. There are no claims, actions or proceedings pending or, to RxSight’s Knowledge, threatened in writing, nor, to RxSight’s Knowledge, are there any formal inquiries initiated or written notices received that do not relate to the Licensed RxSight Intellectual Property (which are addressed in Section 13.2.4) by RxSight or any of its Affiliates that may lead to the institution of any such legal proceedings, in each case (or in aggregate) against RxSight or its Affiliates or its or their properties, assets or business that if adversely decided, would, individually or in the aggregate, adversely affect in any material respect the grant of the licenses or rights granted to Alcon under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13.2.6</w:t>
      </w:r>
    </w:p>
    <w:p>
      <w:pPr>
        <w:pStyle w:val="TextBody"/>
        <w:bidi w:val="0"/>
        <w:spacing w:before="0" w:after="240"/>
        <w:jc w:val="both"/>
        <w:rPr/>
      </w:pPr>
      <w:r>
        <w:rPr>
          <w:rFonts w:ascii="Times New Roman" w:hAnsi="Times New Roman"/>
          <w:b/>
          <w:color w:val="000000"/>
          <w:sz w:val="24"/>
        </w:rPr>
        <w:t>Assignment by Employees, Consultants and Contractors</w:t>
      </w:r>
      <w:r>
        <w:rPr>
          <w:rFonts w:ascii="Times New Roman" w:hAnsi="Times New Roman"/>
          <w:color w:val="000000"/>
          <w:sz w:val="24"/>
        </w:rPr>
        <w:t>. RxSight has obtained from each of its employees, consultants and contractors and any other Third Party, in each case, who perform or have performed Development, Manufacturing or other Exploitation activities with respect to the RxSight Technology, valid and enforceable written agreements containing obligations of confidentiality and non-use and an assignment (or an obligation to assign) to RxSight of all right, title and interest in and to inventions (and all of such Person’s rights thereto) for which RxSight or Alcon is intended to have ownership or license rights under this Agreement such that no such employee, consultant, contractor or Third Party shall retain any rights to such inventions that would prevent or conflict with Alcon’s rights contemplated by this Agreement. To RxSight’s Knowledge, no employee, consultant or contractor of RxSight or any of its Affiliates is in violation of any term of any such agreement, including any employment contract.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13.2.7</w:t>
      </w:r>
    </w:p>
    <w:p>
      <w:pPr>
        <w:pStyle w:val="TextBody"/>
        <w:bidi w:val="0"/>
        <w:spacing w:before="0" w:after="240"/>
        <w:jc w:val="both"/>
        <w:rPr/>
      </w:pPr>
      <w:r>
        <w:rPr>
          <w:rFonts w:ascii="Times New Roman" w:hAnsi="Times New Roman"/>
          <w:b/>
          <w:color w:val="000000"/>
          <w:sz w:val="24"/>
        </w:rPr>
        <w:t>No Government Funding</w:t>
      </w:r>
      <w:r>
        <w:rPr>
          <w:rFonts w:ascii="Times New Roman" w:hAnsi="Times New Roman"/>
          <w:color w:val="000000"/>
          <w:sz w:val="24"/>
        </w:rPr>
        <w:t>. The inventions claimed or Covered by the Licensed RxSight Intellectual Property: (a) were not discovered, developed, created, conceived or reduced to practice or acquired (whether by license, exercise of option, acquisition or otherwise) in connection with any research activities funded, in whole or in part, by, or otherwise using the resources of, any Governmental Authority or any Third Party; (b) are not a “subject invention” as that term is described in 35 U.S.C. Section 201(e); (c) are not otherwise subject to the provisions of the Patent and Trademark Law Amendments Act of 1980, as amended, codified at 35 U.S.C. Sections 200-212, as amended, as well as any regulations promulgated pursuant thereto, including in 37 C.F.R. Part 401 (the “</w:t>
      </w:r>
      <w:r>
        <w:rPr>
          <w:rFonts w:ascii="Times New Roman" w:hAnsi="Times New Roman"/>
          <w:b/>
          <w:color w:val="000000"/>
          <w:sz w:val="24"/>
        </w:rPr>
        <w:t>Bayh-Dole Act</w:t>
      </w:r>
      <w:r>
        <w:rPr>
          <w:color w:val="000000"/>
        </w:rPr>
        <w:t>”</w:t>
      </w:r>
      <w:r>
        <w:rPr>
          <w:rFonts w:ascii="Times New Roman" w:hAnsi="Times New Roman"/>
          <w:color w:val="000000"/>
          <w:sz w:val="24"/>
        </w:rPr>
        <w:t xml:space="preserve">); and (d) are not the subject of any licenses, options or other rights of any other Governmental Authority or any Third Party, within or outside the United States. RxSight and its Affiliates have complied with the applicable provisions of the Bayh-Dole Act, in a manner that protects and preserves RxSight’s right, title and interest in such inventions to the maximum extent permitted by law. No Governmental Authority or academic institution has any right to, ownership of (including any “step-in” or “march-in” rights with respect to), or right to royalties or other payments for, or to impose any restriction on the assignment,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transfer, grant of licenses or other disposal of any Licensed RxSight Intellectual Property (including any Regulatory Documentation existing as of the Effective Date), or to impose any requirement or restriction on the Exploitation of the RxSight Technology as contemplated herein.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13.2.8</w:t>
      </w:r>
    </w:p>
    <w:p>
      <w:pPr>
        <w:pStyle w:val="TextBody"/>
        <w:bidi w:val="0"/>
        <w:spacing w:before="0" w:after="240"/>
        <w:jc w:val="both"/>
        <w:rPr/>
      </w:pPr>
      <w:r>
        <w:rPr>
          <w:rFonts w:ascii="Times New Roman" w:hAnsi="Times New Roman"/>
          <w:b/>
          <w:color w:val="000000"/>
          <w:sz w:val="24"/>
        </w:rPr>
        <w:t>Development and Regulatory Documentation</w:t>
      </w:r>
      <w:r>
        <w:rPr>
          <w:rFonts w:ascii="Times New Roman" w:hAnsi="Times New Roman"/>
          <w:color w:val="000000"/>
          <w:sz w:val="24"/>
        </w:rPr>
        <w:t>. RxSight and its Affiliates and its and their (sub)licensees have conducted, and their respective employees and agents have conducted, all Development, Manufacture and other Exploitation of the RxSight Technology that has been conducted prior to the Effective Date pursuant to and in compliance with generally accepted, professional scientific and ethical standards and all Applicable Laws and, to RxSight’s Knowledge, no such Person has received any notice of non-compliance with any of the foregoing. RxSight owns and holds, and has held, in full force and effect all licenses, permits, registrations, exemptions, certifications, waivers, approvals and authorizations from Governmental Authorities necessary for its activities related to the RxSight Technology conducted prior to the Effective Date. Neither RxSight nor, to RxSight’s Knowledge, any Person acting on its behalf has: (a) made an untrue statement of a material fact or fraudulent statement to the FDA or any other Regulatory Authority or with respect to any Regulatory Documentation; or (b) failed to disclose a material fact required to be disclosed to the FDA or any other Regulatory Authority, or committed any act, made a statement, or failed to make a statement that, at the time such disclosure was made, could provide a basis for the FDA or any other Governmental Authority to invoke its policy regarding “Fraud, Untrue Statements of Material Facts, Bribery, and Illegal Gratuities”, set forth in 56 Fed. Reg. 46191 (September 10, 1991) or any similar policy or otherwise constitute material non-compliance with any Applicable Law.</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13.2.9</w:t>
      </w:r>
    </w:p>
    <w:p>
      <w:pPr>
        <w:pStyle w:val="TextBody"/>
        <w:bidi w:val="0"/>
        <w:spacing w:before="0" w:after="240"/>
        <w:jc w:val="both"/>
        <w:rPr/>
      </w:pPr>
      <w:r>
        <w:rPr>
          <w:rFonts w:ascii="Times New Roman" w:hAnsi="Times New Roman"/>
          <w:b/>
          <w:color w:val="000000"/>
          <w:sz w:val="24"/>
        </w:rPr>
        <w:t>Disclosures</w:t>
      </w:r>
      <w:r>
        <w:rPr>
          <w:rFonts w:ascii="Times New Roman" w:hAnsi="Times New Roman"/>
          <w:color w:val="000000"/>
          <w:sz w:val="24"/>
        </w:rPr>
        <w:t>. RxSight has provided to Alcon all material adverse information with respect to the quality, performance, Manufacture, safety and efficacy of the Collaboration Products known to RxSight, and all such information is true, complete and correct in all material respects and, except as so provided to Alcon, there have not been any material safety, performance, or quality issues or material Manufacturing/supply interruptions, product complaints, adverse events, deviations, or corrective or preventive, or other remedial, actions relating to any Collaboration Product. Neither RxSight nor any of its Affiliates has any Knowledge of anything that could adversely affect the preparation of, or the acceptance or the subsequent approval, by any Regulatory Authority of, any filing, application, request, or other Regulatory Documentation for Regulatory Approval. All information provided by RxSight during pre-contractual due diligence, including all information provided in response to due diligence requests, is complete, truthful and accurate in all material respects. RxSight has not failed to disclose to Alcon any fact or circumstance known to RxSight or any of its Affiliates and relating to any of the Collaboration Products that would be reasonably material to Alcon in connection with this Agreement or the transactions contemplated herein.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both"/>
        <w:rPr/>
      </w:pPr>
      <w:r>
        <w:rPr>
          <w:rFonts w:ascii="Times New Roman" w:hAnsi="Times New Roman"/>
          <w:b/>
          <w:color w:val="000000"/>
          <w:sz w:val="24"/>
        </w:rPr>
        <w:t>Representations and Warranties by Alcon</w:t>
      </w:r>
      <w:r>
        <w:rPr>
          <w:rFonts w:ascii="Times New Roman" w:hAnsi="Times New Roman"/>
          <w:color w:val="000000"/>
          <w:sz w:val="24"/>
        </w:rPr>
        <w:t>. Alcon further represents and warrants to RxSight as follows, as of the Effective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13.3.1</w:t>
      </w:r>
    </w:p>
    <w:p>
      <w:pPr>
        <w:pStyle w:val="TextBody"/>
        <w:bidi w:val="0"/>
        <w:spacing w:before="0" w:after="240"/>
        <w:jc w:val="both"/>
        <w:rPr/>
      </w:pPr>
      <w:r>
        <w:rPr>
          <w:rFonts w:ascii="Times New Roman" w:hAnsi="Times New Roman"/>
          <w:b/>
          <w:color w:val="000000"/>
          <w:sz w:val="24"/>
        </w:rPr>
        <w:t>No Grants that Conflict with this Agreement</w:t>
      </w:r>
      <w:r>
        <w:rPr>
          <w:rFonts w:ascii="Times New Roman" w:hAnsi="Times New Roman"/>
          <w:color w:val="000000"/>
          <w:sz w:val="24"/>
        </w:rPr>
        <w:t xml:space="preserve">. Alcon and its Affiliates have not granted any licenses or rights (or other encumbrances) to any Third Party under or with respect to the Licensed Alcon Intellectual Property that conflict with the licenses or rights granted to RxSight hereunder.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13.3.2</w:t>
      </w:r>
    </w:p>
    <w:p>
      <w:pPr>
        <w:pStyle w:val="TextBody"/>
        <w:bidi w:val="0"/>
        <w:spacing w:before="0" w:after="240"/>
        <w:jc w:val="both"/>
        <w:rPr/>
      </w:pPr>
      <w:r>
        <w:rPr>
          <w:rFonts w:ascii="Times New Roman" w:hAnsi="Times New Roman"/>
          <w:b/>
          <w:color w:val="000000"/>
          <w:sz w:val="24"/>
        </w:rPr>
        <w:t>Control over Know-How and Patents</w:t>
      </w:r>
      <w:r>
        <w:rPr>
          <w:rFonts w:ascii="Times New Roman" w:hAnsi="Times New Roman"/>
          <w:color w:val="000000"/>
          <w:sz w:val="24"/>
        </w:rPr>
        <w:t>. Alcon or its Affiliate has Control over all Know-How and Patents that are necessary or reasonably useful for the Exploitation of the Alcon Technology as contemplated by this Agreement as of the Effective Date. Except as required under the [***], neither Alcon nor any of its Affiliates is a party to any license agreement with a Third Party pursuant to which Alcon or any of its Affiliates is obligated to pay any amount to a Third Party for the practice of any Intellectual Property rights with respect to Alcon’s or its Affiliates’ performance of its activities and obligations or the Exploitation of the Alcon Technology, in each case as contemplated by this Agreement as of the Effective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13.3.3</w:t>
      </w:r>
    </w:p>
    <w:p>
      <w:pPr>
        <w:pStyle w:val="TextBody"/>
        <w:bidi w:val="0"/>
        <w:spacing w:before="0" w:after="240"/>
        <w:jc w:val="both"/>
        <w:rPr/>
      </w:pPr>
      <w:r>
        <w:rPr>
          <w:rFonts w:ascii="Times New Roman" w:hAnsi="Times New Roman"/>
          <w:b/>
          <w:color w:val="000000"/>
          <w:sz w:val="24"/>
        </w:rPr>
        <w:t>Licensed Alcon Intellectual Property</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All Licensed Alcon Patents existing as of the Effective Date are listed in Schedule 13.3.3(a) (the “</w:t>
      </w:r>
      <w:r>
        <w:rPr>
          <w:rFonts w:ascii="Times New Roman" w:hAnsi="Times New Roman"/>
          <w:b/>
          <w:color w:val="000000"/>
          <w:sz w:val="24"/>
        </w:rPr>
        <w:t>Existing Alcon Patents</w:t>
      </w:r>
      <w:r>
        <w:rPr>
          <w:color w:val="000000"/>
        </w:rPr>
        <w:t>”</w:t>
      </w:r>
      <w:r>
        <w:rPr>
          <w:rFonts w:ascii="Times New Roman" w:hAnsi="Times New Roman"/>
          <w:color w:val="000000"/>
          <w:sz w:val="24"/>
        </w:rPr>
        <w:t>). All such Existing Alcon Patents are: (i) to the extent issued, subsisting, in full force and effect and not invalid or unenforceable, in whole or in part; (ii) except as set forth on Schedule 13.3.3(a), solely and exclusively owned by Alcon or its Affiliates, free of any encumbrance, lien, security interest or claim of ownership by any Third Party; (iii) to the extent subject to a pending application for issuance, being diligently Prosecuted and Maintained in the respective patent offices in which such applications have been filed in accordance with Applicable Laws; and (iv) filed and maintained properly and correctly and all applicable fees applicable thereto have been paid on or before the due date for payment. Notwithstanding the foregoing, with respect to the [***] only, the representations in clauses (i), (iii) and (iv) of this Section 13.3.3(a) are made to Alcon’s Knowledge. Alcon or its Affiliate is entitled and has the full right, power and authority to grant the licenses purported to be granted herein. Alcon or its Affiliate, as applicable, has complied with the duty of candor and duty of disclosure obligations in each jurisdiction where such duty exists with respect to the Existing Alcon Patents (other than the [***]). To Alcon’s Knowledge, [***] has complied with the duty of candor and duty of disclosure obligations in each jurisdiction where such duty exists with respect to the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Alcon’s Knowledge, the Existing Alcon Patents represent all Patents within Alcon’s or its Affiliates’ ownership or Control that are necessary or useful for the Exploitation of the Alcon Materials and Alcon Technology to Develop one (1) or more Collaboration Products as contemplated by this Agreement as of the Effective Date.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Alcon’s Knowledge, the Exploitation of the Alcon Technology by Alcon or its Affiliates or its or their Sublicensees within the scope of the licenses granted hereunder as contemplated by this Agreement as of the Effective Date do not and will not infringe, misappropriate or otherwise violate any valid claim of an issued Patent or Know-How of any Third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Alcon’s Knowledge, each of the Existing Alcon Patents other than the [***] properly identifies each and every inventor of the claims thereof as determined in accordance with the laws of the jurisdiction in which such Existing Alcon Patent is issued or such application is pending. To Alcon’s Knowledge, Alcon and its Affiliates have obtained, or caused its Affiliates, as applicable, to obtain, assignments from the inventors of any Licensed Alcon Intellectual Property other than the [***] all inventorship rights to such Licensed Alcon Intellectual Property, and all such assignments are valid and enforceable. Alcon and its Affiliates have made any and all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owing by Alcon or any of its Affiliates to any inventor of any Licensed Alcon Intellectual Property other than the [***] owned by Alcon or such Affiliate that is required under Applicable Law in connection with the creation or exploitation of or transfer of rights to such Licensed Alcon Intellectual Property.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the [***], to Alcon’s Knowledge, each of the [***] properly identifies each and every inventor of the claims thereof as determined in accordance with the laws of the jurisdiction in which such [***] is issued or such application is pending. To Alcon’s Knowledge, [***] has obtained assignments from the inventors of the [***] sufficient to grant the rights licensed to Alcon under the [***] and sublicensed to RxSight hereunder. To Alcon’s Knowledge, neither Alcon nor any of its Affiliates owes any payments to any inventor of any [***] that are required under Applicable Law in connection with the creation or exploitation of or transfer of rights to such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and its Affiliates have not misappropriated any Intellectual Property rights of any Third Party in the Development, Manufacture and other Exploitation of the Alcon Materials and Alcon Technology.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Know-How within Licensed Alcon Intellectual Property has been kept confidential by Alcon and its Affiliates, or has been disclosed to Third Parties by Alcon and its Affiliates only under terms of confidentiality. To Alcon’s Knowledge, no material breach of such confidentiality has been committed by any Third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13.3.4</w:t>
      </w:r>
    </w:p>
    <w:p>
      <w:pPr>
        <w:pStyle w:val="TextBody"/>
        <w:bidi w:val="0"/>
        <w:spacing w:before="0" w:after="240"/>
        <w:jc w:val="both"/>
        <w:rPr/>
      </w:pPr>
      <w:r>
        <w:rPr>
          <w:rFonts w:ascii="Times New Roman" w:hAnsi="Times New Roman"/>
          <w:b/>
          <w:color w:val="000000"/>
          <w:sz w:val="24"/>
        </w:rPr>
        <w:t>Litigation and Actions Relating to Intellectual Property</w:t>
      </w:r>
      <w:r>
        <w:rPr>
          <w:rFonts w:ascii="Times New Roman" w:hAnsi="Times New Roman"/>
          <w:color w:val="000000"/>
          <w:sz w:val="24"/>
        </w:rPr>
        <w:t xml:space="preserve">. There are no claims, judgments, orders, decrees or settlements against, or amounts with respect thereto owed by, Alcon or any of its Affiliates relating to the Licensed Alcon Intellectual Property. Alcon is not aware of any pending suit or proceeding filed by a Third Party with a court of competent jurisdiction: (a) seeking to invalidate, declare unenforceable or otherwise challenge the inventorship, ownership, scope, validity or enforceability of any of the Licensed Alcon Intellectual Property; or (b) asserting or alleging that Alcon or any of its Affiliates is infringing or has misappropriated or otherwise is violating, or that the Exploitation of the Alcon Materials and Alcon Technology is or would infringe, misappropriate or otherwise violate, any Patent, trade secret or other Intellectual Property rights of any Third Party. To Alcon’s Knowledge, no Person (x) has infringed or is infringing or threatening in writing to infringe, or (y) has misappropriated or is misappropriating or threatening in writing to misappropriate, in each case the Licensed Alcon Intellectual Property in a manner that would reasonably be expected to materially adversely affect the Exploitation of a Collaboration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13.3.5</w:t>
      </w:r>
    </w:p>
    <w:p>
      <w:pPr>
        <w:pStyle w:val="TextBody"/>
        <w:bidi w:val="0"/>
        <w:spacing w:before="0" w:after="240"/>
        <w:jc w:val="both"/>
        <w:rPr/>
      </w:pPr>
      <w:r>
        <w:rPr>
          <w:rFonts w:ascii="Times New Roman" w:hAnsi="Times New Roman"/>
          <w:b/>
          <w:color w:val="000000"/>
          <w:sz w:val="24"/>
        </w:rPr>
        <w:t>Other Material Claims and Actions</w:t>
      </w:r>
      <w:r>
        <w:rPr>
          <w:rFonts w:ascii="Times New Roman" w:hAnsi="Times New Roman"/>
          <w:color w:val="000000"/>
          <w:sz w:val="24"/>
        </w:rPr>
        <w:t>. There are no claims, actions or proceedings pending or, to Alcon’s Knowledge, threatened in writing, nor, to Alcon’s Knowledge, are there any formal inquiries initiated or written notices received that do not relate to the Licensed Alcon Intellectual Property (which are addressed in Section 13.3.4) by Alcon or any of its Affiliates that may lead to the institution of any such legal proceedings, in each case (or in aggregate) against Alcon or its Affiliates or its or their properties, assets or business that if adversely decided, would, individually or in the aggregate, adversely affect in any material respect the grant of the licenses or rights granted to RxSight under this Agreement.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13.3.6</w:t>
      </w:r>
    </w:p>
    <w:p>
      <w:pPr>
        <w:pStyle w:val="TextBody"/>
        <w:bidi w:val="0"/>
        <w:spacing w:before="0" w:after="240"/>
        <w:jc w:val="both"/>
        <w:rPr/>
      </w:pPr>
      <w:r>
        <w:rPr>
          <w:rFonts w:ascii="Times New Roman" w:hAnsi="Times New Roman"/>
          <w:b/>
          <w:color w:val="000000"/>
          <w:sz w:val="24"/>
        </w:rPr>
        <w:t>Assignment by Employees, Consultants and Contractors</w:t>
      </w:r>
      <w:r>
        <w:rPr>
          <w:rFonts w:ascii="Times New Roman" w:hAnsi="Times New Roman"/>
          <w:color w:val="000000"/>
          <w:sz w:val="24"/>
        </w:rPr>
        <w:t>. Alcon has obtained from each of its employees, consultants and contractors and any other Third Party, in each case, who perform or have performed Development, Manufacturing or other Exploitation activities with respect to the Alcon Materials and Alcon Technology, valid and enforceable written agreements containing obligations of confidentiality and non-use and an assignment (or an obligation to assign) to Alcon of all right, title and interest in and to inventions (and all of such Person’s rights thereto) for which Alcon or RxSight is intended to have ownership or license rights under this Agreement such that no such employee, consultant, contractor or Third Party shall retain any rights to such inventions that would prevent or conflict with Alcon’s rights contemplated by this Agreement. To Alcon’s Knowledge, no employee, consultant or contractor of Alcon or any of its Affiliates is in violation of any term of any such agreement, including any employment contract.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13.3.7</w:t>
      </w:r>
    </w:p>
    <w:p>
      <w:pPr>
        <w:pStyle w:val="TextBody"/>
        <w:bidi w:val="0"/>
        <w:spacing w:before="0" w:after="240"/>
        <w:jc w:val="both"/>
        <w:rPr/>
      </w:pPr>
      <w:r>
        <w:rPr>
          <w:rFonts w:ascii="Times New Roman" w:hAnsi="Times New Roman"/>
          <w:b/>
          <w:color w:val="000000"/>
          <w:sz w:val="24"/>
        </w:rPr>
        <w:t>No Government Funding</w:t>
      </w:r>
      <w:r>
        <w:rPr>
          <w:rFonts w:ascii="Times New Roman" w:hAnsi="Times New Roman"/>
          <w:color w:val="000000"/>
          <w:sz w:val="24"/>
        </w:rPr>
        <w:t xml:space="preserve">. Except with respect to inventions claimed by the [***], the inventions claimed or Covered by the Licensed Alcon Intellectual Property: (a) were not discovered, developed, created, conceived or reduced to practice or acquired (whether by license, exercise of option, acquisition or otherwise) in connection with any research activities funded, in whole or in part, by, or otherwise using the resources of, any Governmental Authority or any Third Party; (b) are not a “subject invention” as that term is described in 35 U.S.C. Section 201(e); (c) are not otherwise subject to the Bayh-Dole Act; and (d) are not the subject of any licenses, options or other rights of any other Governmental Authority or any Third Party, within or outside the United States. Alcon and its Affiliates have complied with the applicable provisions of the Bayh-Dole Act, in a manner that protects and preserves Alcon’s right, title and interest in such inventions to the maximum extent permitted by law. No Governmental Authority or academic institution has any right to, ownership of (including any “step-in” or “march-in” rights with respect to), or right to royalties or other payments for, or to impose any restriction on the assignment, transfer, grant of licenses or other disposal of any Licensed Alcon Intellectual Property (including any Regulatory Documentation existing as of the Effective Date), or to impose any requirement or restriction on the Exploitation of the Alcon Technology as contemplated herein.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13.3.8</w:t>
      </w:r>
    </w:p>
    <w:p>
      <w:pPr>
        <w:pStyle w:val="TextBody"/>
        <w:bidi w:val="0"/>
        <w:spacing w:before="0" w:after="240"/>
        <w:jc w:val="both"/>
        <w:rPr/>
      </w:pPr>
      <w:r>
        <w:rPr>
          <w:rFonts w:ascii="Times New Roman" w:hAnsi="Times New Roman"/>
          <w:b/>
          <w:color w:val="000000"/>
          <w:sz w:val="24"/>
        </w:rPr>
        <w:t>Development and Regulatory Documentation</w:t>
      </w:r>
      <w:r>
        <w:rPr>
          <w:rFonts w:ascii="Times New Roman" w:hAnsi="Times New Roman"/>
          <w:color w:val="000000"/>
          <w:sz w:val="24"/>
        </w:rPr>
        <w:t>. Alcon and its Affiliates and its and their (sub)licensees have conducted, and their respective employees and agents have conducted, all Development, Manufacture and other Exploitation of the Alcon Materials and Alcon Technology that has been conducted prior to the Effective Date pursuant to and in compliance with generally accepted, professional scientific and ethical standards and all Applicable Laws and, to Alcon’s Knowledge, no such Person has received any notice of non-compliance with any of the foregoing. Alcon owns and holds, and has held, in full force and effect all licenses, permits, registrations, exemptions, certifications, waivers, approvals and authorizations from Governmental Authorities necessary for its activities related to the Alcon Materials and Alcon Technology conducted prior to the Effective Date. Neither Alcon nor, to Alcon’s Knowledge, any Person acting on its behalf has: (a) made an untrue statement of a material fact or fraudulent statement to the FDA or any other Regulatory Authority or with respect to any Regulatory Documentation; or (b) failed to disclose a material fact required to be disclosed to the FDA or any other Regulatory Authority, or committed any act, made a statement, or failed to make a statement that, at the time such disclosure was made, could provide a basis for the FDA or any other Governmental Authority to invoke its policy regarding “Fraud, Untrue Statements of Material Facts, Bribery, and Illegal Gratuities”, set forth in 56 Fed. Reg. 46191 (September 10, 1991) or any similar policy or otherwise constitute material non-compliance with any Applicable Law.</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13.3.9</w:t>
      </w:r>
    </w:p>
    <w:p>
      <w:pPr>
        <w:pStyle w:val="TextBody"/>
        <w:bidi w:val="0"/>
        <w:spacing w:before="0" w:after="240"/>
        <w:jc w:val="both"/>
        <w:rPr/>
      </w:pPr>
      <w:r>
        <w:rPr>
          <w:rFonts w:ascii="Times New Roman" w:hAnsi="Times New Roman"/>
          <w:b/>
          <w:color w:val="000000"/>
          <w:sz w:val="24"/>
        </w:rPr>
        <w:t>Disclosures</w:t>
      </w:r>
      <w:r>
        <w:rPr>
          <w:rFonts w:ascii="Times New Roman" w:hAnsi="Times New Roman"/>
          <w:color w:val="000000"/>
          <w:sz w:val="24"/>
        </w:rPr>
        <w:t>. Alcon has provided to RxSight all material adverse information with respect to the quality, performance, Manufacture, safety and efficacy of the Collaboration Products known to Alcon, and all such information is true, complete and correct in all material respects and, except as so provided to RxSight, there have not been any material safety, performance, or quality issues or material Manufacturing/supply interruptions, product complaints, adverse events, deviations, or corrective or preventive, or other remedial, actions relating to any Collaboration Product. Neither Alcon nor any of its Affiliates has any Knowledge of anything that could adversely affect the preparation of, or the acceptance or the subsequent approval, by any Regulatory Authority of, any filing, application, request, or other Regulatory Documentation for Regulatory Approval. All information provided by Alcon during pre-contractual due diligence, including all information provided in response to due diligence requests, is complete, truthful and accurate in all material respects. Alcon has not failed to disclose to RxSight any fact or circumstance known to Alcon or any of its Affiliates and relating to any of the Collaboration Products that would be reasonably material to RxSight in connection with this Agreement or the transactions contemplated herein.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13.4</w:t>
      </w:r>
    </w:p>
    <w:p>
      <w:pPr>
        <w:pStyle w:val="TextBody"/>
        <w:bidi w:val="0"/>
        <w:spacing w:before="0" w:after="240"/>
        <w:jc w:val="both"/>
        <w:rPr/>
      </w:pPr>
      <w:r>
        <w:rPr>
          <w:rFonts w:ascii="Times New Roman" w:hAnsi="Times New Roman"/>
          <w:b/>
          <w:color w:val="000000"/>
          <w:sz w:val="24"/>
        </w:rPr>
        <w:t>Additional Representations and Warranties by Each Party</w:t>
      </w:r>
      <w:r>
        <w:rPr>
          <w:rFonts w:ascii="Times New Roman" w:hAnsi="Times New Roman"/>
          <w:color w:val="000000"/>
          <w:sz w:val="24"/>
        </w:rPr>
        <w:t>. Each Party further represents and warrants as of the Effective Date as follows; provided</w:t>
      </w:r>
      <w:r>
        <w:rPr>
          <w:color w:val="000000"/>
        </w:rPr>
        <w:t xml:space="preserve"> </w:t>
      </w:r>
      <w:r>
        <w:rPr>
          <w:rFonts w:ascii="Times New Roman" w:hAnsi="Times New Roman"/>
          <w:color w:val="000000"/>
          <w:sz w:val="24"/>
        </w:rPr>
        <w:t>that, notwithstanding the following, Alcon makes no representations, warranties or covenants with respect to its shareholders: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13.4.1</w:t>
      </w:r>
    </w:p>
    <w:p>
      <w:pPr>
        <w:pStyle w:val="TextBody"/>
        <w:bidi w:val="0"/>
        <w:spacing w:before="0" w:after="240"/>
        <w:jc w:val="both"/>
        <w:rPr/>
      </w:pPr>
      <w:r>
        <w:rPr>
          <w:rFonts w:ascii="Times New Roman" w:hAnsi="Times New Roman"/>
          <w:b/>
          <w:color w:val="000000"/>
          <w:sz w:val="24"/>
        </w:rPr>
        <w:t>Debarment</w:t>
      </w:r>
      <w:r>
        <w:rPr>
          <w:rFonts w:ascii="Times New Roman" w:hAnsi="Times New Roman"/>
          <w:color w:val="000000"/>
          <w:sz w:val="24"/>
        </w:rPr>
        <w:t>. Such Party, its Affiliates and its and their officers, employees, agents, consultants and any other Person engaged, or contemplated to be engaged, by such Party or its Affiliates in the performance of Development, Manufacturing or other Exploitation activities with respect to the RxSight Technology and the Alcon Technology, as applicable, has not been and is not: (a) debarred or convicted, or subject to a pending debarment or conviction, pursuant to Section 306 of the FD&amp;C Act; (b) listed by any government or regulatory agencies as ineligible to participate in any Federal health care programs (as that term is defined in 42 U.S.C. Section 1320a-7b(f)) or government procurement or non-procurement programs, or excluded, debarred, suspended or otherwise made ineligible to participate in any such program; or (c) convicted of a criminal offense related to the provision of healthcare items or services, or subject to any such pending action.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13.4.2</w:t>
      </w:r>
    </w:p>
    <w:p>
      <w:pPr>
        <w:pStyle w:val="TextBody"/>
        <w:bidi w:val="0"/>
        <w:spacing w:before="0" w:after="240"/>
        <w:jc w:val="both"/>
        <w:rPr/>
      </w:pPr>
      <w:r>
        <w:rPr>
          <w:rFonts w:ascii="Times New Roman" w:hAnsi="Times New Roman"/>
          <w:b/>
          <w:color w:val="000000"/>
          <w:sz w:val="24"/>
        </w:rPr>
        <w:t>Status Regarding Sanctions</w:t>
      </w:r>
      <w:r>
        <w:rPr>
          <w:rFonts w:ascii="Times New Roman" w:hAnsi="Times New Roman"/>
          <w:color w:val="000000"/>
          <w:sz w:val="24"/>
        </w:rPr>
        <w:t>. None of such Party, its Affiliates, its or their directors, executive officers, agents, or any Person having a controlling interest in such Party or any of its Affiliates is (a) a Person targeted by trade or financial sanctions under the laws and regulations of the United Nations, the United States, the European Union and its member states, the United Kingdom or any other jurisdiction that is applicable to the licenses and services to be provided under this Agreement, including Persons designated on the U.S. Department of the Treasury, Office of Foreign Assets Control’s List of Specially Designated Nationals and Other Blocked Persons and Consolidated Sanctions List, the U.S. State Department’s Non-proliferation Sanctions Lists, the UN Financial Sanctions Lists, the EU’s Consolidated List of Persons, Groups and Entities Subject to EU Financial Sanctions, and the UK HM Treasury Consolidated Lists of Financial Sanctions Targets; or (b) directly or indirectly owned or controlled by such Persons (together “</w:t>
      </w:r>
      <w:r>
        <w:rPr>
          <w:rFonts w:ascii="Times New Roman" w:hAnsi="Times New Roman"/>
          <w:b/>
          <w:color w:val="000000"/>
          <w:sz w:val="24"/>
        </w:rPr>
        <w:t>Restricted Person</w:t>
      </w:r>
      <w:r>
        <w:rPr>
          <w:color w:val="000000"/>
        </w:rPr>
        <w:t>”</w:t>
      </w:r>
      <w:r>
        <w:rPr>
          <w:rFonts w:ascii="Times New Roman" w:hAnsi="Times New Roman"/>
          <w:color w:val="000000"/>
          <w:sz w:val="24"/>
        </w:rPr>
        <w:t xml:space="preserve">). Each Party further represents, warrants and covenants that such Party shall notify the other Party in writing immediately if the Party giving notice or any of its Affiliates or its or their directors, executive officers, agents, or any Person having a controlling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interest in such Party giving or any of its Affiliates becomes a Restricted Person or if such Party giving notice becomes directly or indirectly owned or controlled by one (1) or more Restricted Persons.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13.4.3</w:t>
      </w:r>
    </w:p>
    <w:p>
      <w:pPr>
        <w:pStyle w:val="TextBody"/>
        <w:bidi w:val="0"/>
        <w:spacing w:before="0" w:after="240"/>
        <w:jc w:val="both"/>
        <w:rPr/>
      </w:pPr>
      <w:r>
        <w:rPr>
          <w:rFonts w:ascii="Times New Roman" w:hAnsi="Times New Roman"/>
          <w:b/>
          <w:color w:val="000000"/>
          <w:sz w:val="24"/>
        </w:rPr>
        <w:t>Personal Information</w:t>
      </w:r>
      <w:r>
        <w:rPr>
          <w:rFonts w:ascii="Times New Roman" w:hAnsi="Times New Roman"/>
          <w:color w:val="000000"/>
          <w:sz w:val="24"/>
        </w:rPr>
        <w:t>. The Processing of Personal Information by either Party (including any transfer of Personal Information across national borders) in connection with the Development of Alcon Technology or RxSight Technology, as applicable, is and has been in compliance with Data Protection Laws</w:t>
      </w:r>
      <w:r>
        <w:rPr>
          <w:color w:val="000000"/>
        </w:rPr>
        <w:t xml:space="preserve"> </w:t>
      </w:r>
      <w:r>
        <w:rPr>
          <w:rFonts w:ascii="Times New Roman" w:hAnsi="Times New Roman"/>
          <w:color w:val="000000"/>
          <w:sz w:val="24"/>
        </w:rPr>
        <w:t>in all countries and jurisdictions in the Territory, all privacy related consents and notices that apply to the Alcon Technology or RxSight Technology, as applicable, and the requirements of any contract or codes of conduct to which such Party is a party (“</w:t>
      </w:r>
      <w:r>
        <w:rPr>
          <w:rFonts w:ascii="Times New Roman" w:hAnsi="Times New Roman"/>
          <w:b/>
          <w:color w:val="000000"/>
          <w:sz w:val="24"/>
        </w:rPr>
        <w:t>Privacy and Security Obligations</w:t>
      </w:r>
      <w:r>
        <w:rPr>
          <w:color w:val="000000"/>
        </w:rPr>
        <w:t>”</w:t>
      </w:r>
      <w:r>
        <w:rPr>
          <w:rFonts w:ascii="Times New Roman" w:hAnsi="Times New Roman"/>
          <w:color w:val="000000"/>
          <w:sz w:val="24"/>
        </w:rPr>
        <w:t>). Each Party has provided all necessary privacy notices related to research participants and has an appropriate legal basis under Data Protection Laws to process all personal data in connection with the Alcon Technology or RxSight Technology, as applicable. Each Party has developed, implemented, and maintains a compliance program, policies and procedures, and training programs to ensure ongoing compliance with the Privacy and Security Obligations. Each Party has commercially reasonable physical, technical, organizational, and administrative security measures and policies in place to protect all personal data collected by it or on its behalf from and against unauthorized processing. Each Party is and has complied in all material respects with all Privacy and Security Obligations relating to data breach reporting and notification obligations.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13.5</w:t>
      </w:r>
    </w:p>
    <w:p>
      <w:pPr>
        <w:pStyle w:val="TextBody"/>
        <w:bidi w:val="0"/>
        <w:spacing w:before="0" w:after="240"/>
        <w:jc w:val="both"/>
        <w:rPr/>
      </w:pPr>
      <w:r>
        <w:rPr>
          <w:rFonts w:ascii="Times New Roman" w:hAnsi="Times New Roman"/>
          <w:b/>
          <w:color w:val="000000"/>
          <w:sz w:val="24"/>
        </w:rPr>
        <w:t>Additional Covenants of RxSight</w:t>
      </w:r>
      <w:r>
        <w:rPr>
          <w:rFonts w:ascii="Times New Roman" w:hAnsi="Times New Roman"/>
          <w:color w:val="000000"/>
          <w:sz w:val="24"/>
        </w:rPr>
        <w:t>. During the Term:</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not, and shall cause its Affiliates not to, misappropriate any Know-How or infringe any issued Patent in the conduct of the Development Activities;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RxSight shall not, and shall cause its Affiliates not to: (a)</w:t>
      </w:r>
      <w:r>
        <w:rPr>
          <w:color w:val="000000"/>
        </w:rPr>
        <w:t xml:space="preserve"> </w:t>
      </w:r>
      <w:r>
        <w:rPr>
          <w:rFonts w:ascii="Times New Roman" w:hAnsi="Times New Roman"/>
          <w:color w:val="000000"/>
          <w:sz w:val="24"/>
        </w:rPr>
        <w:t xml:space="preserve">grant any license or other interest to any Third Party under the Licensed RxSight Intellectual Property that is inconsistent with or conflicts with the licenses or other interests granted to Alcon hereunder; (b) sell, assign, convey, or otherwise transfer any of its right, title or interest in or to any Licensed RxSight Intellectual Property to any Third Party; (c) grant to any Third Party any licenses or rights to the Collaboration Products, except as otherwise permitted under this Agreement; (d) enter into any agreement that would impose additional obligations or liabilities on Alcon without Alcon’s prior written consent; or </w:t>
      </w:r>
      <w:bookmarkStart w:id="28" w:name="docxtextref221"/>
      <w:bookmarkEnd w:id="28"/>
      <w:r>
        <w:rPr>
          <w:rFonts w:ascii="Times New Roman" w:hAnsi="Times New Roman"/>
          <w:color w:val="000000"/>
          <w:sz w:val="24"/>
        </w:rPr>
        <w:t>(e)</w:t>
      </w:r>
      <w:r>
        <w:rPr>
          <w:color w:val="000000"/>
        </w:rPr>
        <w:t xml:space="preserve"> </w:t>
      </w:r>
      <w:r>
        <w:rPr>
          <w:rFonts w:ascii="Times New Roman" w:hAnsi="Times New Roman"/>
          <w:color w:val="000000"/>
          <w:sz w:val="24"/>
        </w:rPr>
        <w:t>incur or permit to incur any lien, security interest or other encumbrance, other than licenses entered into in the ordinary course of business, on the Licensed RxSight Intellectual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13.5.3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make any and all payments required by contract or under Applicable Law owing by RxSight or any of its Affiliates to any inventor of any Licensed RxSight Intellectual Property owned by RxSight or such Affiliate that is required in connection with the creation or exploitation of or transfer of rights to such Licensed RxSight Intellectual Property;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13.5.4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update Schedule 13.2.3(a) from time to time to reflect additional Patents that become Licensed RxSight Patents during the Term;</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13.5.5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RxSight shall update Schedule 1.150 from time to time to reflect any additional Patents that become Product-Specific Patents after the Effective Date during the Term;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13.5.6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Parties agree otherwise in writing, (a) RxSight shall not, and shall cause its Affiliates not to, use any funding, facilities or personnel of any Governmental Authority or any educational, research or non-profit institutions to conduct the Development Activities, (b) RxSight shall notify Alcon prior to it or any of its Affiliates using any funding, facilities or personnel of any Governmental Authority or any educational, research or non-profit institutions in the conduct of the Development Activities and, at Alcon’s request, shall promptly discuss with Alcon any such use and (c) neither RxSight nor any of its Affiliates shall enter into a funding relationship that would result in RxSight not having the right to Control any Licensed RxSight Intellectual Property or any Collaboration Products.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13.6</w:t>
      </w:r>
    </w:p>
    <w:p>
      <w:pPr>
        <w:pStyle w:val="TextBody"/>
        <w:bidi w:val="0"/>
        <w:spacing w:before="0" w:after="240"/>
        <w:jc w:val="both"/>
        <w:rPr/>
      </w:pPr>
      <w:r>
        <w:rPr>
          <w:rFonts w:ascii="Times New Roman" w:hAnsi="Times New Roman"/>
          <w:b/>
          <w:color w:val="000000"/>
          <w:sz w:val="24"/>
        </w:rPr>
        <w:t>Additional Covenants of Alcon</w:t>
      </w:r>
      <w:r>
        <w:rPr>
          <w:rFonts w:ascii="Times New Roman" w:hAnsi="Times New Roman"/>
          <w:color w:val="000000"/>
          <w:sz w:val="24"/>
        </w:rPr>
        <w:t>. During the Term:</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13.6.1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shall not, and shall cause its Affiliates not to, knowingly misappropriate any Know-How or knowingly infringe any issued Patent, in each case in the conduct of its Commercialization activities;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unless the Parties agree otherwise in writing, (a) Alcon shall not, and shall cause its Affiliates not to, use any funding, facilities or personnel of any Governmental Authority or any educational, research or non-profit institutions to conduct the Development Activities, (b) Alcon shall notify RxSight prior to it or any of its Affiliates using any funding, facilities or personnel of any Governmental Authority or any educational, research or non-profit institutions in the conduct of the Development Activities and, at RxSight’s request, shall promptly discuss with RxSight any such use and (c) neither Alcon nor any of its Affiliates shall enter into a funding relationship that would result in Alcon not having the right to Control any Licensed Alcon Intellectual Property or any Collaboration Products;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13.6.3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Alcon shall comply with all Applicable Laws in the conduct of its Commercialization activities.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13.7</w:t>
      </w:r>
    </w:p>
    <w:p>
      <w:pPr>
        <w:pStyle w:val="TextBody"/>
        <w:bidi w:val="0"/>
        <w:spacing w:before="0" w:after="240"/>
        <w:jc w:val="both"/>
        <w:rPr/>
      </w:pPr>
      <w:r>
        <w:rPr>
          <w:rFonts w:ascii="Times New Roman" w:hAnsi="Times New Roman"/>
          <w:b/>
          <w:color w:val="000000"/>
          <w:sz w:val="24"/>
        </w:rPr>
        <w:t>Limitation</w:t>
      </w:r>
      <w:r>
        <w:rPr>
          <w:rFonts w:ascii="Times New Roman" w:hAnsi="Times New Roman"/>
          <w:color w:val="000000"/>
          <w:sz w:val="24"/>
        </w:rPr>
        <w:t>. Neither Party makes any representation or warranty, either express or implied, that any of the Development, Manufacturing or Commercialization efforts with regard to any Collaboration Product will be successful.</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INDEMNIFICATION AND LIABILITY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both"/>
        <w:rPr/>
      </w:pPr>
      <w:r>
        <w:rPr>
          <w:rFonts w:ascii="Times New Roman" w:hAnsi="Times New Roman"/>
          <w:b/>
          <w:color w:val="000000"/>
          <w:sz w:val="24"/>
        </w:rPr>
        <w:t>Indemnification by RxSight</w:t>
      </w:r>
      <w:r>
        <w:rPr>
          <w:rFonts w:ascii="Times New Roman" w:hAnsi="Times New Roman"/>
          <w:color w:val="000000"/>
          <w:sz w:val="24"/>
        </w:rPr>
        <w:t>. Subject to Section 14.3, RxSight shall indemnify, defend and hold Alcon and its Affiliates and Sublicensees and its and their respective officers, directors, employees, contractors, agents and assigns (each, a “</w:t>
      </w:r>
      <w:r>
        <w:rPr>
          <w:rFonts w:ascii="Times New Roman" w:hAnsi="Times New Roman"/>
          <w:b/>
          <w:color w:val="000000"/>
          <w:sz w:val="24"/>
        </w:rPr>
        <w:t>Alcon Indemnified Party</w:t>
      </w:r>
      <w:r>
        <w:rPr>
          <w:color w:val="000000"/>
        </w:rPr>
        <w:t>”</w:t>
      </w:r>
      <w:r>
        <w:rPr>
          <w:rFonts w:ascii="Times New Roman" w:hAnsi="Times New Roman"/>
          <w:color w:val="000000"/>
          <w:sz w:val="24"/>
        </w:rPr>
        <w:t>) harmless from and against losses, damages and liability, including reasonable legal expense and attorneys’ fees, (collectively, “</w:t>
      </w:r>
      <w:r>
        <w:rPr>
          <w:rFonts w:ascii="Times New Roman" w:hAnsi="Times New Roman"/>
          <w:b/>
          <w:color w:val="000000"/>
          <w:sz w:val="24"/>
        </w:rPr>
        <w:t>Losses</w:t>
      </w:r>
      <w:r>
        <w:rPr>
          <w:color w:val="000000"/>
        </w:rPr>
        <w:t>”</w:t>
      </w:r>
      <w:r>
        <w:rPr>
          <w:rFonts w:ascii="Times New Roman" w:hAnsi="Times New Roman"/>
          <w:color w:val="000000"/>
          <w:sz w:val="24"/>
        </w:rPr>
        <w:t>) to which any Alcon Indemnified Party may become subject as a result of any Third Party demands, claims, investigations, suits or actions (“</w:t>
      </w:r>
      <w:r>
        <w:rPr>
          <w:rFonts w:ascii="Times New Roman" w:hAnsi="Times New Roman"/>
          <w:b/>
          <w:color w:val="000000"/>
          <w:sz w:val="24"/>
        </w:rPr>
        <w:t>Claims</w:t>
      </w:r>
      <w:r>
        <w:rPr>
          <w:color w:val="000000"/>
        </w:rPr>
        <w:t>”</w:t>
      </w:r>
      <w:r>
        <w:rPr>
          <w:rFonts w:ascii="Times New Roman" w:hAnsi="Times New Roman"/>
          <w:color w:val="000000"/>
          <w:sz w:val="24"/>
        </w:rPr>
        <w:t xml:space="preserve">) (but excluding product liability claims) to the extent arising or resulting from: (a) the gross negligence or willful misconduct of any RxSight Indemnified Party in connection with this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(b) the breach by RxSight of any term in, or the covenants, warranties or representations made by RxSight to Alcon under, this Agreement; (c) the Exploitation of Collaboration Products by or on behalf of RxSight or any of its Affiliates or its or their (sub)licensees (other than Alcon) during the term; (d) use of any RxSight Trademark by or on behalf of Alcon in accordance with the terms and conditions of this Agreement; (e) the Exploitation of Reversion Products by or on behalf of RxSight or any of its Affiliates or its or their (sub)licensees; [***]; except, in each case (a)-(g) to the extent of Alcon’s obligation to indemnify a RxSight Indemnified Party under Section 14.2.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Indemnification by Alcon</w:t>
      </w:r>
      <w:r>
        <w:rPr>
          <w:rFonts w:ascii="Times New Roman" w:hAnsi="Times New Roman"/>
          <w:color w:val="000000"/>
          <w:sz w:val="24"/>
        </w:rPr>
        <w:t>. Subject to Section 14.3, Alcon shall indemnify, defend and hold RxSight and its Affiliates and its and their respective officers, directors, employees, contractors, agents and assigns (each, a “</w:t>
      </w:r>
      <w:r>
        <w:rPr>
          <w:rFonts w:ascii="Times New Roman" w:hAnsi="Times New Roman"/>
          <w:b/>
          <w:color w:val="000000"/>
          <w:sz w:val="24"/>
        </w:rPr>
        <w:t>RxSight Indemnified Party</w:t>
      </w:r>
      <w:r>
        <w:rPr>
          <w:color w:val="000000"/>
        </w:rPr>
        <w:t>”</w:t>
      </w:r>
      <w:r>
        <w:rPr>
          <w:rFonts w:ascii="Times New Roman" w:hAnsi="Times New Roman"/>
          <w:color w:val="000000"/>
          <w:sz w:val="24"/>
        </w:rPr>
        <w:t>) harmless from and against Losses to which any RxSight Indemnified Party may become subject as a result of any Claims (but excluding product liability claims) to the extent arising or resulting from</w:t>
      </w:r>
      <w:bookmarkStart w:id="29" w:name="docxtextref183"/>
      <w:bookmarkEnd w:id="29"/>
      <w:r>
        <w:rPr>
          <w:rFonts w:ascii="Times New Roman" w:hAnsi="Times New Roman"/>
          <w:color w:val="000000"/>
          <w:sz w:val="24"/>
        </w:rPr>
        <w:t>: (a)</w:t>
      </w:r>
      <w:r>
        <w:rPr>
          <w:color w:val="000000"/>
        </w:rPr>
        <w:t xml:space="preserve"> </w:t>
      </w:r>
      <w:r>
        <w:rPr>
          <w:rFonts w:ascii="Times New Roman" w:hAnsi="Times New Roman"/>
          <w:color w:val="000000"/>
          <w:sz w:val="24"/>
        </w:rPr>
        <w:t>the gross negligence or willful misconduct of any Alcon Indemnified Party in connection with this Agreement;</w:t>
      </w:r>
      <w:bookmarkStart w:id="30" w:name="docxtextref184"/>
      <w:bookmarkEnd w:id="30"/>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the breach by Alcon of any term in, or the covenants, warranties or representations made by Alcon to RxSight under, this Agreement; [***]; or (d) the Exploitation by or on behalf of Alcon, any of its Affiliates or any of its or their Sublicensees of any Collaboration Products during the Term; except, in each case (a)-(d) to the extent of RxSight’s obligation to indemnify a Alcon Indemnified Party under Section 14.1.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both"/>
        <w:rPr/>
      </w:pPr>
      <w:r>
        <w:rPr>
          <w:rFonts w:ascii="Times New Roman" w:hAnsi="Times New Roman"/>
          <w:b/>
          <w:color w:val="000000"/>
          <w:sz w:val="24"/>
        </w:rPr>
        <w:t>Product Liability</w:t>
      </w:r>
      <w:r>
        <w:rPr>
          <w:rFonts w:ascii="Times New Roman" w:hAnsi="Times New Roman"/>
          <w:color w:val="000000"/>
          <w:sz w:val="24"/>
        </w:rPr>
        <w:t xml:space="preserve">. In the event that any Third Party Claim alleges a Design Defect Claim, (a) each Party shall promptly notify the other Party in writing of any such Design Defect Claim, (b) Alcon shall have the first right to control the defense and settlement of such Design Defect Claim, and (c) the Parties shall [***] Losses arising from such Design Defect Claim. Except as otherwise set forth in this Section 14.3, the procedures set forth in Section 14.4.2 shall apply to any Design Defect Claim, </w:t>
      </w:r>
      <w:r>
        <w:rPr>
          <w:rFonts w:ascii="Times New Roman" w:hAnsi="Times New Roman"/>
          <w:i/>
          <w:color w:val="000000"/>
          <w:sz w:val="24"/>
        </w:rPr>
        <w:t>mutatis mutandis</w:t>
      </w:r>
      <w:r>
        <w:rPr>
          <w:rFonts w:ascii="Times New Roman" w:hAnsi="Times New Roman"/>
          <w:color w:val="000000"/>
          <w:sz w:val="24"/>
        </w:rPr>
        <w:t>, and Alcon shall be the controlling party for purposes thereof. If RxSight fails to reimburse Alcon for any Losses subject to indemnification under this Section 14.3 within [***] of receipt of an invoice therefor, Alcon may exercise its right to offset in accordance with the terms and conditions of Section 8.2.</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both"/>
        <w:rPr/>
      </w:pPr>
      <w:r>
        <w:rPr>
          <w:rFonts w:ascii="Times New Roman" w:hAnsi="Times New Roman"/>
          <w:b/>
          <w:color w:val="000000"/>
          <w:sz w:val="24"/>
        </w:rPr>
        <w:t>Indemnification Procedure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14.4.1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All claims for indemnification under Section 14.1 or Section 14.2 shall be made solely by the applicable Party to this Agreement (the “</w:t>
      </w:r>
      <w:r>
        <w:rPr>
          <w:rFonts w:ascii="Times New Roman" w:hAnsi="Times New Roman"/>
          <w:b/>
          <w:color w:val="000000"/>
          <w:sz w:val="24"/>
        </w:rPr>
        <w:t>Indemnitee</w:t>
      </w:r>
      <w:r>
        <w:rPr>
          <w:color w:val="000000"/>
        </w:rPr>
        <w:t>”</w:t>
      </w:r>
      <w:r>
        <w:rPr>
          <w:rFonts w:ascii="Times New Roman" w:hAnsi="Times New Roman"/>
          <w:color w:val="000000"/>
          <w:sz w:val="24"/>
        </w:rPr>
        <w:t>), and the Indemnitee shall promptly notify the other Party (the “</w:t>
      </w:r>
      <w:r>
        <w:rPr>
          <w:rFonts w:ascii="Times New Roman" w:hAnsi="Times New Roman"/>
          <w:b/>
          <w:color w:val="000000"/>
          <w:sz w:val="24"/>
        </w:rPr>
        <w:t>Indemnitor</w:t>
      </w:r>
      <w:r>
        <w:rPr>
          <w:color w:val="000000"/>
        </w:rPr>
        <w:t>”</w:t>
      </w:r>
      <w:r>
        <w:rPr>
          <w:rFonts w:ascii="Times New Roman" w:hAnsi="Times New Roman"/>
          <w:color w:val="000000"/>
          <w:sz w:val="24"/>
        </w:rPr>
        <w:t>) in writing of any Claim in respect of which the Indemnitee intends to claim such indemnification, which notice must contain a description of the Claim and the nature and amount of the applicable Loss (to the extent that the nature and amount of such Loss is known at such time). The failure to deliver written notice to the Indemnitor within a reasonable time after the commencement of any action with respect to a Claim shall only relieve the Indemnitor of its indemnification obligations under Section 14.1 or Section 14.2 if and to the extent the Indemnitor is actually and materially prejudiced thereby.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14.4.2</w:t>
      </w:r>
    </w:p>
    <w:p>
      <w:pPr>
        <w:pStyle w:val="TextBody"/>
        <w:bidi w:val="0"/>
        <w:spacing w:before="0" w:after="240"/>
        <w:jc w:val="both"/>
        <w:rPr/>
      </w:pPr>
      <w:r>
        <w:rPr>
          <w:rFonts w:ascii="Times New Roman" w:hAnsi="Times New Roman"/>
          <w:b/>
          <w:color w:val="000000"/>
          <w:sz w:val="24"/>
        </w:rPr>
        <w:t>Defense</w:t>
      </w:r>
      <w:r>
        <w:rPr>
          <w:rFonts w:ascii="Times New Roman" w:hAnsi="Times New Roman"/>
          <w:color w:val="000000"/>
          <w:sz w:val="24"/>
        </w:rPr>
        <w:t xml:space="preserve">. Subject to the provisions of Section 9.4, Section 9.5 and Section 9.6, at its option, the Indemnitor shall have the right to assume the sole control of the defense or settlement of any Claim by giving written notice to the Indemnitee within [***] after the Indemnitor’s receipt of a Claim notice under Section 14.4.1. The assumption of the defense of a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Claim by the Indemnitor shall not be construed as an acknowledgment that the Indemnitor is liable to indemnify the Indemnitee in respect of the Claim, nor shall it constitute a waiver by the Indemnitor of any defenses it may assert against the Indemnitee’s claim for indemnification. Regardless of whether the Indemnitor chooses to defend or prosecute any Claim, the Indemnitee shall, and shall cause each RxSight Indemnified Party or Alcon Indemnified Party, as applicable, to, cooperate fully with the Indemnitor and its legal representatives in the investigation of any action with respect to a Claim covered by such indemnification, including by (a) delivering to the Indemnitor all original notices and documents (including court papers) received in connection with the Claim and (b) furnishing such records, information and testimony, and providing such witnesses and attending such conferences, discovery proceedings, hearings, trials and appeals, in each case, as may be reasonably requested in connection with such Claim. The Indemnitee may participate in, but not control, at its sole cost and expense (subject to the following sentence), the Indemnitor’s defense of any Claim with counsel of the Indemnitee’s own selection. Should the Indemnitor assume the defense of a Claim, the Indemnitor shall not be liable to the Indemnitee for any legal expenses subsequently incurred by such Indemnitee in connection with the analysis, defense or settlement of the Claim unless (x) such analysis, defense or settlement of the Claim by such Indemnitee is specifically requested in writing by the Indemnitor or (y) the interests of the Indemnitor and Indemnitee with respect to such Claim are sufficiently adverse to prohibit the representation by the same counsel of both Parties under Applicable Laws, ethical rules or equitable principles. If the Indemnitor does not give written notice to the Indemnitee as set forth in this Section 14.4.2 or fails to conduct the defense and handling of any Claim in good faith after having assumed such, the Indemnitee may, at the Indemnitor’s expense, select its own counsel in connection with conducting the defense and handling of such Claim and defend or handle such Claim in such manner as it may deem appropriate. In such event, the Indemnitee shall keep the Indemnitor timely apprised of the status of such Claim. If the Indemnitee defends or handles such Claim, the Indemnitor shall cooperate with the Indemnitee, at the Indemnitee’s reasonable request but at no expense to the Indemnitee, and shall be entitled to participate in the defense and handling of such Claim with its own counsel and at its expense.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14.4.3</w:t>
      </w:r>
    </w:p>
    <w:p>
      <w:pPr>
        <w:pStyle w:val="TextBody"/>
        <w:bidi w:val="0"/>
        <w:spacing w:before="0" w:after="240"/>
        <w:jc w:val="both"/>
        <w:rPr/>
      </w:pPr>
      <w:r>
        <w:rPr>
          <w:rFonts w:ascii="Times New Roman" w:hAnsi="Times New Roman"/>
          <w:b/>
          <w:color w:val="000000"/>
          <w:sz w:val="24"/>
        </w:rPr>
        <w:t>Settlement; Losses</w:t>
      </w:r>
      <w:r>
        <w:rPr>
          <w:rFonts w:ascii="Times New Roman" w:hAnsi="Times New Roman"/>
          <w:color w:val="000000"/>
          <w:sz w:val="24"/>
        </w:rPr>
        <w:t xml:space="preserve">. With respect to any Losses relating solely to the payment of money damages in connection with a Claim and that shall not result in the Indemnitee admitting any wrongdoing or responsibility for the Claim or becoming subject to injunctive or other relief and as to which the Indemnitor shall have acknowledged in writing the obligation to indemnify the Indemnitee hereunder, the Indemnitor shall have the sole right to consent to the entry of any judgment, enter into any settlement or otherwise dispose of such Loss, on such terms as the Indemnitor, in its sole discretion, shall deem appropriate. With respect to all other Losses, the Indemnitor shall not settle any Claim without the prior written consent of the Indemnitee, not to be unreasonably withheld, conditioned or delayed. If the Indemnitor has assumed the defense of a Claim, the Indemnitee shall not settle or compromise such Claim without the prior written consent of the Indemnitor. If the Indemnitor does not assume the defense of a Claim as set forth in Section 14.4.2: (a) the Indemnitee may defend against, consent to the entry of any judgment or enter into any settlement with respect to such Claim in any manner the Indemnitee may deem reasonably appropriate (and the Indemnitee need not consult with, or obtain any consent from, the Indemnitor in connection therewith); and (b) the Indemnitor shall remain responsible to indemnify the Indemnitee as provided in Section 14.1 or Section 14.2. The Indemnitee shall be entitled to invoice the Indemnitor for any amounts owed to the Indemnitee pursuant to this Article 14 on a [***] basis, and all such invoiced amounts shall be paid by in accordance with Article 8. If RxSight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fails to reimburse Alcon for any Losses subject to indemnification under Section 14.1 within [***] of receipt of an invoice therefor, Alcon may exercise its right to offset in accordance with the terms and conditions of Section 8.2. If a Claim or the events giving rise to or resulting in such Claim are subject to Article 9 and Section 14.1 or Section 14.2, then Article 9 shall apply with respect to the defense of such Claim and Section 14.1 or Section 14.2, as applicable, shall apply with respect to the allocation of financial responsibility for the related Losses.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both"/>
        <w:rPr/>
      </w:pPr>
      <w:r>
        <w:rPr>
          <w:rFonts w:ascii="Times New Roman" w:hAnsi="Times New Roman"/>
          <w:b/>
          <w:color w:val="000000"/>
          <w:sz w:val="24"/>
        </w:rPr>
        <w:t>Effect of Investigation</w:t>
      </w:r>
      <w:r>
        <w:rPr>
          <w:rFonts w:ascii="Times New Roman" w:hAnsi="Times New Roman"/>
          <w:color w:val="000000"/>
          <w:sz w:val="24"/>
        </w:rPr>
        <w:t>. The representations and warranties of a Party (whether set forth in this Agreement or any Schedule hereto) or any right of the other Party to indemnification, payment, reimbursement or other remedy provided for in this Agreement based upon any such representations and warranties (as such may be modified by any Schedule hereto) of such first Party shall in no event be affected by (a) any investigation, inquiry or examination made for or on behalf of such other Party or (b) the knowledge of such other Party’s officers, directors, equity holders, employees, agents or representatives.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both"/>
        <w:rPr/>
      </w:pPr>
      <w:r>
        <w:rPr>
          <w:rFonts w:ascii="Times New Roman" w:hAnsi="Times New Roman"/>
          <w:b/>
          <w:color w:val="000000"/>
          <w:sz w:val="24"/>
        </w:rPr>
        <w:t>Expenses</w:t>
      </w:r>
      <w:r>
        <w:rPr>
          <w:rFonts w:ascii="Times New Roman" w:hAnsi="Times New Roman"/>
          <w:color w:val="000000"/>
          <w:sz w:val="24"/>
        </w:rPr>
        <w:t>. Except as provided above, the reasonable and verifiable costs and expenses, including fees and disbursements of counsel, incurred by the Indemnitee in connection with any Claim shall be reimbursed on a [***] basis in arrears by the Indemnitor, without prejudice to the Indemnitor’s right to contest the Indemnitee’s right to indemnification and subject to refund in the event the Indemnitor is ultimately held not to be obligated to indemnify the Indemnitee. In the event that it is ultimately determined that the Indemnitor is not obligated to indemnify, defend or hold harmless the Indemnitee from and against any Claim, the Indemnitee shall reimburse the Indemnitor for any Losses incurred by the Indemnitor in its investigation or defense of the Claim.</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both"/>
        <w:rPr/>
      </w:pPr>
      <w:r>
        <w:rPr>
          <w:rFonts w:ascii="Times New Roman" w:hAnsi="Times New Roman"/>
          <w:b/>
          <w:color w:val="000000"/>
          <w:sz w:val="24"/>
        </w:rPr>
        <w:t>LIMITATION OF LIABILITY</w:t>
      </w:r>
      <w:r>
        <w:rPr>
          <w:rFonts w:ascii="Times New Roman" w:hAnsi="Times New Roman"/>
          <w:color w:val="000000"/>
          <w:sz w:val="24"/>
        </w:rPr>
        <w:t>. NEITHER PARTY NOR ANY OF ITS AFFILIATES OR ITS OR THEIR (SUB)LICENSEES/SUBLICENSEES WILL BE LIABLE FOR ANY INDIRECT, SPECIAL, EXEMPLARY, INCIDENTAL, CONSEQUENTIAL OR PUNITIVE DAMAGES, HOWEVER CAUSED AND ON ANY THEORY OF LIABILITY, WHETHER IN CONTRACT, TORT, NEGLIGENCE, BREACH OF STATUTORY DUTY OR OTHERWISE IN CONNECTION WITH OR ARISING IN ANY WAY OUT OF THE TERMS OF THIS AGREEMENT OR THE TRANSACTIONS CONTEMPLATED HEREBY OR THE USE OF THE COLLABORATION PRODUCTS, REGARDLESS OF ANY NOTICE OF THE POSSIBILITY OF SUCH DAMAGES; PROVIDED,</w:t>
      </w:r>
      <w:r>
        <w:rPr>
          <w:color w:val="000000"/>
        </w:rPr>
        <w:t xml:space="preserve"> </w:t>
      </w:r>
      <w:r>
        <w:rPr>
          <w:rFonts w:ascii="Times New Roman" w:hAnsi="Times New Roman"/>
          <w:color w:val="000000"/>
          <w:sz w:val="24"/>
        </w:rPr>
        <w:t>HOWEVER,</w:t>
      </w:r>
      <w:r>
        <w:rPr>
          <w:color w:val="000000"/>
        </w:rPr>
        <w:t xml:space="preserve"> </w:t>
      </w:r>
      <w:r>
        <w:rPr>
          <w:rFonts w:ascii="Times New Roman" w:hAnsi="Times New Roman"/>
          <w:color w:val="000000"/>
          <w:sz w:val="24"/>
        </w:rPr>
        <w:t xml:space="preserve">THAT THIS SECTION 14.7 SHALL NOT APPLY TO (A) LOSSES REQUIRED TO BE PAID PURSUANT TO EITHER PARTY’S INDEMNIFICATION OBLIGATIONS UNDER SECTION 14.1 OR SECTION 14.2, (B) [***], (C) EITHER PARTY’S LIABILITY FOR BREACH OF </w:t>
      </w:r>
      <w:r>
        <w:rPr>
          <w:rFonts w:ascii="Times New Roman" w:hAnsi="Times New Roman"/>
          <w:caps/>
          <w:color w:val="000000"/>
          <w:sz w:val="24"/>
        </w:rPr>
        <w:t>ITS INTELLECTUAL PROPERTY OBLIGATIONS IN Article 9 OR</w:t>
      </w:r>
      <w:r>
        <w:rPr>
          <w:color w:val="000000"/>
        </w:rPr>
        <w:t xml:space="preserve"> </w:t>
      </w:r>
      <w:r>
        <w:rPr>
          <w:rFonts w:ascii="Times New Roman" w:hAnsi="Times New Roman"/>
          <w:color w:val="000000"/>
          <w:sz w:val="24"/>
        </w:rPr>
        <w:t>ITS CONFIDENTIALITY OBLIGATIONS UNDER Article 10 OR (D) LIABILITY OF A PARTY FOR ITS GROSS NEGLIGENCE, WILLFUL MISCONDUCT OR FRAUD.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both"/>
        <w:rPr/>
      </w:pPr>
      <w:r>
        <w:rPr>
          <w:rFonts w:ascii="Times New Roman" w:hAnsi="Times New Roman"/>
          <w:b/>
          <w:color w:val="000000"/>
          <w:sz w:val="24"/>
        </w:rPr>
        <w:t>Suspension of Conditioned Obligations</w:t>
      </w:r>
      <w:r>
        <w:rPr>
          <w:rFonts w:ascii="Times New Roman" w:hAnsi="Times New Roman"/>
          <w:color w:val="000000"/>
          <w:sz w:val="24"/>
        </w:rPr>
        <w:t>. To the extent that any obligations of a Party under this Agreement or under the Ancillary Agreements is conditioned or dependent on the performance by the other Party of its obligations under this Agreement or under the Ancillary Agreements, then in the event of any failure by the other Party to perform such precedent obligations, the conditioned or dependent obligation shall be suspended for so as long as any such failure to perform by the other Party persists.</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14.9</w:t>
      </w:r>
    </w:p>
    <w:p>
      <w:pPr>
        <w:pStyle w:val="TextBody"/>
        <w:bidi w:val="0"/>
        <w:spacing w:before="0" w:after="240"/>
        <w:jc w:val="both"/>
        <w:rPr/>
      </w:pPr>
      <w:r>
        <w:rPr>
          <w:rFonts w:ascii="Times New Roman" w:hAnsi="Times New Roman"/>
          <w:b/>
          <w:color w:val="000000"/>
          <w:sz w:val="24"/>
        </w:rPr>
        <w:t>Insurance</w:t>
      </w:r>
      <w:r>
        <w:rPr>
          <w:rFonts w:ascii="Times New Roman" w:hAnsi="Times New Roman"/>
          <w:color w:val="000000"/>
          <w:sz w:val="24"/>
        </w:rPr>
        <w:t>. Each Party shall procure and maintain at its own cost, with financially stable and reputable insurers, adequate insurance protection that is usual and customary for its respective business operations, including but not limited to general and products liability insurances, and reasonably necessary to cover its actual and potential insurable liabilities under this Agreement. Any deductible associated with a Party’s Third Party insurance policy shall be the responsibility of that Party and cannot be passed on to the other Party. RxSight acknowledges and agrees that Alcon may fulfill some or all of its foregoing obligations under this Section 14.8 by means of self-insurance to the same extent, where permitted by law. It is understood that such insurance, or self-insurance, shall not be construed to create a limit of either Party’s liability, including with respect to its indemnification obligations under this Article 14. Each Party will be provided at least [***] prior written notice of any cancellation or material decrease in the other Party’s insurance coverage limits in the event such cancellation or material decrease impacts the obligations set forth under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COMPLIANCE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both"/>
        <w:rPr/>
      </w:pPr>
      <w:r>
        <w:rPr>
          <w:rFonts w:ascii="Times New Roman" w:hAnsi="Times New Roman"/>
          <w:b/>
          <w:color w:val="000000"/>
          <w:sz w:val="24"/>
        </w:rPr>
        <w:t>Compliance with Applicable Laws</w:t>
      </w:r>
      <w:r>
        <w:rPr>
          <w:rFonts w:ascii="Times New Roman" w:hAnsi="Times New Roman"/>
          <w:color w:val="000000"/>
          <w:sz w:val="24"/>
        </w:rPr>
        <w:t>. Each Party shall, and shall cause its Affiliates to, perform its obligations under this Agreement in accordance with all Applicable Laws and industry codes. Each Party covenants to the other that in the performance of its obligations under this Agreement, such Party shall comply, and shall cause its Affiliates and its and its Affiliates’ employees and contractors to comply, with all Applicable Laws. No Party shall, or shall be required to, undertake any activity under or in connection with this Agreement that violates, or that it believes, in good faith, may violate, any Applicable Laws.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both"/>
        <w:rPr/>
      </w:pPr>
      <w:r>
        <w:rPr>
          <w:rFonts w:ascii="Times New Roman" w:hAnsi="Times New Roman"/>
          <w:b/>
          <w:color w:val="000000"/>
          <w:sz w:val="24"/>
        </w:rPr>
        <w:t>Compliance with Privacy Laws; IT Security</w:t>
      </w:r>
      <w:r>
        <w:rPr>
          <w:rFonts w:ascii="Times New Roman" w:hAnsi="Times New Roman"/>
          <w:color w:val="000000"/>
          <w:sz w:val="24"/>
        </w:rPr>
        <w:t>. In carrying out their respective obligations under this Agreement, each Party and its Affiliates and its or their (sub)licensees, and each Person acting on its or their behalf, have complied, and will comply, with (a) all Applicable Laws with respect to Data Protection Laws in all countries and jurisdictions (including any transfer of personal data across national borders) in connection with the Collaboration Products, including with respect to the receipt, collection, compilation, use, storage, processing, sharing, safeguarding, security (technical, physical and administrative), disposal, destruction, disclosure and transfer of Personal Information, including providing any notice, obtaining any consent or prior authorizations, and conducting any assessment required under Applicable Laws, (b) all privacy related consents and notices that apply to or were obtained in connection with the foregoing and (c) the requirements of any contract or codes of conduct to which a Party is a party, including that all such Persons have provided all legally required privacy notices to, and obtained appropriate consents (including research informed consents) from, data subjects (“</w:t>
      </w:r>
      <w:r>
        <w:rPr>
          <w:rFonts w:ascii="Times New Roman" w:hAnsi="Times New Roman"/>
          <w:b/>
          <w:color w:val="000000"/>
          <w:sz w:val="24"/>
        </w:rPr>
        <w:t>Notices and Consents</w:t>
      </w:r>
      <w:r>
        <w:rPr>
          <w:color w:val="000000"/>
        </w:rPr>
        <w:t>”</w:t>
      </w:r>
      <w:r>
        <w:rPr>
          <w:rFonts w:ascii="Times New Roman" w:hAnsi="Times New Roman"/>
          <w:color w:val="000000"/>
          <w:sz w:val="24"/>
        </w:rPr>
        <w:t>), and the Notices and Consents permit the use of the data as currently and previously, and as contemplated under this Agreement to be, used and processed by such Party or its Affiliates or its or their (sub)licensees (or Persons acting on its or their behalf) and the licensing and transfer of all such personal data of data subjects to, and subsequent use by, the other Party as contemplated in this Agreement. During the Term, and without limiting its obligations hereunder, each Party shall implement technical and organizational measures to protect all Personal Information, Know-How and other information under this Agreement that are appropriate and that provide no less protection than both (x) good industry practice (</w:t>
      </w:r>
      <w:r>
        <w:rPr>
          <w:rFonts w:ascii="Times New Roman" w:hAnsi="Times New Roman"/>
          <w:i/>
          <w:color w:val="000000"/>
          <w:sz w:val="24"/>
        </w:rPr>
        <w:t>i.e.</w:t>
      </w:r>
      <w:r>
        <w:rPr>
          <w:rFonts w:ascii="Times New Roman" w:hAnsi="Times New Roman"/>
          <w:color w:val="000000"/>
          <w:sz w:val="24"/>
        </w:rPr>
        <w:t xml:space="preserve">, in accordance with ISO 27001 or similar industry standards) and (y) such Party’s measures to protect its own Personal Information, Know-How and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other information of a similar nature or importance. Each Party shall notify the other Party promptly in writing upon learning of any actual, threatened or reasonably suspected misappropriation or unauthorized access to, or disclosure or use of, the Personal Information, Licensed Alcon Intellectual Property, Licensed RxSight Intellectual Property or any other Know-How related to or arising under this Agreement (a “</w:t>
      </w:r>
      <w:r>
        <w:rPr>
          <w:rFonts w:ascii="Times New Roman" w:hAnsi="Times New Roman"/>
          <w:b/>
          <w:color w:val="000000"/>
          <w:sz w:val="24"/>
        </w:rPr>
        <w:t>Data Breach</w:t>
      </w:r>
      <w:r>
        <w:rPr>
          <w:color w:val="000000"/>
        </w:rPr>
        <w:t>”</w:t>
      </w:r>
      <w:r>
        <w:rPr>
          <w:rFonts w:ascii="Times New Roman" w:hAnsi="Times New Roman"/>
          <w:color w:val="000000"/>
          <w:sz w:val="24"/>
        </w:rPr>
        <w:t>). Each Party shall promptly investigate each Data Breach that it becomes aware of or reasonably suspects may have occurred or will occur and shall, at the other Party’s request, provide reasonable levels of access and information to the other Party in connection with any investigation that the other Party may desire to conduct with respect to such Data Breach. Each Party shall cooperate with the other Party in identifying any reasonable steps that should be implemented to limit, stop or otherwise remedy any actual, threatened or reasonably suspected Data Breach.</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both"/>
        <w:rPr/>
      </w:pPr>
      <w:r>
        <w:rPr>
          <w:rFonts w:ascii="Times New Roman" w:hAnsi="Times New Roman"/>
          <w:b/>
          <w:color w:val="000000"/>
          <w:sz w:val="24"/>
        </w:rPr>
        <w:t>Compliance with Anti-Corruption Laws</w:t>
      </w:r>
      <w:r>
        <w:rPr>
          <w:rFonts w:ascii="Times New Roman" w:hAnsi="Times New Roman"/>
          <w:color w:val="000000"/>
          <w:sz w:val="24"/>
        </w:rPr>
        <w:t>. In carrying out their respective obligations under this Agreement,</w:t>
      </w:r>
      <w:r>
        <w:rPr>
          <w:color w:val="000000"/>
        </w:rPr>
        <w:t xml:space="preserve"> </w:t>
      </w:r>
      <w:r>
        <w:rPr>
          <w:rFonts w:ascii="Times New Roman" w:hAnsi="Times New Roman"/>
          <w:color w:val="000000"/>
          <w:sz w:val="24"/>
        </w:rPr>
        <w:t>each Party and its Affiliates and its and its or their (sub)licensees, and each Person acting on its or their behalf, have complied, and will comply, with all applicable local, national and international laws, regulations and industry codes dealing with government procurement, conflicts of interest, corruption or bribery, including, if applicable, the U.S. Foreign Corrupt Practices Act of 1977 and UK Bribery Act, each as amended, and any laws enacted to implement the Organisation for Economic Co-operation and Development Convention on Combating Bribery of Foreign Officials in International Business Transactions. Each Party and its Affiliates have and undertake that they shall continue to update and maintain during the Term an internal compliance program under which each Party’s (or its Affiliates’) employees are required to comply with all such Applicable Laws, including applicable local and international anti-bribery and anti-corruption laws and regulations.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both"/>
        <w:rPr/>
      </w:pPr>
      <w:r>
        <w:rPr>
          <w:rFonts w:ascii="Times New Roman" w:hAnsi="Times New Roman"/>
          <w:b/>
          <w:color w:val="000000"/>
          <w:sz w:val="24"/>
        </w:rPr>
        <w:t>Prohibited Conduct</w:t>
      </w:r>
      <w:r>
        <w:rPr>
          <w:rFonts w:ascii="Times New Roman" w:hAnsi="Times New Roman"/>
          <w:color w:val="000000"/>
          <w:sz w:val="24"/>
        </w:rPr>
        <w:t>. Without limiting the other obligations of either Party set forth in this Article 15, each Party represents and warrants to the other that, as of the Effective Date, each Party and, to its Knowledge, its Affiliates and its and its Affiliates’ employees and contractors, with respect to the Collaboration Products, have not made, paid, cause to be paid, accepted payment, induced payment, taken any action, offered, given, promised to give or authorized, and each Party covenants to the other that, during the Term, such Party and its Affiliates and its and its Affiliates’ employees and contractors, and each Person acting on its or their behalf, in connection with the performance of their respective obligations under this Agreement or otherwise with respect to the Collaboration Products, will not make, pay, cause to pay, accept payment, induce payment, take any action, offer, give, promise to give or authorize, any bribe, kickback, payment or transfer of anything of value, directly or indirectly through Third Parties, to any Government Official for the purpose of: (a) improperly influencing any act or decision of the Person or Government Official; (b) inducing the Person or Government Official to do or omit to do an act in violation of a lawful or otherwise required duty; (c) securing any improper advantage; or (d) inducing the Person or Government Official to improperly influence the act or decision of any organization, including any government or government instrumentality, to assist any Party in obtaining or retaining business.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both"/>
        <w:rPr/>
      </w:pPr>
      <w:r>
        <w:rPr>
          <w:rFonts w:ascii="Times New Roman" w:hAnsi="Times New Roman"/>
          <w:b/>
          <w:color w:val="000000"/>
          <w:sz w:val="24"/>
        </w:rPr>
        <w:t>Trade Sanctions</w:t>
      </w:r>
      <w:r>
        <w:rPr>
          <w:rFonts w:ascii="Times New Roman" w:hAnsi="Times New Roman"/>
          <w:color w:val="000000"/>
          <w:sz w:val="24"/>
        </w:rPr>
        <w:t xml:space="preserve">. In carrying out their respective obligations under this Agreement, each Party shall comply with all applicable trade sanctions and export control laws and regulations, including where applicable the U.S. trade sanctions administered by the U.S. Treasury Department’s Office of Foreign Assets Control (31 C.F.R. Part 501 et seq.), the U.S.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Export Administration Regulations (15 C.F.R. Part 734 et seq.), and European Union trade sanctions and export laws (including Council Regulation (EC) No. 428/2009 (as amended)).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15.6</w:t>
      </w:r>
    </w:p>
    <w:p>
      <w:pPr>
        <w:pStyle w:val="TextBody"/>
        <w:bidi w:val="0"/>
        <w:spacing w:before="0" w:after="240"/>
        <w:jc w:val="both"/>
        <w:rPr/>
      </w:pPr>
      <w:r>
        <w:rPr>
          <w:rFonts w:ascii="Times New Roman" w:hAnsi="Times New Roman"/>
          <w:b/>
          <w:color w:val="000000"/>
          <w:sz w:val="24"/>
        </w:rPr>
        <w:t>Record Keeping</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15.6.1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and shall cause its Affiliates to and shall use Commercially Reasonable Efforts to require its subcontractors to, maintain until the expiration or termination of this Agreement (or, if longer, such period as may be required by Applicable Law) complete, current, and accurate records of all work conducted and results achieved in the performance of the Development Activities allocated to such Party under the Development Plan, including Data generated in conducting such activities. In addition, RxSight shall, and shall cause its Affiliates and subcontractors to, maintain complete, accurate and contemporaneous records, in reasonable detail, of its activities relating to the Commercialization, installation and servicing of the LDD in the United States pursuant to Section 6.4(a) including records sufficient to demonstrate compliance with the timelines, service levels and other obligations set forth therein (including records of installation timing, service call initiation and resolution, and related performance metrics).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15.6.2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once per Calendar Year while the Parties are conducting material Development Activities or performing its obligations under Section 6.4(a), each Party (or one (1) of its designated Affiliates or a Third Party acting on its behalf) shall have the right, during normal business hours and upon at least [***] prior written notice to the other Party, to inspect the books and records pertaining to the Development Activities and the records relating to RxSight’s performing its obligations under Section 6.4(a) maintained by or on behalf of RxSight pursuant to Section 15.6.1, including raw data. The audit and access rights referenced under this Section 15.6.2 include the right to access and review (in both soft and hard copy) any and all internal policies, internal audit reports, standard operating procedures, procedures, guidelines, or other internal documentation of the other Party and its Affiliates, in each case specifically relating to the Development Activities or RxSight’s obligations under Section 6.4(a). Any audit (and related data collection activities) shall be carried out in compliance with Applicable Laws. All Data, books, records and other information accessed by an auditing Party through any inspection or audit shall be deemed the Confidential Information of the Party being inspected or audited and may not be photographed, copied or removed from the premises. Each Party shall bear its own costs and expenses of any audit conducted pursuant to this Section 15.6.2. The auditing Party shall cause its Affiliates or Third Party designee under this Section 15.6.2 to enter into a reasonably acceptable confidentiality agreement with the audited Party prior to any access or disclosure, obligating such Affiliates or Third Party designee, as applicable, to treat all such books and records of RxSight in confidence pursuant to such confidentiality agreement, which shall contain terms no less stringent than the terms under Article 10.</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15.7</w:t>
      </w:r>
    </w:p>
    <w:p>
      <w:pPr>
        <w:pStyle w:val="TextBody"/>
        <w:bidi w:val="0"/>
        <w:spacing w:before="0" w:after="240"/>
        <w:jc w:val="both"/>
        <w:rPr/>
      </w:pPr>
      <w:r>
        <w:rPr>
          <w:rFonts w:ascii="Times New Roman" w:hAnsi="Times New Roman"/>
          <w:b/>
          <w:color w:val="000000"/>
          <w:sz w:val="24"/>
        </w:rPr>
        <w:t>DISCLAIMER</w:t>
      </w:r>
      <w:r>
        <w:rPr>
          <w:rFonts w:ascii="Times New Roman" w:hAnsi="Times New Roman"/>
          <w:color w:val="000000"/>
          <w:sz w:val="24"/>
        </w:rPr>
        <w:t xml:space="preserve">. EXCEPT AS OTHERWISE EXPRESSLY SET FORTH IN SECTION 9.2.3, </w:t>
      </w:r>
      <w:r>
        <w:rPr>
          <w:rFonts w:ascii="Times New Roman" w:hAnsi="Times New Roman"/>
          <w:caps/>
          <w:color w:val="000000"/>
          <w:sz w:val="24"/>
        </w:rPr>
        <w:t>Article 13 AND THIS Article 15</w:t>
      </w:r>
      <w:r>
        <w:rPr>
          <w:rFonts w:ascii="Times New Roman" w:hAnsi="Times New Roman"/>
          <w:color w:val="000000"/>
          <w:sz w:val="24"/>
        </w:rPr>
        <w:t xml:space="preserve">, NEITHER PARTY MAKES ANY 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THAT ANY PATENTS WILL ISSUE BASED ON A PENDING APPLICATION. WITHOUT LIMITING THE RESPECTIVE RIGHTS AND OBLIGATIONS OF THE PARTIES EXPRESSLY SET FORTH HEREIN, EACH PARTY SPECIFICALLY DISCLAIMS ANY GUARANTEE THAT ANY COLLABORATION PRODUCTS OR THE DEVELOPMENT ACTIVITIES WILL BE SUCCESSFUL, IN WHOLE OR IN PART.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GENERAL PROVISIONS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w:t>
      </w:r>
    </w:p>
    <w:p>
      <w:pPr>
        <w:pStyle w:val="TextBody"/>
        <w:bidi w:val="0"/>
        <w:spacing w:before="0" w:after="240"/>
        <w:jc w:val="both"/>
        <w:rPr/>
      </w:pPr>
      <w:r>
        <w:rPr>
          <w:rFonts w:ascii="Times New Roman" w:hAnsi="Times New Roman"/>
          <w:b/>
          <w:color w:val="000000"/>
          <w:sz w:val="24"/>
        </w:rPr>
        <w:t>Assignment</w:t>
      </w:r>
      <w:r>
        <w:rPr>
          <w:rFonts w:ascii="Times New Roman" w:hAnsi="Times New Roman"/>
          <w:color w:val="000000"/>
          <w:sz w:val="24"/>
        </w:rPr>
        <w:t>. Neither Party may assign or transfer this Agreement or any rights or obligations hereunder, in whole or in part, whether by operation of law or otherwise, without the prior written consent of the other Party, except in connection with a Change of Control of a Party as provided below, except that (a) each Party shall have the right, without such consent, to: (i) perform any or all of its obligations and exercise any or all of its rights under this Agreement through any of its Affiliates (or with respect to RxSight, its permitted subcontractors or, with respect to Alcon, its or their Sublicensees or subcontractors) and (ii) assign any or all of its rights and delegate any or all of its obligations hereunder to any of its Affiliates; (b) either Party shall have the right, without the other Party’s consent, to assign any or all of its obligations hereunder to any successor in interest (whether by merger, acquisition, divestiture, asset purchase or otherwise) with respect to the Collaboration Products; (c) either Party shall have the right, without the other Party’s consent, to assign this Agreement in its entirety to a successor to all or substantially all of its business or assets to which this Agreement relates; (d) RxSight shall have the right, without Alcon’s consent, to (i) assign RxSight’s right to receive the Royalties or portions thereof to a Third Party (such assignment, a “</w:t>
      </w:r>
      <w:r>
        <w:rPr>
          <w:rFonts w:ascii="Times New Roman" w:hAnsi="Times New Roman"/>
          <w:b/>
          <w:color w:val="000000"/>
          <w:sz w:val="24"/>
        </w:rPr>
        <w:t>Monetization Transaction</w:t>
      </w:r>
      <w:r>
        <w:rPr>
          <w:color w:val="000000"/>
        </w:rPr>
        <w:t>”</w:t>
      </w:r>
      <w:r>
        <w:rPr>
          <w:rFonts w:ascii="Times New Roman" w:hAnsi="Times New Roman"/>
          <w:color w:val="000000"/>
          <w:sz w:val="24"/>
        </w:rPr>
        <w:t>) or (ii) grant to a lender or creditor a security interest in this Agreement as a collateral in connection with a financing transaction (such grant, a “</w:t>
      </w:r>
      <w:r>
        <w:rPr>
          <w:rFonts w:ascii="Times New Roman" w:hAnsi="Times New Roman"/>
          <w:b/>
          <w:color w:val="000000"/>
          <w:sz w:val="24"/>
        </w:rPr>
        <w:t>Securitization Transaction</w:t>
      </w:r>
      <w:r>
        <w:rPr>
          <w:color w:val="000000"/>
        </w:rPr>
        <w:t>”</w:t>
      </w:r>
      <w:r>
        <w:rPr>
          <w:rFonts w:ascii="Times New Roman" w:hAnsi="Times New Roman"/>
          <w:color w:val="000000"/>
          <w:sz w:val="24"/>
        </w:rPr>
        <w:t xml:space="preserve">). Any Monetization Transaction or Securitization Transaction shall be limited to the assignment or pledge of the right to receive payments owed by Alcon hereunder (and reporting, audit and enforcement rights solely and specifically related to such right to receive payments) only and shall not include any transfer of any other rights or obligations under this Agreement. Without limiting the foregoing, no such assignee, lender or other Third Party shall acquire any right to enforce, receive the benefit of, or otherwise be deemed a beneficiary of any obligations of Alcon under this Agreement (including any obligations requiring Alcon to use Commercially Reasonable Efforts) other than in relation to the obligation to make the applicable payments expressly assigned or pledged pursuant to such Monetization Transaction or Securitization Transaction. RxSight shall remain solely responsible for the performance of all of its obligations under this Agreement. In connection with an actual or potential Monetization Transaction or Securitization Transaction, RxSight may disclose to such Third Party the royalty reports contemplated under Section 7.3.8, audit reports contemplated under Section 8.2, and any other reports reasonably requested by such Third Party, in each case, without the prior written consent of Alcon, to enable such Third Party to evaluate, exercise its rights with respect to, such Monetization Transaction or Securitization Transaction, provided that such Third Party is under obligations of confidentiality and non-use with respect to Confidential Information included in such reports and plans that are no less protective or restrictive than the terms under Article 10; and (e) either Party shall have the right, without the other Party’s written consent, to assign this Agreement and all of its rights and obligations hereunder to the successor in the context of a Change of Control; provided that, with respect to this clause (e), the assigning Party shall provide written notice to the other Party within [***] after such assignment. Any permitted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successor of a Party or any permitted assignee of all of a Party’s rights under this Agreement shall assume all of such Party’s obligations hereunder in writing, and upon any such succession or assignment and assumption, be deemed to be a party to this Agreement as though named herein in substitution for the assigning Party, whereupon the assigning Party shall cease to have any rights or obligations under this Agreement. All validly assigned rights of a Party shall inure to the benefit of and be enforceable by, and all validly delegated obligations of such Party shall be binding on and be enforceable against, the permitted successors and permitted assigns of such Party. Any assignment, delegation or attempted assignment or delegation by either Party in violation of the terms of this Section 16.1 is null, void and of no legal effect.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16.2</w:t>
      </w:r>
    </w:p>
    <w:p>
      <w:pPr>
        <w:pStyle w:val="TextBody"/>
        <w:bidi w:val="0"/>
        <w:spacing w:before="0" w:after="240"/>
        <w:jc w:val="both"/>
        <w:rPr/>
      </w:pPr>
      <w:r>
        <w:rPr>
          <w:rFonts w:ascii="Times New Roman" w:hAnsi="Times New Roman"/>
          <w:b/>
          <w:color w:val="000000"/>
          <w:sz w:val="24"/>
        </w:rPr>
        <w:t>Extension to Affiliates</w:t>
      </w:r>
      <w:r>
        <w:rPr>
          <w:rFonts w:ascii="Times New Roman" w:hAnsi="Times New Roman"/>
          <w:color w:val="000000"/>
          <w:sz w:val="24"/>
        </w:rPr>
        <w:t>. Each Party shall have the right to extend the rights granted in this Agreement to, and perform any of its obligations through, one (1) or more of its Affiliates. All applicable terms and provisions of this Agreement shall apply to any such Affiliate to which this Agreement has been extended to the same extent as such terms and provisions apply to such Party. For clarity, each Party shall remain primarily liable for any acts or omissions of its Affiliates.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16.3</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If, under Applicable Laws, any one (1) or more of the provisions of this Agreement is held to be invalid, illegal or unenforceable at law or in equity in any court of competent jurisdiction and the rights of the Parties will not be materially and adversely affected thereby, (a) such invalid, illegal or unenforceable provision(s) shall be considered severed from this Agreement with respect to such jurisdiction, (b) this Agreement shall be construed and enforced as if such invalid, illegal or unenforceable provision(s) had never comprised a part hereof and (c) the Parties shall make a good faith effort to replace any invalid, illegal or unenforceable provision(s) with a valid, legal and enforceable one such that the objectives contemplated by the Parties when entering into this Agreement may be realized (and, to the extent the Parties agree to a replacement provision, the remaining provisions of this Agreement shall remain in full force and effect and shall not be affected by the invalid, illegal or unenforceable provision(s) or by its or their severance herefrom). To the fullest extent permitted by Applicable Laws, each Party hereby waives any provision of law that would render any provision hereof invalid, illegal or unenforceable in any respect.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16.4</w:t>
      </w:r>
    </w:p>
    <w:p>
      <w:pPr>
        <w:pStyle w:val="TextBody"/>
        <w:bidi w:val="0"/>
        <w:spacing w:before="0" w:after="240"/>
        <w:jc w:val="both"/>
        <w:rPr/>
      </w:pPr>
      <w:r>
        <w:rPr>
          <w:rFonts w:ascii="Times New Roman" w:hAnsi="Times New Roman"/>
          <w:b/>
          <w:color w:val="000000"/>
          <w:sz w:val="24"/>
        </w:rPr>
        <w:t>Non-Use of Names</w:t>
      </w:r>
      <w:r>
        <w:rPr>
          <w:rFonts w:ascii="Times New Roman" w:hAnsi="Times New Roman"/>
          <w:color w:val="000000"/>
          <w:sz w:val="24"/>
        </w:rPr>
        <w:t>. Except as set forth in Section 9.8, each Party shall not, and shall cause its Affiliates not to, use the name, Trademark, logo or physical likeness of the other Party or any of its Affiliates or its or their (sub)licensees/Sublicensees or its or their respective officers, directors or employees, or any adaptation of any of them, in any advertising, promotional or sales literature or other form of publicity, without the other Party’s prior written consent. The restrictions imposed by this Section 16.4 shall not prohibit (a) either Party from making any disclosure identifying the other Party to the extent required in connection with such Party’s exercise of its rights or performance of obligations under this Agreement and (b) subject to Article 10, either Party from making any disclosure identifying the other Party that is required by Applicable Laws or the rules of a stock exchange on which securities of the disclosing Party are listed (or to which an application for listing has been submitted).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16.5</w:t>
      </w:r>
    </w:p>
    <w:p>
      <w:pPr>
        <w:pStyle w:val="TextBody"/>
        <w:bidi w:val="0"/>
        <w:spacing w:before="0" w:after="240"/>
        <w:jc w:val="both"/>
        <w:rPr/>
      </w:pPr>
      <w:r>
        <w:rPr>
          <w:rFonts w:ascii="Times New Roman" w:hAnsi="Times New Roman"/>
          <w:b/>
          <w:color w:val="000000"/>
          <w:sz w:val="24"/>
        </w:rPr>
        <w:t>Governing Law; English Language</w:t>
      </w:r>
      <w:r>
        <w:rPr>
          <w:rFonts w:ascii="Times New Roman" w:hAnsi="Times New Roman"/>
          <w:color w:val="000000"/>
          <w:sz w:val="24"/>
        </w:rPr>
        <w:t>. This Agreement is governed by and will be construed in accordance with the laws of the State of New York without reference to its conflicts or choice of law rules or principles that might otherwise refer construction or interpretation of this Agreement to the substantive law of another jurisdiction;</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 xml:space="preserve">that all questions concerning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inventorship and ownership of Patents under this Agreement shall be determined in accordance with Section 9.1, and Section 9.2 and (b) the construction or effect of Patents shall be determined in accordance with the laws of the country or jurisdiction in which the particular Patent has been filed or granted, as the case may be. The Parties agree to exclude the application to this Agreement of the United Nations Convention on Contracts for the International Sale of Goods. This Agreement was prepared in the English language, which language shall govern the interpretation of, and any dispute regarding, the terms of this Agreement and shall be the language of all communications under or in connection with this Agreement. Any translation into any other language shall not be an official version thereof and in the event of any conflict in interpretation between the English version and such translation, the English version shall control.</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16.6</w:t>
      </w:r>
    </w:p>
    <w:p>
      <w:pPr>
        <w:pStyle w:val="TextBody"/>
        <w:bidi w:val="0"/>
        <w:spacing w:before="0" w:after="240"/>
        <w:jc w:val="both"/>
        <w:rPr/>
      </w:pPr>
      <w:r>
        <w:rPr>
          <w:rFonts w:ascii="Times New Roman" w:hAnsi="Times New Roman"/>
          <w:b/>
          <w:color w:val="000000"/>
          <w:sz w:val="24"/>
        </w:rPr>
        <w:t>Dispute Resolution</w:t>
      </w:r>
      <w:r>
        <w:rPr>
          <w:rFonts w:ascii="Times New Roman" w:hAnsi="Times New Roman"/>
          <w:color w:val="000000"/>
          <w:sz w:val="24"/>
        </w:rPr>
        <w:t>. The Parties recognize that controversies or claims arising out of, relating to or in connection with this Agreement may arise from time to time. It is the objective of the Parties to establish procedures to facilitate the resolution of disputes in an expedient manner by mutual cooperation and without resort to litigation. To accomplish this objective the Parties shall follow the procedures set forth in this Section 16.6 to resolve any Dispute prior to seeking to resolve the Dispute in accordance with Section 16.7, except with respect to (i) temporary injunctive or provisional relief in accordance with Section 16.7, (ii) any matter within the JSC’s responsibilities under Section 4.2, which shall be resolved in accordance with Section 4.3, (iii) any dispute regarding the negotiation or terms of the Co-Promotion Agreement subject to Baseball Arbitration pursuant to Section 7.3.4(b), and (iv) any matter expressly submitted to an Expert pursuant to Section 3.2.3, Section 3.2.5(c) or Section 16.9.2(c)(i); provided that either Party may submit to arbitration pursuant to Section 16.7 any dispute regarding whether an Baseball Arbitration determination or Expert determination contained a manifest error. Subject to the foregoing, if any dispute, claim or controversy of any nature arising out of, relating to or in connection with this Agreement, including any action or claim based on tort, contract or statute, or concerning the interpretation, effect, termination, validity, performance or breach of this Agreement (each, a “</w:t>
      </w:r>
      <w:r>
        <w:rPr>
          <w:rFonts w:ascii="Times New Roman" w:hAnsi="Times New Roman"/>
          <w:b/>
          <w:color w:val="000000"/>
          <w:sz w:val="24"/>
        </w:rPr>
        <w:t>Dispute</w:t>
      </w:r>
      <w:r>
        <w:rPr>
          <w:color w:val="000000"/>
        </w:rPr>
        <w:t>”</w:t>
      </w:r>
      <w:r>
        <w:rPr>
          <w:rFonts w:ascii="Times New Roman" w:hAnsi="Times New Roman"/>
          <w:color w:val="000000"/>
          <w:sz w:val="24"/>
        </w:rPr>
        <w:t xml:space="preserve">) arises between the Parties, the Parties shall promptly refer such Dispute to the Executive Officers for resolution. Such referral shall be made by written notice from either Party to the other Party. Within [***] after receipt of such written notice, each Party shall notify the other Party in writing of the Executive Officer designated to address the Dispute on its behalf. The Executive Officers shall use good faith efforts to resolve the Dispute within [***] after receipt of such written notice. If, after an additional [***] after the referral of a Dispute to the Executive Officers, such Executive Officers have not succeeded in negotiating a resolution of the Dispute, and a Party wishes to pursue the matter, each Party may initiate arbitration proceedings as outlined in Section 16.7. In the event that the dispute resolution procedures set forth in this Section 16.6 are invoked with respect to any Dispute, any applicable statute of limitations, contractual limitations period, or other time-based defense relating to any claim identified in the written notice referring such Dispute to the Executive Officers pursuant to this Section 16.6 shall be tolled solely during the period commencing on the date such written notice is delivered to the other Party and ending on the earlier of: (a) the date on which the Parties resolve the Dispute by mutual written agreement; or (b) the date that is [***] after the final completion or termination of the procedures set forth in this Section 16.6. Each Party agrees that it shall not assert any defense that a claim identified in such written notice is untimely to the extent that such untimeliness results solely from the tolling period described in the immediately preceding sentence, provided that such claim was timely as of the date the written notice initiating the procedures under this Section 16.6 was delivered. For the avoidance of doubt, (i) this Section 16.6 does not revive any claim that was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already time-barred as of the date such written notice was delivered, and (ii) the tolling expressly provided in this Section 16.6 shall be the sole effect of this Section 16.6 on any applicable statute of limitations, contractual limitations period, or other time-based defense. Each Party to the arbitration proceeding retains the right to seek interim, provisional, or conservatory measures in connection with the arbitration in any state or federal court located in New York County, New York, and any application for such measures shall not be deemed incompatible with the Parties’ agreement to arbitrate or constitute a waiver of the right to arbitrate.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16.7</w:t>
      </w:r>
    </w:p>
    <w:p>
      <w:pPr>
        <w:pStyle w:val="TextBody"/>
        <w:bidi w:val="0"/>
        <w:spacing w:before="0" w:after="240"/>
        <w:jc w:val="both"/>
        <w:rPr/>
      </w:pPr>
      <w:r>
        <w:rPr>
          <w:rFonts w:ascii="Times New Roman" w:hAnsi="Times New Roman"/>
          <w:b/>
          <w:color w:val="000000"/>
          <w:sz w:val="24"/>
        </w:rPr>
        <w:t>Arbitration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16.7.1</w:t>
      </w:r>
    </w:p>
    <w:p>
      <w:pPr>
        <w:pStyle w:val="TextBody"/>
        <w:bidi w:val="0"/>
        <w:spacing w:before="0" w:after="240"/>
        <w:jc w:val="both"/>
        <w:rPr/>
      </w:pPr>
      <w:r>
        <w:rPr>
          <w:rFonts w:ascii="Times New Roman" w:hAnsi="Times New Roman"/>
          <w:color w:val="000000"/>
          <w:sz w:val="24"/>
        </w:rPr>
        <w:t>Any unresolved Disputes between the Parties relating to, arising out of or in any way connected with this Agreement or any term or condition hereof, or the performance by either Party of its obligations hereunder, whether before or after termination of this Agreement, shall be resolved by final and binding arbitration. Whenever a Party shall decide to institute arbitration proceedings, it shall give written notice to that effect to the other Party. Arbitration shall be held in New York, New York, in accordance with the International Arbitration Rules of the International Centre for Dispute Resolution (“</w:t>
      </w:r>
      <w:r>
        <w:rPr>
          <w:rFonts w:ascii="Times New Roman" w:hAnsi="Times New Roman"/>
          <w:b/>
          <w:color w:val="000000"/>
          <w:sz w:val="24"/>
        </w:rPr>
        <w:t>Rules</w:t>
      </w:r>
      <w:r>
        <w:rPr>
          <w:color w:val="000000"/>
        </w:rPr>
        <w:t>”</w:t>
      </w:r>
      <w:r>
        <w:rPr>
          <w:rFonts w:ascii="Times New Roman" w:hAnsi="Times New Roman"/>
          <w:color w:val="000000"/>
          <w:sz w:val="24"/>
        </w:rPr>
        <w:t>). The arbitration will be conducted by a panel of three (3) arbitrators appointed in accordance with the Rules; provided</w:t>
      </w:r>
      <w:r>
        <w:rPr>
          <w:color w:val="000000"/>
        </w:rPr>
        <w:t xml:space="preserve"> </w:t>
      </w:r>
      <w:r>
        <w:rPr>
          <w:rFonts w:ascii="Times New Roman" w:hAnsi="Times New Roman"/>
          <w:color w:val="000000"/>
          <w:sz w:val="24"/>
        </w:rPr>
        <w:t>that each Party shall, within [***] after the institution of the arbitration proceedings, appoint one (1) arbitrator, and such two (2) arbitrators shall together, within [***] thereafter, select a third (3</w:t>
      </w:r>
      <w:r>
        <w:rPr>
          <w:rFonts w:ascii="Times New Roman" w:hAnsi="Times New Roman"/>
          <w:color w:val="000000"/>
          <w:sz w:val="16"/>
        </w:rPr>
        <w:t>rd</w:t>
      </w:r>
      <w:r>
        <w:rPr>
          <w:rFonts w:ascii="Times New Roman" w:hAnsi="Times New Roman"/>
          <w:color w:val="000000"/>
          <w:sz w:val="24"/>
        </w:rPr>
        <w:t>) arbitrator to serve as chair of the arbitration panel. The chair shall have substantial experience in complex commercial transactions and/or complex disputes in the medical device or life sciences industry. If the two (2) initial arbitrators are unable to select a third (3</w:t>
      </w:r>
      <w:r>
        <w:rPr>
          <w:rFonts w:ascii="Times New Roman" w:hAnsi="Times New Roman"/>
          <w:color w:val="000000"/>
          <w:sz w:val="16"/>
        </w:rPr>
        <w:t>rd</w:t>
      </w:r>
      <w:r>
        <w:rPr>
          <w:rFonts w:ascii="Times New Roman" w:hAnsi="Times New Roman"/>
          <w:color w:val="000000"/>
          <w:sz w:val="24"/>
        </w:rPr>
        <w:t>) arbitrator within such [***] period, the third (3</w:t>
      </w:r>
      <w:r>
        <w:rPr>
          <w:rFonts w:ascii="Times New Roman" w:hAnsi="Times New Roman"/>
          <w:color w:val="000000"/>
          <w:sz w:val="16"/>
        </w:rPr>
        <w:t>rd</w:t>
      </w:r>
      <w:r>
        <w:rPr>
          <w:rFonts w:ascii="Times New Roman" w:hAnsi="Times New Roman"/>
          <w:color w:val="000000"/>
          <w:sz w:val="24"/>
        </w:rPr>
        <w:t>) arbitrator shall be appointed in accordance with the Rules. The panel shall issue a reasoned written decision setting forth the basis for the award. The arbitrators shall have the authority to award any remedy or relief available at law or in equity, including monetary damages and equitable relief, except that the arbitrators shall not have the authority to award damages or losses to the extent restricted pursuant to Section 14.7. Decisions of the panel of arbitrators shall be final and binding on the Parties. Judgment on the award so rendered may be enforced in any court of competent jurisdiction. The losing Party for any particular claim in the arbitration (if any), as determined by the arbitrators, shall reimburse the prevailing Party for all reasonable costs and expenses incurred in connection with such claim, including the fees and expenses of the arbitrators and the prevailing Party’s reasonable attorneys’ fees and other reasonable out-of-pocket costs and expenses. If such claim is the sole claim for which a determination is made, the losing Party shall bear all such costs and expenses of the arbitration.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16.7.2</w:t>
      </w:r>
    </w:p>
    <w:p>
      <w:pPr>
        <w:pStyle w:val="TextBody"/>
        <w:bidi w:val="0"/>
        <w:spacing w:before="0" w:after="240"/>
        <w:jc w:val="both"/>
        <w:rPr/>
      </w:pPr>
      <w:r>
        <w:rPr>
          <w:rFonts w:ascii="Times New Roman" w:hAnsi="Times New Roman"/>
          <w:color w:val="000000"/>
          <w:sz w:val="24"/>
        </w:rPr>
        <w:t xml:space="preserve">Any arbitration and information relating thereto, including documentary or other evidence given by a Party or witness in the arbitration, shall be deemed the Confidential Information of both Parties; </w:t>
      </w:r>
      <w:r>
        <w:rPr>
          <w:rFonts w:ascii="Times New Roman" w:hAnsi="Times New Roman"/>
          <w:color w:val="000000"/>
          <w:sz w:val="24"/>
          <w:u w:val="single"/>
        </w:rPr>
        <w:t>provided</w:t>
      </w:r>
      <w:r>
        <w:rPr>
          <w:rFonts w:ascii="Times New Roman" w:hAnsi="Times New Roman"/>
          <w:color w:val="000000"/>
          <w:sz w:val="24"/>
        </w:rPr>
        <w:t>, that a Party that seeks to confirm or enforce the arbitration award in a court of competent jurisdiction shall seek in good faith an appropriate protective order if it is necessary to disclose any such Confidential Information in connection with such confirmation or enforcement.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16.8</w:t>
      </w:r>
    </w:p>
    <w:p>
      <w:pPr>
        <w:pStyle w:val="TextBody"/>
        <w:bidi w:val="0"/>
        <w:spacing w:before="0" w:after="240"/>
        <w:jc w:val="both"/>
        <w:rPr/>
      </w:pPr>
      <w:r>
        <w:rPr>
          <w:rFonts w:ascii="Times New Roman" w:hAnsi="Times New Roman"/>
          <w:b/>
          <w:color w:val="000000"/>
          <w:sz w:val="24"/>
        </w:rPr>
        <w:t>Force Majeure</w:t>
      </w:r>
      <w:r>
        <w:rPr>
          <w:rFonts w:ascii="Times New Roman" w:hAnsi="Times New Roman"/>
          <w:color w:val="000000"/>
          <w:sz w:val="24"/>
        </w:rPr>
        <w:t xml:space="preserve">. Neither Party shall be responsible to the other Party or be deemed to have defaulted under or breached this Agreement for any failure or delay in performing any of its obligations under this Agreement or for other non-performance hereunder if such delay or non-performance is caused by strike, fire, flood, earthquake, hurricane, embargoes, war, act of war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(whether war be declared or not), act of terrorism, insurrections, riots, epidemics, pandemics, quarantines, act of God, acts or omissions by any Governmental Authority or by any other unforeseeable cause beyond the reasonable control of the non-performing Party (except to the extent such acts or omissions by a Governmental Authority result from the breach by the non-performing Party or any of its Affiliates of any term or condition of this Agreement) (“</w:t>
      </w:r>
      <w:r>
        <w:rPr>
          <w:rFonts w:ascii="Times New Roman" w:hAnsi="Times New Roman"/>
          <w:b/>
          <w:color w:val="000000"/>
          <w:sz w:val="24"/>
        </w:rPr>
        <w:t>Force Majeure</w:t>
      </w:r>
      <w:r>
        <w:rPr>
          <w:color w:val="000000"/>
        </w:rPr>
        <w:t>”</w:t>
      </w:r>
      <w:r>
        <w:rPr>
          <w:rFonts w:ascii="Times New Roman" w:hAnsi="Times New Roman"/>
          <w:color w:val="000000"/>
          <w:sz w:val="24"/>
        </w:rPr>
        <w:t>).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resume performance of its obligations and will keep the other Party informed of actions related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16.9</w:t>
      </w:r>
    </w:p>
    <w:p>
      <w:pPr>
        <w:pStyle w:val="TextBody"/>
        <w:bidi w:val="0"/>
        <w:spacing w:before="0" w:after="240"/>
        <w:jc w:val="both"/>
        <w:rPr/>
      </w:pPr>
      <w:r>
        <w:rPr>
          <w:rFonts w:ascii="Times New Roman" w:hAnsi="Times New Roman"/>
          <w:b/>
          <w:color w:val="000000"/>
          <w:sz w:val="24"/>
        </w:rPr>
        <w:t>RxSight Change of Control</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16.9.1</w:t>
      </w:r>
    </w:p>
    <w:p>
      <w:pPr>
        <w:pStyle w:val="TextBody"/>
        <w:bidi w:val="0"/>
        <w:spacing w:before="0" w:after="240"/>
        <w:jc w:val="both"/>
        <w:rPr/>
      </w:pPr>
      <w:r>
        <w:rPr>
          <w:rFonts w:ascii="Times New Roman" w:hAnsi="Times New Roman"/>
          <w:b/>
          <w:color w:val="000000"/>
          <w:sz w:val="24"/>
        </w:rPr>
        <w:t>Notification of Change of Control</w:t>
      </w:r>
      <w:r>
        <w:rPr>
          <w:rFonts w:ascii="Times New Roman" w:hAnsi="Times New Roman"/>
          <w:color w:val="000000"/>
          <w:sz w:val="24"/>
        </w:rPr>
        <w:t>. RxSight shall provide Alcon with written notice of any Change of Control of RxSight promptly, but no later than [***], following the earlier of the first public announcement of such Change of Control and the execution of a definitive agreement relating to such Change of Control (if such earlier disclosure is not prohibited under Applicable Laws or by the terms of any written agreement between RxSight and any Third Party), which notice shall describe in reasonable detail the nature of the transaction and the identity of the Acquirer. If RxSight undergoes a Change of Control, then the terms of this Section 16.9 shall apply. For avoidance of doubt, a Change of Control of RxSight shall not in any way limit or alter Alcon’s termination rights in accordance with Section 11.2 through Section 11.4, and the provisions of Section 16.9.2 shall only apply if Alcon has not exercised any such termination right.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16.9.2</w:t>
      </w:r>
    </w:p>
    <w:p>
      <w:pPr>
        <w:pStyle w:val="TextBody"/>
        <w:bidi w:val="0"/>
        <w:spacing w:before="0" w:after="240"/>
        <w:jc w:val="both"/>
        <w:rPr/>
      </w:pPr>
      <w:r>
        <w:rPr>
          <w:rFonts w:ascii="Times New Roman" w:hAnsi="Times New Roman"/>
          <w:b/>
          <w:color w:val="000000"/>
          <w:sz w:val="24"/>
        </w:rPr>
        <w:t>Effects of Change of Control</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If RxSight undergoes a Change of Control, RxSight or, to the extent this Agreement is assigned in connection with such Change of Control, RxSight’s successor and their respective Affiliates shall continue to comply with its and their obligations hereunder [***], after entering into the applicable definitive agreement that contemplates such Change of Control (the “</w:t>
      </w:r>
      <w:r>
        <w:rPr>
          <w:rFonts w:ascii="Times New Roman" w:hAnsi="Times New Roman"/>
          <w:b/>
          <w:color w:val="000000"/>
          <w:sz w:val="24"/>
        </w:rPr>
        <w:t>Change of Control Agreement</w:t>
      </w:r>
      <w:r>
        <w:rPr>
          <w:color w:val="000000"/>
        </w:rPr>
        <w:t>”</w:t>
      </w:r>
      <w:r>
        <w:rPr>
          <w:rFonts w:ascii="Times New Roman" w:hAnsi="Times New Roman"/>
          <w:color w:val="000000"/>
          <w:sz w:val="24"/>
        </w:rPr>
        <w:t>) as compared to prior to entering into such Change of Control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2.7 shall automatically become null and void.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Acquirer is an Industry Participant, at any time following the execution of the Change of Control Agreement Alcon shall have the right, by written notice to RxSight, to:</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to the extent not already completed under the Manufacturing and Supply Agreement, require RxSight to transfer to Alcon or its designee all Manufacturing Know-How and related information;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any such Manufacturing Know-How that constitutes, incorporates, or discloses RxSight Platform Technology, the Parties shall negotiate in good faith to agree [***];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disband the JSC (to the extent still in place), if elected by Alcon; and</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 the scope of information to be provided by Alcon to RxSight (including through the JSC) to the extent it determines that (A) such information is competitively sensitive or (B) it is necessary to limit such scope in order to protect the confidentiality of such information, provided that Alcon may not limit the royalty reports contemplated under Section 7.3.8, or the audit reports contemplated under Section 8.2 (in each case, except as required by Applicable Law as determined by Alcon in good faith), and provided further that to the extent any limitation on the provision of any information hereunder limits or impacts RxSight’s performance of its obligations under this Agreement, RxSight shall have no liability for any such breach or non-performance.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If the Acquirer at any time following the effective date of the Change of Control Agreement is not an Industry Participant, upon written notice from Alcon, RxSight shall engage in good faith discussions with Alcon regarding a potential transfer to Alcon or its designee of (a) any Know-How not previously provided and necessary in order to complete all outstanding Development Activities, and (b) to the extent not already completed under the Manufacturing and Supply Agreement, all Manufacturing Know-How and related information;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in no event shall such transfer incorporate RxSight Platform Technology.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16.10</w:t>
      </w:r>
    </w:p>
    <w:p>
      <w:pPr>
        <w:pStyle w:val="TextBody"/>
        <w:bidi w:val="0"/>
        <w:spacing w:before="0" w:after="240"/>
        <w:jc w:val="both"/>
        <w:rPr/>
      </w:pPr>
      <w:r>
        <w:rPr>
          <w:rFonts w:ascii="Times New Roman" w:hAnsi="Times New Roman"/>
          <w:b/>
          <w:color w:val="000000"/>
          <w:sz w:val="24"/>
        </w:rPr>
        <w:t>Waivers</w:t>
      </w:r>
      <w:r>
        <w:rPr>
          <w:rFonts w:ascii="Times New Roman" w:hAnsi="Times New Roman"/>
          <w:color w:val="000000"/>
          <w:sz w:val="24"/>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term or condition of this Agreement may be waived at any time by the Party that is entitled to the benefit thereof, but no such waiver shall be effective unless set forth in writing and duly executed by or on behalf of the Party waiving such term or condition.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16.11</w:t>
      </w:r>
    </w:p>
    <w:p>
      <w:pPr>
        <w:pStyle w:val="TextBody"/>
        <w:bidi w:val="0"/>
        <w:spacing w:before="0" w:after="240"/>
        <w:jc w:val="both"/>
        <w:rPr/>
      </w:pPr>
      <w:r>
        <w:rPr>
          <w:rFonts w:ascii="Times New Roman" w:hAnsi="Times New Roman"/>
          <w:b/>
          <w:color w:val="000000"/>
          <w:sz w:val="24"/>
        </w:rPr>
        <w:t>Relationship of the Parties</w:t>
      </w:r>
      <w:r>
        <w:rPr>
          <w:rFonts w:ascii="Times New Roman" w:hAnsi="Times New Roman"/>
          <w:color w:val="000000"/>
          <w:sz w:val="24"/>
        </w:rPr>
        <w:t>. Nothing contained in this Agreement shall be deemed to constitute a partnership, joint venture, or legal entity of any type between the Parties, or to constitute one Party as the agent of the other. Moreover, each Party agrees not to construe this Agreement, or any of the transactions contemplated hereby, as a partnership, joint venture, employment, franchise, agency or fiduciary or similar relationship for any tax purposes. Each Party shall act solely as an independent contractor, and nothing in this Agreement shall be construed to give any Party the power or authority to act for, bind, or commit the other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16.12</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Any notice, request, demand, waiver, consent, approval or other communication required or permitted under this Agreement shall be in writing, in English and shall refer specifically to this Agreement. Any and all such notices and other communications required or permitted to be provided hereunder shall be deemed given and effective only if: (a) delivered by hand or by overnight courier with tracking capabilities; or (b) mailed postage prepaid by first class, registered or certified mail, in each case, addressed as set forth below unless changed by notice so given. Such notice shall be deemed to have been given as of the date delivered by hand or on the second (2</w:t>
      </w:r>
      <w:r>
        <w:rPr>
          <w:rFonts w:ascii="Times New Roman" w:hAnsi="Times New Roman"/>
          <w:color w:val="000000"/>
          <w:sz w:val="16"/>
        </w:rPr>
        <w:t>nd</w:t>
      </w:r>
      <w:r>
        <w:rPr>
          <w:rFonts w:ascii="Times New Roman" w:hAnsi="Times New Roman"/>
          <w:color w:val="000000"/>
          <w:sz w:val="24"/>
        </w:rPr>
        <w:t>) Business Day (at the place of delivery) after deposit with an overnight courier service or after mailed in accordance with clause (b). This Section 16.12 is not intended to govern the day-to-day business communications necessary between the Parties in performing their obligations under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RxSight: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RxSight, Inc.</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100 Columbia</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Aliso Viejo, California 92656, USA</w:t>
      </w:r>
    </w:p>
    <w:p>
      <w:pPr>
        <w:pStyle w:val="TextBody"/>
        <w:bidi w:val="0"/>
        <w:spacing w:before="0" w:after="240"/>
        <w:ind w:left="720" w:right="0" w:firstLine="72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with a copy to:</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RxSight, Inc.</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100 Columbia</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Aliso Viejo, California 92656, USA</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Latham &amp; Watkins LLP</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1271 Avenue of the Americas</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New York, NY 10020</w:t>
      </w:r>
    </w:p>
    <w:p>
      <w:pPr>
        <w:pStyle w:val="TextBody"/>
        <w:bidi w:val="0"/>
        <w:ind w:left="720" w:right="0" w:firstLine="720"/>
        <w:jc w:val="left"/>
        <w:rPr>
          <w:rFonts w:ascii="Times New Roman" w:hAnsi="Times New Roman"/>
          <w:color w:val="000000"/>
          <w:sz w:val="24"/>
        </w:rPr>
      </w:pPr>
      <w:r>
        <w:rPr>
          <w:rFonts w:ascii="Times New Roman" w:hAnsi="Times New Roman"/>
          <w:color w:val="000000"/>
          <w:sz w:val="24"/>
        </w:rPr>
        <w:t>Attention: Aaron R. Gardner</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4"/>
        </w:rPr>
        <w:t>Email: Aaron.Gardner@lw.com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Alcon:</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Alcon Pharmaceuticals, Ltd</w:t>
        <w:br/>
        <w:t>c/o Alcon Research, LLC</w:t>
        <w:br/>
        <w:t>6201 South Freeway</w:t>
        <w:br/>
        <w:t>Fort Worth, TX 76134-2099</w:t>
        <w:br/>
        <w:t>[***]</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with a copy to:</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Alcon Vision, LLC</w:t>
        <w:br/>
        <w:t>6201 South Freeway</w:t>
        <w:br/>
        <w:t>Fort Worth, Texas 76134-2099</w:t>
        <w:b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Arnold &amp; Porter Kaye Scholer LLP</w:t>
        <w:br/>
        <w:t>250 W 55th Street</w:t>
        <w:br/>
        <w:t>New York, NY 10019</w:t>
        <w:br/>
        <w:t>Attn: Derek Stoldt</w:t>
        <w:br/>
        <w:t>Email: derek.stoldt@arnoldporter.com</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16.13</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xml:space="preserve">. Alcon and RxSight hereby covenant and agree, without the necessity of any further consideration, to execute, acknowledge and deliver any and all documents and take any action, including the filing of such assignments, agreements, documents and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instruments, and to cause its Affiliates to do any of the foregoing, as may be necessary or as the other Party may reasonably request in connection with this Agreement or to carry out more effectively the intent, provisions and purposes hereof or to better assure and confirm unto such other Party its rights and remedies under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16.14</w:t>
      </w:r>
    </w:p>
    <w:p>
      <w:pPr>
        <w:pStyle w:val="TextBody"/>
        <w:bidi w:val="0"/>
        <w:spacing w:before="0" w:after="240"/>
        <w:jc w:val="both"/>
        <w:rPr/>
      </w:pPr>
      <w:r>
        <w:rPr>
          <w:rFonts w:ascii="Times New Roman" w:hAnsi="Times New Roman"/>
          <w:b/>
          <w:color w:val="000000"/>
          <w:sz w:val="24"/>
        </w:rPr>
        <w:t>No Third Party Beneficiary Rights</w:t>
      </w:r>
      <w:r>
        <w:rPr>
          <w:rFonts w:ascii="Times New Roman" w:hAnsi="Times New Roman"/>
          <w:color w:val="000000"/>
          <w:sz w:val="24"/>
        </w:rPr>
        <w:t>. This Agreement is not intended to and shall not be construed to give any Third Party any interest or rights (including any Third Party beneficiary rights) with respect to or in connection with any agreement or provision contained herein or contemplated hereby.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16.15</w:t>
      </w:r>
    </w:p>
    <w:p>
      <w:pPr>
        <w:pStyle w:val="TextBody"/>
        <w:bidi w:val="0"/>
        <w:spacing w:before="0" w:after="240"/>
        <w:jc w:val="both"/>
        <w:rPr/>
      </w:pPr>
      <w:r>
        <w:rPr>
          <w:rFonts w:ascii="Times New Roman" w:hAnsi="Times New Roman"/>
          <w:b/>
          <w:color w:val="000000"/>
          <w:sz w:val="24"/>
        </w:rPr>
        <w:t>Entire Agreement; Amendment</w:t>
      </w:r>
      <w:r>
        <w:rPr>
          <w:rFonts w:ascii="Times New Roman" w:hAnsi="Times New Roman"/>
          <w:color w:val="000000"/>
          <w:sz w:val="24"/>
        </w:rPr>
        <w:t>. This Agreement, including the Exhibits and Schedules hereto, set forth the complete, final and exclusive agreement and all the covenants, promises, agreements, warranties, representations, conditions and understandings between the Parties with respect to the subject matter hereof and supersedes, as of the Effective Date, all prior and contemporaneous agreements and understandings, whether written or oral, between the Parties with respect to the subject matter hereof, including the Confidentiality Agreement. The foregoing may not be interpreted as a waiver of any remedies available to either Party as a result of any breach, prior to the Effective Date, by the other Party of its obligations under the Confidentiality Agreement. No subsequent alteration, amendment, change or addition to this Agreement shall be binding upon the Parties unless reduced to writing and signed by an authorized officer of each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16.16</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two (2) or more counterparts, each of which shall be deemed an original, but all of which together constitute one and the same instrument. This Agreement may be executed and delivered electronically (including via PDF copies transmitted over email) and upon such delivery such electronic signature will be deemed to have the same effect as if the original signature had been delivered to the other Party.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16.17</w:t>
      </w:r>
    </w:p>
    <w:p>
      <w:pPr>
        <w:pStyle w:val="TextBody"/>
        <w:bidi w:val="0"/>
        <w:spacing w:before="0" w:after="240"/>
        <w:jc w:val="both"/>
        <w:rPr/>
      </w:pPr>
      <w:r>
        <w:rPr>
          <w:rFonts w:ascii="Times New Roman" w:hAnsi="Times New Roman"/>
          <w:b/>
          <w:color w:val="000000"/>
          <w:sz w:val="24"/>
        </w:rPr>
        <w:t>Expenses</w:t>
      </w:r>
      <w:r>
        <w:rPr>
          <w:rFonts w:ascii="Times New Roman" w:hAnsi="Times New Roman"/>
          <w:color w:val="000000"/>
          <w:sz w:val="24"/>
        </w:rPr>
        <w:t>. Each Party shall pay its own costs, charges and expenses incurred in connection with the negotiation, preparation and execution of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16.18</w:t>
      </w:r>
    </w:p>
    <w:p>
      <w:pPr>
        <w:pStyle w:val="TextBody"/>
        <w:bidi w:val="0"/>
        <w:spacing w:before="0" w:after="240"/>
        <w:jc w:val="both"/>
        <w:rPr/>
      </w:pPr>
      <w:r>
        <w:rPr>
          <w:rFonts w:ascii="Times New Roman" w:hAnsi="Times New Roman"/>
          <w:b/>
          <w:color w:val="000000"/>
          <w:sz w:val="24"/>
        </w:rPr>
        <w:t>Construction</w:t>
      </w:r>
      <w:r>
        <w:rPr>
          <w:rFonts w:ascii="Times New Roman" w:hAnsi="Times New Roman"/>
          <w:color w:val="000000"/>
          <w:sz w:val="24"/>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pStyle w:val="TextBody"/>
        <w:bidi w:val="0"/>
        <w:spacing w:before="0" w:after="480"/>
        <w:ind w:left="0" w:right="0" w:firstLine="720"/>
        <w:jc w:val="both"/>
        <w:rPr>
          <w:rFonts w:ascii="Times New Roman" w:hAnsi="Times New Roman"/>
          <w:color w:val="000000"/>
          <w:sz w:val="24"/>
        </w:rPr>
      </w:pPr>
      <w:r>
        <w:rPr>
          <w:rFonts w:ascii="Times New Roman" w:hAnsi="Times New Roman"/>
          <w:color w:val="000000"/>
          <w:sz w:val="24"/>
        </w:rPr>
        <w:t>16.19</w:t>
      </w:r>
    </w:p>
    <w:p>
      <w:pPr>
        <w:pStyle w:val="TextBody"/>
        <w:bidi w:val="0"/>
        <w:spacing w:before="0" w:after="480"/>
        <w:jc w:val="both"/>
        <w:rPr/>
      </w:pPr>
      <w:r>
        <w:rPr>
          <w:rFonts w:ascii="Times New Roman" w:hAnsi="Times New Roman"/>
          <w:b/>
          <w:color w:val="000000"/>
          <w:sz w:val="24"/>
        </w:rPr>
        <w:t>Interpretation</w:t>
      </w:r>
      <w:r>
        <w:rPr>
          <w:rFonts w:ascii="Times New Roman" w:hAnsi="Times New Roman"/>
          <w:color w:val="000000"/>
          <w:sz w:val="24"/>
        </w:rPr>
        <w:t xml:space="preserve">. The captions and headings to this Agreement are for convenience of reference only and in no way define, describe, extend or limit the scope or intent of this Agreement or the intent of any provision contained in this Agreement. Unless specified to the contrary, (a) references to Articles, Sections, Exhibits or Schedules mean the particular Articles, Sections, Exhibits or Schedules to this Agreement and references to this Agreement include all Exhibits and Schedules hereto, (b) references in any Section to any clause are references to such clause of such Section and (c) references to any agreement, instrument or other document in this Agreement refer to such agreement, instrument or other document as originally executed or, if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subsequently amended, replaced or supplemented from time to time, as so amended, replaced or supplemented and in effect at the relevant time of reference thereto. In the event of any conflict between the main body of this Agreement and any Schedule hereto, the main body of this Agreement shall prevail. Unless context otherwise clearly requires, whenever used in this Agreement: (i) the words “include,” “includes” or “including” shall be construed as incorporating, also, “but not limited to” or “without limitation”; (ii) the word “day,” “quarter” or “year” means a calendar day, quarter or year unless otherwise specified; (iii) the word “notice” means notice in writing (whether or not specifically stated) and shall include notices, consents, approvals and other written communications contemplated under this Agreement; (iv) the words “hereof,” “herein,” “hereby” and derivative or similar words refer to this Agreement as a whole and not merely to the particular provision in which such words appear; (v) the words “shall” and “will” have interchangeable meanings and shall be understood to be imperative or mandatory in nature for purposes of this Agreement; (vi) provisions that require that a Party or the Parties hereunder “agree,” “consent” or “approve” or the like shall require that such agreement, consent or approval be specific and in writing, whether by written agreement, letter or otherwise; (vii) words of any gender include each other gender; (viii) except where the context requires otherwise, the singular shall include the plural and the plural shall include the singular; (ix) references to any specific law, rule or regulation, or article, section or other division thereof, shall be deemed to include the then-current amendments thereto or any replacement law, rule or regulation thereof; (x) the words “non-refundable” or “non-creditable” shall not prohibit, limit or restrict either Party’s rights (A) to obtain damages in connection with a breach of this Agreement or (B) to obtain a refund of any payment made in error; (xi) the word “or” is used in the inclusive sense (and/or); and (xii) neither Party shall be deemed to be acting on behalf of the other Party.</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left blank intentionally; signature page follows.</w:t>
      </w: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intending to be bound have caused this Agreement to be executed by their duly authorized representatives.</w:t>
      </w:r>
    </w:p>
    <w:p>
      <w:pPr>
        <w:pStyle w:val="TextBody"/>
        <w:bidi w:val="0"/>
        <w:spacing w:before="0" w:after="240"/>
        <w:ind w:left="0" w:right="0" w:firstLine="720"/>
        <w:jc w:val="both"/>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RXSIGHT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By: /s/ Ron Kurtz</w:t>
      </w:r>
    </w:p>
    <w:p>
      <w:pPr>
        <w:pStyle w:val="TextBody"/>
        <w:bidi w:val="0"/>
        <w:spacing w:before="0" w:after="240"/>
        <w:ind w:left="0" w:right="0" w:firstLine="72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Ron Kurtz</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CEO and President</w:t>
      </w:r>
    </w:p>
    <w:p>
      <w:pPr>
        <w:pStyle w:val="TextBody"/>
        <w:bidi w:val="0"/>
        <w:spacing w:before="0" w:after="240"/>
        <w:ind w:left="0" w:right="0" w:firstLine="72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ALCON PHARMACEUTICALS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LTD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br/>
        <w:t>By: /s/ Robert Kamffer</w:t>
      </w:r>
    </w:p>
    <w:p>
      <w:pPr>
        <w:pStyle w:val="TextBody"/>
        <w:bidi w:val="0"/>
        <w:jc w:val="left"/>
        <w:rPr>
          <w:rFonts w:ascii="Times New Roman" w:hAnsi="Times New Roman"/>
          <w:color w:val="000000"/>
          <w:sz w:val="24"/>
        </w:rPr>
      </w:pPr>
      <w:r>
        <w:rPr>
          <w:rFonts w:ascii="Times New Roman" w:hAnsi="Times New Roman"/>
          <w:color w:val="000000"/>
          <w:sz w:val="24"/>
        </w:rPr>
        <w:br/>
        <w:t>Name: Robert Kamffer</w:t>
      </w:r>
    </w:p>
    <w:p>
      <w:pPr>
        <w:pStyle w:val="TextBody"/>
        <w:bidi w:val="0"/>
        <w:jc w:val="left"/>
        <w:rPr>
          <w:rFonts w:ascii="Times New Roman" w:hAnsi="Times New Roman"/>
          <w:color w:val="000000"/>
          <w:sz w:val="24"/>
        </w:rPr>
      </w:pPr>
      <w:r>
        <w:rPr>
          <w:rFonts w:ascii="Times New Roman" w:hAnsi="Times New Roman"/>
          <w:color w:val="000000"/>
          <w:sz w:val="24"/>
        </w:rPr>
        <w:t>Authorized Signatory</w:t>
      </w:r>
    </w:p>
    <w:p>
      <w:pPr>
        <w:pStyle w:val="TextBody"/>
        <w:bidi w:val="0"/>
        <w:spacing w:before="0" w:after="24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Christine Bohmann</w:t>
      </w:r>
    </w:p>
    <w:p>
      <w:pPr>
        <w:pStyle w:val="TextBody"/>
        <w:bidi w:val="0"/>
        <w:jc w:val="left"/>
        <w:rPr>
          <w:rFonts w:ascii="Times New Roman" w:hAnsi="Times New Roman"/>
          <w:color w:val="000000"/>
          <w:sz w:val="24"/>
        </w:rPr>
      </w:pPr>
      <w:r>
        <w:rPr>
          <w:rFonts w:ascii="Times New Roman" w:hAnsi="Times New Roman"/>
          <w:color w:val="000000"/>
          <w:sz w:val="24"/>
        </w:rPr>
        <w:br/>
        <w:t>Name: Christine Bohmann</w:t>
      </w:r>
    </w:p>
    <w:p>
      <w:pPr>
        <w:pStyle w:val="TextBody"/>
        <w:bidi w:val="0"/>
        <w:jc w:val="left"/>
        <w:rPr>
          <w:rFonts w:ascii="Times New Roman" w:hAnsi="Times New Roman"/>
          <w:color w:val="000000"/>
          <w:sz w:val="24"/>
        </w:rPr>
      </w:pPr>
      <w:r>
        <w:rPr>
          <w:rFonts w:ascii="Times New Roman" w:hAnsi="Times New Roman"/>
          <w:color w:val="000000"/>
          <w:sz w:val="24"/>
        </w:rPr>
        <w:t>Authorized Signatory</w:t>
      </w:r>
    </w:p>
    <w:p>
      <w:pPr>
        <w:pStyle w:val="TextBody"/>
        <w:bidi w:val="0"/>
        <w:spacing w:before="0" w:after="24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Baseball Arbitration</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Demand Generation Activities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Industry Participants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72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Development Plan</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Heading1"/>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2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Terms for Co-Promotion Agreement</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20"/>
        <w:jc w:val="center"/>
        <w:rPr>
          <w:rFonts w:ascii="Times New Roman" w:hAnsi="Times New Roman"/>
          <w:b/>
          <w:color w:val="000000"/>
          <w:sz w:val="24"/>
          <w:u w:val="single"/>
        </w:rPr>
      </w:pPr>
      <w:r>
        <w:rPr>
          <w:rFonts w:ascii="Times New Roman" w:hAnsi="Times New Roman"/>
          <w:b/>
          <w:color w:val="000000"/>
          <w:sz w:val="24"/>
          <w:u w:val="single"/>
        </w:rPr>
        <w:t>EXHIBIT F</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Press Releases</w:t>
      </w:r>
    </w:p>
    <w:p>
      <w:pPr>
        <w:pStyle w:val="TextBody"/>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From RxSight:</w:t>
      </w:r>
    </w:p>
    <w:p>
      <w:pPr>
        <w:pStyle w:val="TextBody"/>
        <w:bidi w:val="0"/>
        <w:jc w:val="left"/>
        <w:rPr>
          <w:rFonts w:ascii="Montserrat;Montserrat Medium;sans-serif" w:hAnsi="Montserrat;Montserrat Medium;sans-serif"/>
          <w:b/>
          <w:color w:val="77206D"/>
          <w:sz w:val="34"/>
        </w:rPr>
      </w:pPr>
      <w:r>
        <w:rPr>
          <w:rFonts w:ascii="Montserrat;Montserrat Medium;sans-serif" w:hAnsi="Montserrat;Montserrat Medium;sans-serif"/>
          <w:b/>
          <w:color w:val="77206D"/>
          <w:sz w:val="34"/>
        </w:rPr>
        <w:t>Alcon and RxSight Announce Strategic Collaboration to Develop Adjustable PCIOLs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Montserrat;Montserrat Medium;sans-serif" w:hAnsi="Montserrat;Montserrat Medium;sans-serif"/>
          <w:b/>
          <w:color w:val="000000"/>
          <w:sz w:val="24"/>
        </w:rPr>
        <w:t>Non-exclusive</w:t>
      </w:r>
      <w:r>
        <w:rPr>
          <w:color w:val="000000"/>
        </w:rPr>
        <w:t xml:space="preserve"> </w:t>
      </w:r>
      <w:r>
        <w:rPr>
          <w:rFonts w:ascii="Montserrat;Montserrat Medium;sans-serif" w:hAnsi="Montserrat;Montserrat Medium;sans-serif"/>
          <w:b/>
          <w:color w:val="000000"/>
          <w:sz w:val="24"/>
        </w:rPr>
        <w:t>license agreement for the development and commercialization of novel post-operative light adjustable PCIOL technologies</w:t>
      </w:r>
    </w:p>
    <w:p>
      <w:pPr>
        <w:pStyle w:val="TextBody"/>
        <w:bidi w:val="0"/>
        <w:spacing w:before="0" w:after="160"/>
        <w:jc w:val="left"/>
        <w:rPr>
          <w:color w:val="000000"/>
        </w:rPr>
      </w:pPr>
      <w:r>
        <w:rPr>
          <w:color w:val="000000"/>
        </w:rPr>
        <w:t>•</w:t>
      </w:r>
    </w:p>
    <w:p>
      <w:pPr>
        <w:pStyle w:val="TextBody"/>
        <w:bidi w:val="0"/>
        <w:spacing w:before="0" w:after="160"/>
        <w:jc w:val="left"/>
        <w:rPr>
          <w:rFonts w:ascii="Montserrat;Montserrat Medium;sans-serif" w:hAnsi="Montserrat;Montserrat Medium;sans-serif"/>
          <w:b/>
          <w:color w:val="000000"/>
          <w:sz w:val="24"/>
        </w:rPr>
      </w:pPr>
      <w:r>
        <w:rPr>
          <w:rFonts w:ascii="Montserrat;Montserrat Medium;sans-serif" w:hAnsi="Montserrat;Montserrat Medium;sans-serif"/>
          <w:b/>
          <w:color w:val="000000"/>
          <w:sz w:val="24"/>
        </w:rPr>
        <w:t>Combines best-in-class PCIOL optics with first-in-class platform that enables fine-tuning of visual outcomes after cataract surgery</w:t>
      </w:r>
    </w:p>
    <w:p>
      <w:pPr>
        <w:pStyle w:val="TextBody"/>
        <w:bidi w:val="0"/>
        <w:spacing w:before="0" w:after="160"/>
        <w:jc w:val="left"/>
        <w:rPr>
          <w:color w:val="000000"/>
        </w:rPr>
      </w:pPr>
      <w:r>
        <w:rPr>
          <w:color w:val="000000"/>
        </w:rPr>
        <w:t>•</w:t>
      </w:r>
    </w:p>
    <w:p>
      <w:pPr>
        <w:pStyle w:val="TextBody"/>
        <w:bidi w:val="0"/>
        <w:spacing w:before="0" w:after="160"/>
        <w:jc w:val="left"/>
        <w:rPr>
          <w:rFonts w:ascii="Montserrat;Montserrat Medium;sans-serif" w:hAnsi="Montserrat;Montserrat Medium;sans-serif"/>
          <w:b/>
          <w:color w:val="000000"/>
          <w:sz w:val="24"/>
        </w:rPr>
      </w:pPr>
      <w:r>
        <w:rPr>
          <w:rFonts w:ascii="Montserrat;Montserrat Medium;sans-serif" w:hAnsi="Montserrat;Montserrat Medium;sans-serif"/>
          <w:b/>
          <w:color w:val="000000"/>
          <w:sz w:val="24"/>
        </w:rPr>
        <w:t>Agreement marks a step towards establishing a new category of tunable PCIOLs</w:t>
      </w:r>
    </w:p>
    <w:p>
      <w:pPr>
        <w:pStyle w:val="TextBody"/>
        <w:bidi w:val="0"/>
        <w:jc w:val="left"/>
        <w:rPr>
          <w:rFonts w:ascii="Times New Roman" w:hAnsi="Times New Roman"/>
          <w:sz w:val="20"/>
        </w:rPr>
      </w:pPr>
      <w:r>
        <w:rPr>
          <w:rFonts w:ascii="Montserrat;Montserrat Medium;sans-serif" w:hAnsi="Montserrat;Montserrat Medium;sans-serif"/>
          <w:b/>
          <w:color w:val="77206D"/>
          <w:sz w:val="21"/>
        </w:rPr>
        <w:t xml:space="preserve">Aliso Viejo, CA, July [XX], 2026 </w:t>
      </w:r>
      <w:r>
        <w:rPr>
          <w:rFonts w:ascii="Times New Roman" w:hAnsi="Times New Roman"/>
          <w:color w:val="000000"/>
          <w:sz w:val="20"/>
        </w:rPr>
        <w:t xml:space="preserve">– </w:t>
      </w:r>
      <w:r>
        <w:rPr>
          <w:rFonts w:ascii="Montserrat;Montserrat Medium;sans-serif" w:hAnsi="Montserrat;Montserrat Medium;sans-serif"/>
          <w:b/>
          <w:color w:val="000000"/>
          <w:sz w:val="21"/>
        </w:rPr>
        <w:t>Alcon (SIX/NYSE: ALC), the global leader in eye care dedicated to helping people see brilliantly, and RxSight, Inc. (NASDAQ: RXST), an ophthalmic medical device company dedicated to providing high-quality customized vision to patients following cataract surgery, today announced a non-exclusive, strategic collaboration to jointly develop adjustable presbyopia-correcting intraocular lenses (PCIOLs).</w:t>
      </w:r>
    </w:p>
    <w:p>
      <w:pPr>
        <w:pStyle w:val="TextBody"/>
        <w:bidi w:val="0"/>
        <w:jc w:val="left"/>
        <w:rPr/>
      </w:pPr>
      <w:r>
        <w:rPr/>
        <w:t> </w:t>
      </w:r>
    </w:p>
    <w:p>
      <w:pPr>
        <w:pStyle w:val="TextBody"/>
        <w:bidi w:val="0"/>
        <w:jc w:val="left"/>
        <w:rPr>
          <w:rFonts w:ascii="Times New Roman" w:hAnsi="Times New Roman"/>
          <w:sz w:val="20"/>
        </w:rPr>
      </w:pPr>
      <w:r>
        <w:rPr>
          <w:rFonts w:ascii="Montserrat;Montserrat Medium;sans-serif" w:hAnsi="Montserrat;Montserrat Medium;sans-serif"/>
          <w:b/>
          <w:color w:val="000000"/>
          <w:sz w:val="21"/>
        </w:rPr>
        <w:t>Under the collaboration, the companies will combine RxSight's post-operative light-adjustable technology with Alcon's PCIOL optical designs. The collaboration aims to create a co-developed technology that enables surgeons the ability to fine-tune visual outcomes for their cataract patients who choose a PCIOL.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Montserrat;Montserrat Medium;sans-serif" w:hAnsi="Montserrat;Montserrat Medium;sans-serif"/>
          <w:b/>
          <w:color w:val="000000"/>
          <w:sz w:val="21"/>
        </w:rPr>
        <w:t>Our leading PCIOLs have helped millions of patients reduce or eliminate the need for glasses after cataract surgery,” said David J. Endicott, Chief Executive Officer of Alcon. “Together with RxSight’s platform, we have the opportunity to advance a new category — tunable PCIOLs — giving surgeons even greater confidence to refine outcomes after surgery.”</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Montserrat;Montserrat Medium;sans-serif" w:hAnsi="Montserrat;Montserrat Medium;sans-serif"/>
          <w:b/>
          <w:color w:val="000000"/>
          <w:sz w:val="21"/>
        </w:rPr>
        <w:t>We are excited to work with Alcon to provide patients greater access to outcomes customized to their needs after surgery,” said Ron Kurtz, President and Chief Executive Officer of RxSight. This collaboration underscores our belief in the importance of adjustability and will help accelerate its expansion across a wider base of patients.”</w:t>
      </w:r>
    </w:p>
    <w:p>
      <w:pPr>
        <w:pStyle w:val="TextBody"/>
        <w:bidi w:val="0"/>
        <w:jc w:val="left"/>
        <w:rPr/>
      </w:pPr>
      <w:r>
        <w:rPr/>
        <w:t> </w:t>
      </w:r>
    </w:p>
    <w:p>
      <w:pPr>
        <w:pStyle w:val="TextBody"/>
        <w:bidi w:val="0"/>
        <w:jc w:val="left"/>
        <w:rPr>
          <w:rFonts w:ascii="Montserrat;Montserrat Medium;sans-serif" w:hAnsi="Montserrat;Montserrat Medium;sans-serif"/>
          <w:b/>
          <w:color w:val="000000"/>
          <w:sz w:val="21"/>
        </w:rPr>
      </w:pPr>
      <w:r>
        <w:rPr>
          <w:rFonts w:ascii="Montserrat;Montserrat Medium;sans-serif" w:hAnsi="Montserrat;Montserrat Medium;sans-serif"/>
          <w:b/>
          <w:color w:val="000000"/>
          <w:sz w:val="21"/>
        </w:rPr>
        <w:t>As part of the agreement, RxSight will receive a $60 million upfront payment to begin development. RxSight could receive up to an additional $140 million in payments as development and regulatory milestones are met. Under the agreement, Alcon will lead global commercialization, while RxSight will be responsible for development and manufacturing and receive royalties on net sales.</w:t>
      </w:r>
    </w:p>
    <w:p>
      <w:pPr>
        <w:pStyle w:val="TextBody"/>
        <w:bidi w:val="0"/>
        <w:jc w:val="left"/>
        <w:rPr/>
      </w:pPr>
      <w:r>
        <w:rPr/>
        <w:t> </w:t>
      </w:r>
    </w:p>
    <w:p>
      <w:pPr>
        <w:pStyle w:val="TextBody"/>
        <w:bidi w:val="0"/>
        <w:jc w:val="left"/>
        <w:rPr/>
      </w:pPr>
      <w:r>
        <w:rPr/>
        <w:t> </w:t>
      </w:r>
    </w:p>
    <w:p>
      <w:pPr>
        <w:pStyle w:val="TextBody"/>
        <w:bidi w:val="0"/>
        <w:jc w:val="left"/>
        <w:rPr>
          <w:rFonts w:ascii="Montserrat;Montserrat Medium;sans-serif" w:hAnsi="Montserrat;Montserrat Medium;sans-serif"/>
          <w:b/>
          <w:color w:val="77206D"/>
          <w:sz w:val="21"/>
          <w:u w:val="single"/>
        </w:rPr>
      </w:pPr>
      <w:r>
        <w:rPr>
          <w:rFonts w:ascii="Montserrat;Montserrat Medium;sans-serif" w:hAnsi="Montserrat;Montserrat Medium;sans-serif"/>
          <w:b/>
          <w:color w:val="77206D"/>
          <w:sz w:val="21"/>
          <w:u w:val="single"/>
        </w:rPr>
        <w:t>About Alcon</w:t>
      </w:r>
    </w:p>
    <w:p>
      <w:pPr>
        <w:pStyle w:val="TextBody"/>
        <w:bidi w:val="0"/>
        <w:jc w:val="left"/>
        <w:rPr>
          <w:rFonts w:ascii="Times New Roman" w:hAnsi="Times New Roman"/>
          <w:sz w:val="20"/>
        </w:rPr>
      </w:pPr>
      <w:r>
        <w:rPr>
          <w:rFonts w:ascii="Montserrat;Montserrat Medium;sans-serif" w:hAnsi="Montserrat;Montserrat Medium;sans-serif"/>
          <w:b/>
          <w:color w:val="000000"/>
          <w:sz w:val="21"/>
        </w:rPr>
        <w:t>Alcon helps people see brilliantly. As the global leader in eye care with a heritage spanning over 75 years, we offer the broadest portfolio of products to enhance sight and improve people’s lives. Our Surgical and Vision Care products touch the lives of more than 260 million people in over 140 countries and territories each year living</w:t>
      </w:r>
      <w:r>
        <w:rPr>
          <w:rFonts w:ascii="Times New Roman" w:hAnsi="Times New Roman"/>
          <w:color w:val="000000"/>
          <w:sz w:val="20"/>
        </w:rPr>
        <w:t xml:space="preserve">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Montserrat;Montserrat Medium;sans-serif" w:hAnsi="Montserrat;Montserrat Medium;sans-serif"/>
          <w:b/>
          <w:color w:val="000000"/>
          <w:sz w:val="21"/>
        </w:rPr>
      </w:pPr>
      <w:r>
        <w:rPr>
          <w:rFonts w:ascii="Montserrat;Montserrat Medium;sans-serif" w:hAnsi="Montserrat;Montserrat Medium;sans-serif"/>
          <w:b/>
          <w:color w:val="000000"/>
          <w:sz w:val="21"/>
        </w:rPr>
        <w:t>with conditions like cataracts, glaucoma, retinal diseases and refractive errors. Our more than 25,000 associates are enhancing the quality of life through innovative products, partnerships with Eye Care Professionals and programs that advance access to quality eye care. Learn more at www.alcon.com.</w:t>
      </w:r>
    </w:p>
    <w:p>
      <w:pPr>
        <w:pStyle w:val="TextBody"/>
        <w:bidi w:val="0"/>
        <w:jc w:val="left"/>
        <w:rPr/>
      </w:pPr>
      <w:r>
        <w:rPr/>
        <w:t> </w:t>
      </w:r>
    </w:p>
    <w:p>
      <w:pPr>
        <w:pStyle w:val="TextBody"/>
        <w:bidi w:val="0"/>
        <w:jc w:val="left"/>
        <w:rPr>
          <w:rFonts w:ascii="Montserrat;Montserrat Medium;sans-serif" w:hAnsi="Montserrat;Montserrat Medium;sans-serif"/>
          <w:b/>
          <w:color w:val="77206D"/>
          <w:sz w:val="21"/>
          <w:u w:val="single"/>
        </w:rPr>
      </w:pPr>
      <w:r>
        <w:rPr>
          <w:rFonts w:ascii="Montserrat;Montserrat Medium;sans-serif" w:hAnsi="Montserrat;Montserrat Medium;sans-serif"/>
          <w:b/>
          <w:color w:val="77206D"/>
          <w:sz w:val="21"/>
          <w:u w:val="single"/>
        </w:rPr>
        <w:t>About RxSight, Inc.</w:t>
      </w:r>
    </w:p>
    <w:p>
      <w:pPr>
        <w:pStyle w:val="TextBody"/>
        <w:bidi w:val="0"/>
        <w:jc w:val="left"/>
        <w:rPr>
          <w:rFonts w:ascii="Times New Roman" w:hAnsi="Times New Roman"/>
          <w:sz w:val="20"/>
        </w:rPr>
      </w:pPr>
      <w:r>
        <w:rPr>
          <w:rFonts w:ascii="Montserrat;Montserrat Medium;sans-serif" w:hAnsi="Montserrat;Montserrat Medium;sans-serif"/>
          <w:b/>
          <w:color w:val="000000"/>
          <w:sz w:val="21"/>
        </w:rPr>
        <w:t>RxSight, Inc. is an ophthalmic medical device company dedicated to providing high-quality customized vision to patients following cataract surgery. The RxSight® Light Adjustable Lens system, comprised of the RxSight Light Adjustable Lens</w:t>
      </w:r>
      <w:r>
        <w:rPr>
          <w:rFonts w:ascii="Montserrat;Montserrat Medium;sans-serif" w:hAnsi="Montserrat;Montserrat Medium;sans-serif"/>
          <w:b/>
          <w:color w:val="000000"/>
          <w:sz w:val="14"/>
        </w:rPr>
        <w:t>®</w:t>
      </w:r>
      <w:r>
        <w:rPr>
          <w:rFonts w:ascii="Times New Roman" w:hAnsi="Times New Roman"/>
          <w:color w:val="000000"/>
          <w:sz w:val="20"/>
        </w:rPr>
        <w:t xml:space="preserve"> </w:t>
      </w:r>
      <w:r>
        <w:rPr>
          <w:rFonts w:ascii="Montserrat;Montserrat Medium;sans-serif" w:hAnsi="Montserrat;Montserrat Medium;sans-serif"/>
          <w:b/>
          <w:color w:val="000000"/>
          <w:sz w:val="21"/>
        </w:rPr>
        <w:t>(LAL</w:t>
      </w:r>
      <w:r>
        <w:rPr>
          <w:rFonts w:ascii="Montserrat;Montserrat Medium;sans-serif" w:hAnsi="Montserrat;Montserrat Medium;sans-serif"/>
          <w:b/>
          <w:color w:val="000000"/>
          <w:sz w:val="14"/>
        </w:rPr>
        <w:t>®</w:t>
      </w:r>
      <w:r>
        <w:rPr>
          <w:rFonts w:ascii="Montserrat;Montserrat Medium;sans-serif" w:hAnsi="Montserrat;Montserrat Medium;sans-serif"/>
          <w:b/>
          <w:color w:val="000000"/>
          <w:sz w:val="21"/>
        </w:rPr>
        <w:t>/LAL+</w:t>
      </w:r>
      <w:r>
        <w:rPr>
          <w:rFonts w:ascii="Montserrat;Montserrat Medium;sans-serif" w:hAnsi="Montserrat;Montserrat Medium;sans-serif"/>
          <w:b/>
          <w:color w:val="000000"/>
          <w:sz w:val="14"/>
        </w:rPr>
        <w:t>®</w:t>
      </w:r>
      <w:r>
        <w:rPr>
          <w:rFonts w:ascii="Montserrat;Montserrat Medium;sans-serif" w:hAnsi="Montserrat;Montserrat Medium;sans-serif"/>
          <w:b/>
          <w:color w:val="000000"/>
          <w:sz w:val="21"/>
        </w:rPr>
        <w:t>,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www.rxsight.com.</w:t>
      </w:r>
    </w:p>
    <w:p>
      <w:pPr>
        <w:pStyle w:val="TextBody"/>
        <w:bidi w:val="0"/>
        <w:jc w:val="left"/>
        <w:rPr/>
      </w:pPr>
      <w:r>
        <w:rPr/>
        <w:t> </w:t>
      </w:r>
    </w:p>
    <w:p>
      <w:pPr>
        <w:pStyle w:val="TextBody"/>
        <w:bidi w:val="0"/>
        <w:jc w:val="left"/>
        <w:rPr/>
      </w:pPr>
      <w:r>
        <w:rPr/>
        <w:t> </w:t>
      </w:r>
    </w:p>
    <w:p>
      <w:pPr>
        <w:pStyle w:val="TextBody"/>
        <w:bidi w:val="0"/>
        <w:jc w:val="left"/>
        <w:rPr>
          <w:rFonts w:ascii="Montserrat;Montserrat Medium;sans-serif" w:hAnsi="Montserrat;Montserrat Medium;sans-serif"/>
          <w:b/>
          <w:color w:val="77206D"/>
          <w:sz w:val="21"/>
        </w:rPr>
      </w:pPr>
      <w:r>
        <w:rPr>
          <w:rFonts w:ascii="Montserrat;Montserrat Medium;sans-serif" w:hAnsi="Montserrat;Montserrat Medium;sans-serif"/>
          <w:b/>
          <w:color w:val="77206D"/>
          <w:sz w:val="21"/>
        </w:rPr>
        <w:t>Connect with us on</w:t>
      </w:r>
    </w:p>
    <w:p>
      <w:pPr>
        <w:pStyle w:val="TextBody"/>
        <w:bidi w:val="0"/>
        <w:jc w:val="left"/>
        <w:rPr/>
      </w:pPr>
      <w:r>
        <w:rPr/>
        <w:t> </w:t>
      </w:r>
    </w:p>
    <w:p>
      <w:pPr>
        <w:pStyle w:val="TextBody"/>
        <w:bidi w:val="0"/>
        <w:ind w:left="0" w:right="274" w:hanging="0"/>
        <w:jc w:val="left"/>
        <w:rPr/>
      </w:pPr>
      <w:r>
        <w:rPr/>
        <w:drawing>
          <wp:inline distT="0" distB="0" distL="0" distR="0">
            <wp:extent cx="3619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361950" cy="361950"/>
                    </a:xfrm>
                    <a:prstGeom prst="rect">
                      <a:avLst/>
                    </a:prstGeom>
                  </pic:spPr>
                </pic:pic>
              </a:graphicData>
            </a:graphic>
          </wp:inline>
        </w:drawing>
      </w:r>
      <w:r>
        <w:rPr>
          <w:color w:val="1F487C"/>
        </w:rPr>
        <w:t xml:space="preserve"> </w:t>
      </w:r>
      <w:r>
        <w:rPr/>
        <w:drawing>
          <wp:inline distT="0" distB="0" distL="0" distR="0">
            <wp:extent cx="3619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361950" cy="361950"/>
                    </a:xfrm>
                    <a:prstGeom prst="rect">
                      <a:avLst/>
                    </a:prstGeom>
                  </pic:spPr>
                </pic:pic>
              </a:graphicData>
            </a:graphic>
          </wp:inline>
        </w:drawing>
      </w:r>
      <w:r>
        <w:rPr>
          <w:color w:val="1F487C"/>
        </w:rPr>
        <w:t xml:space="preserve"> </w:t>
      </w:r>
      <w:r>
        <w:rPr/>
        <w:drawing>
          <wp:inline distT="0" distB="0" distL="0" distR="0">
            <wp:extent cx="3333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r>
        <w:rPr>
          <w:color w:val="1F487C"/>
        </w:rPr>
        <w:t xml:space="preserve"> </w:t>
      </w:r>
      <w:r>
        <w:rPr/>
        <w:drawing>
          <wp:inline distT="0" distB="0" distL="0" distR="0">
            <wp:extent cx="3429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342900" cy="342900"/>
                    </a:xfrm>
                    <a:prstGeom prst="rect">
                      <a:avLst/>
                    </a:prstGeom>
                  </pic:spPr>
                </pic:pic>
              </a:graphicData>
            </a:graphic>
          </wp:inline>
        </w:drawing>
      </w:r>
      <w:r>
        <w:rPr>
          <w:color w:val="0E2841"/>
        </w:rPr>
        <w:t xml:space="preserve"> </w:t>
      </w:r>
    </w:p>
    <w:p>
      <w:pPr>
        <w:pStyle w:val="TextBody"/>
        <w:bidi w:val="0"/>
        <w:ind w:left="0" w:right="274" w:hanging="0"/>
        <w:jc w:val="left"/>
        <w:rPr/>
      </w:pPr>
      <w:r>
        <w:rPr/>
        <w:t> </w:t>
      </w:r>
    </w:p>
    <w:p>
      <w:pPr>
        <w:pStyle w:val="TextBody"/>
        <w:pBdr/>
        <w:bidi w:val="0"/>
        <w:ind w:left="0" w:right="0" w:hanging="180"/>
        <w:jc w:val="left"/>
        <w:rPr>
          <w:rFonts w:ascii="Open Sans;sans-serif" w:hAnsi="Open Sans;sans-serif"/>
          <w:b/>
          <w:color w:val="813A74"/>
          <w:sz w:val="21"/>
          <w:u w:val="single"/>
        </w:rPr>
      </w:pPr>
      <w:r>
        <w:rPr>
          <w:rFonts w:ascii="Open Sans;sans-serif" w:hAnsi="Open Sans;sans-serif"/>
          <w:b/>
          <w:color w:val="813A74"/>
          <w:sz w:val="21"/>
          <w:u w:val="single"/>
        </w:rPr>
        <w:t>Investor Relations Media Relations</w:t>
      </w:r>
    </w:p>
    <w:p>
      <w:pPr>
        <w:pStyle w:val="TextBody"/>
        <w:bidi w:val="0"/>
        <w:ind w:left="0" w:right="0" w:firstLine="90"/>
        <w:jc w:val="left"/>
        <w:rPr>
          <w:rFonts w:ascii="Open Sans;sans-serif" w:hAnsi="Open Sans;sans-serif"/>
          <w:color w:val="000000"/>
          <w:sz w:val="21"/>
        </w:rPr>
      </w:pPr>
      <w:r>
        <w:rPr>
          <w:rFonts w:ascii="Open Sans;sans-serif" w:hAnsi="Open Sans;sans-serif"/>
          <w:color w:val="000000"/>
          <w:sz w:val="21"/>
        </w:rPr>
        <w:t>Oliver Moravcevic Robert Spirito</w:t>
      </w:r>
    </w:p>
    <w:p>
      <w:pPr>
        <w:pStyle w:val="TextBody"/>
        <w:bidi w:val="0"/>
        <w:ind w:left="0" w:right="0" w:firstLine="90"/>
        <w:jc w:val="left"/>
        <w:rPr>
          <w:rFonts w:ascii="Times New Roman" w:hAnsi="Times New Roman"/>
          <w:sz w:val="20"/>
        </w:rPr>
      </w:pPr>
      <w:r>
        <w:rPr>
          <w:rFonts w:ascii="Open Sans;sans-serif" w:hAnsi="Open Sans;sans-serif"/>
          <w:color w:val="000000"/>
          <w:sz w:val="21"/>
        </w:rPr>
        <w:t>omoravcevic@rxsight.com</w:t>
      </w:r>
      <w:r>
        <w:rPr>
          <w:rFonts w:ascii="Times New Roman" w:hAnsi="Times New Roman"/>
          <w:color w:val="000000"/>
          <w:sz w:val="20"/>
        </w:rPr>
        <w:t xml:space="preserve"> </w:t>
      </w:r>
      <w:r>
        <w:rPr>
          <w:rFonts w:ascii="Open Sans;sans-serif" w:hAnsi="Open Sans;sans-serif"/>
          <w:color w:val="0000FF"/>
          <w:sz w:val="21"/>
          <w:u w:val="single"/>
        </w:rPr>
        <w:t>rspirito@rxsight.com</w:t>
      </w:r>
      <w:r>
        <w:rPr>
          <w:rFonts w:ascii="Times New Roman" w:hAnsi="Times New Roman"/>
          <w:color w:val="000000"/>
          <w:sz w:val="20"/>
        </w:rPr>
        <w:t xml:space="preserve"> </w:t>
      </w:r>
    </w:p>
    <w:p>
      <w:pPr>
        <w:pStyle w:val="TextBody"/>
        <w:bidi w:val="0"/>
        <w:ind w:left="0" w:right="0" w:firstLine="9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From Alcon</w:t>
      </w:r>
      <w:r>
        <w:rPr>
          <w:rFonts w:ascii="Times New Roman" w:hAnsi="Times New Roman"/>
          <w:color w:val="000000"/>
          <w:sz w:val="24"/>
        </w:rPr>
        <w:t>:</w:t>
      </w:r>
    </w:p>
    <w:p>
      <w:pPr>
        <w:pStyle w:val="TextBody"/>
        <w:bidi w:val="0"/>
        <w:jc w:val="center"/>
        <w:rPr/>
      </w:pPr>
      <w:r>
        <w:rPr/>
        <w:t> </w:t>
      </w:r>
    </w:p>
    <w:p>
      <w:pPr>
        <w:pStyle w:val="TextBody"/>
        <w:bidi w:val="0"/>
        <w:jc w:val="center"/>
        <w:rPr>
          <w:rFonts w:ascii="Open Sans;sans-serif" w:hAnsi="Open Sans;sans-serif"/>
          <w:b/>
          <w:color w:val="00AEEF"/>
          <w:sz w:val="28"/>
        </w:rPr>
      </w:pPr>
      <w:r>
        <w:rPr>
          <w:rFonts w:ascii="Open Sans;sans-serif" w:hAnsi="Open Sans;sans-serif"/>
          <w:b/>
          <w:color w:val="00AEEF"/>
          <w:sz w:val="28"/>
        </w:rPr>
        <w:t>MEDIA RELEASE  COMMUNIQUE AUX MEDIAS  MEDIENMITTEILUNG</w:t>
      </w:r>
    </w:p>
    <w:p>
      <w:pPr>
        <w:pStyle w:val="TextBody"/>
        <w:bidi w:val="0"/>
        <w:jc w:val="both"/>
        <w:rPr/>
      </w:pPr>
      <w:r>
        <w:rPr/>
        <w:t> </w:t>
      </w:r>
    </w:p>
    <w:p>
      <w:pPr>
        <w:pStyle w:val="TextBody"/>
        <w:bidi w:val="0"/>
        <w:jc w:val="both"/>
        <w:rPr/>
      </w:pPr>
      <w:r>
        <w:rPr/>
        <w:t> </w:t>
      </w:r>
    </w:p>
    <w:p>
      <w:pPr>
        <w:pStyle w:val="TextBody"/>
        <w:bidi w:val="0"/>
        <w:jc w:val="left"/>
        <w:rPr>
          <w:rFonts w:ascii="Open Sans;sans-serif" w:hAnsi="Open Sans;sans-serif"/>
          <w:b/>
          <w:color w:val="003595"/>
          <w:sz w:val="34"/>
        </w:rPr>
      </w:pPr>
      <w:r>
        <w:rPr>
          <w:rFonts w:ascii="Open Sans;sans-serif" w:hAnsi="Open Sans;sans-serif"/>
          <w:b/>
          <w:color w:val="003595"/>
          <w:sz w:val="34"/>
        </w:rPr>
        <w:t>Alcon and RxSight Announce Collaboration to Develop Adjustable PCIOLs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Open Sans;sans-serif" w:hAnsi="Open Sans;sans-serif"/>
          <w:b/>
          <w:color w:val="000000"/>
          <w:sz w:val="24"/>
        </w:rPr>
        <w:t>Non-exclusive</w:t>
      </w:r>
      <w:r>
        <w:rPr>
          <w:color w:val="000000"/>
        </w:rPr>
        <w:t xml:space="preserve"> </w:t>
      </w:r>
      <w:r>
        <w:rPr>
          <w:rFonts w:ascii="Open Sans;sans-serif" w:hAnsi="Open Sans;sans-serif"/>
          <w:b/>
          <w:color w:val="000000"/>
          <w:sz w:val="24"/>
        </w:rPr>
        <w:t>license agreement for the development and commercialization of novel post-operative light adjustable PCIOL technologies</w:t>
      </w:r>
    </w:p>
    <w:p>
      <w:pPr>
        <w:pStyle w:val="TextBody"/>
        <w:bidi w:val="0"/>
        <w:spacing w:before="0" w:after="0"/>
        <w:jc w:val="left"/>
        <w:rPr>
          <w:color w:val="000000"/>
        </w:rPr>
      </w:pPr>
      <w:r>
        <w:rPr>
          <w:color w:val="000000"/>
        </w:rPr>
        <w:t>•</w:t>
      </w:r>
    </w:p>
    <w:p>
      <w:pPr>
        <w:pStyle w:val="TextBody"/>
        <w:bidi w:val="0"/>
        <w:jc w:val="left"/>
        <w:rPr>
          <w:rFonts w:ascii="Open Sans;sans-serif" w:hAnsi="Open Sans;sans-serif"/>
          <w:b/>
          <w:color w:val="000000"/>
          <w:sz w:val="24"/>
        </w:rPr>
      </w:pPr>
      <w:r>
        <w:rPr>
          <w:rFonts w:ascii="Open Sans;sans-serif" w:hAnsi="Open Sans;sans-serif"/>
          <w:b/>
          <w:color w:val="000000"/>
          <w:sz w:val="24"/>
        </w:rPr>
        <w:t>Collaboration aims to combine best-in-class PCIOL optics with first-in-class platform to enable fine-tuning of visual outcomes after cataract surgery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Open Sans;sans-serif" w:hAnsi="Open Sans;sans-serif"/>
          <w:b/>
          <w:color w:val="00AEEF"/>
          <w:sz w:val="21"/>
        </w:rPr>
        <w:t xml:space="preserve">GENEVA, July 6, 2026 – </w:t>
      </w:r>
      <w:r>
        <w:rPr>
          <w:rFonts w:ascii="Open Sans;sans-serif" w:hAnsi="Open Sans;sans-serif"/>
          <w:color w:val="000000"/>
          <w:sz w:val="21"/>
        </w:rPr>
        <w:t>Alcon (SIX/NYSE: ALC), the global leader in eye care dedicated to helping people see brilliantly, and RxSight, Inc. (NASDAQ: RXST), an ophthalmic medical device company dedicated to providing high-quality customized vision to patients following cataract surgery, today announced a non-exclusive collaboration to jointly develop adjustable presbyopia-correcting intraocular lenses (PCIOLs).</w:t>
      </w:r>
    </w:p>
    <w:p>
      <w:pPr>
        <w:pStyle w:val="TextBody"/>
        <w:bidi w:val="0"/>
        <w:jc w:val="left"/>
        <w:rPr/>
      </w:pPr>
      <w:r>
        <w:rPr/>
        <w:t> </w:t>
      </w:r>
    </w:p>
    <w:p>
      <w:pPr>
        <w:pStyle w:val="TextBody"/>
        <w:bidi w:val="0"/>
        <w:jc w:val="left"/>
        <w:rPr>
          <w:rFonts w:ascii="Open Sans;sans-serif" w:hAnsi="Open Sans;sans-serif"/>
          <w:color w:val="000000"/>
          <w:sz w:val="21"/>
        </w:rPr>
      </w:pPr>
      <w:r>
        <w:rPr>
          <w:rFonts w:ascii="Open Sans;sans-serif" w:hAnsi="Open Sans;sans-serif"/>
          <w:color w:val="000000"/>
          <w:sz w:val="21"/>
        </w:rPr>
        <w:t>Under the collaboration, the companies will be innovating on their respective platforms – RxSight's post-operative light-adjustable technology and Alcon's PCIOL optical designs – and combining them to create a co-developed technology that enables surgeons to fine-tune visual outcomes for their cataract patients who choose a PCIOL.</w:t>
      </w:r>
    </w:p>
    <w:p>
      <w:pPr>
        <w:pStyle w:val="TextBody"/>
        <w:bidi w:val="0"/>
        <w:jc w:val="left"/>
        <w:rPr/>
      </w:pPr>
      <w:r>
        <w:rPr/>
        <w:t> </w:t>
      </w:r>
    </w:p>
    <w:p>
      <w:pPr>
        <w:pStyle w:val="TextBody"/>
        <w:bidi w:val="0"/>
        <w:jc w:val="left"/>
        <w:rPr/>
      </w:pPr>
      <w:r>
        <w:rPr>
          <w:color w:val="000000"/>
        </w:rPr>
        <w:t>“</w:t>
      </w:r>
      <w:r>
        <w:rPr>
          <w:rFonts w:ascii="Open Sans;sans-serif" w:hAnsi="Open Sans;sans-serif"/>
          <w:color w:val="000000"/>
          <w:sz w:val="21"/>
        </w:rPr>
        <w:t>Our leading PCIOLs have helped millions of patients reduce or eliminate the need for glasses after cataract surgery,” said David J. Endicott, Chief Executive Officer of Alcon. “Together with RxSight’s technology, we have the opportunity to develop tunable PCIOLs, giving surgeons even greater confidence to refine outcomes after surgery.”</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Open Sans;sans-serif" w:hAnsi="Open Sans;sans-serif"/>
          <w:color w:val="000000"/>
          <w:sz w:val="21"/>
        </w:rPr>
        <w:t>We are excited to work with Alcon to provide patients greater access to outcomes customized to their needs after surgery,” said Ron Kurtz, President and Chief Executive Officer of RxSight. “This collaboration underscores our belief in the importance of adjustability and will help accelerate its expansion across a wider base of patients.”</w:t>
      </w:r>
    </w:p>
    <w:p>
      <w:pPr>
        <w:pStyle w:val="TextBody"/>
        <w:bidi w:val="0"/>
        <w:jc w:val="left"/>
        <w:rPr/>
      </w:pPr>
      <w:r>
        <w:rPr/>
        <w:t> </w:t>
      </w:r>
    </w:p>
    <w:p>
      <w:pPr>
        <w:pStyle w:val="TextBody"/>
        <w:bidi w:val="0"/>
        <w:jc w:val="left"/>
        <w:rPr>
          <w:rFonts w:ascii="Open Sans;sans-serif" w:hAnsi="Open Sans;sans-serif"/>
          <w:color w:val="000000"/>
          <w:sz w:val="21"/>
        </w:rPr>
      </w:pPr>
      <w:r>
        <w:rPr>
          <w:rFonts w:ascii="Open Sans;sans-serif" w:hAnsi="Open Sans;sans-serif"/>
          <w:color w:val="000000"/>
          <w:sz w:val="21"/>
        </w:rPr>
        <w:t>As part of the agreement, RxSight will receive a $60 million upfront payment to begin development. RxSight could receive up to an additional $140 million in payments as development and regulatory milestones are met. Under the agreement, Alcon will lead global commercialization, while RxSight will be responsible for development and manufacturing and receive royalties on net sales.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Open Sans;sans-serif" w:hAnsi="Open Sans;sans-serif"/>
          <w:b/>
          <w:color w:val="003595"/>
          <w:sz w:val="21"/>
          <w:u w:val="single"/>
        </w:rPr>
      </w:pPr>
      <w:r>
        <w:rPr>
          <w:rFonts w:ascii="Open Sans;sans-serif" w:hAnsi="Open Sans;sans-serif"/>
          <w:b/>
          <w:color w:val="003595"/>
          <w:sz w:val="21"/>
          <w:u w:val="single"/>
        </w:rPr>
        <w:t>About Alcon</w:t>
      </w:r>
    </w:p>
    <w:p>
      <w:pPr>
        <w:pStyle w:val="TextBody"/>
        <w:bidi w:val="0"/>
        <w:jc w:val="left"/>
        <w:rPr>
          <w:rFonts w:ascii="Open Sans;sans-serif" w:hAnsi="Open Sans;sans-serif"/>
          <w:color w:val="000000"/>
          <w:sz w:val="21"/>
        </w:rPr>
      </w:pPr>
      <w:r>
        <w:rPr>
          <w:rFonts w:ascii="Open Sans;sans-serif" w:hAnsi="Open Sans;sans-serif"/>
          <w:color w:val="000000"/>
          <w:sz w:val="21"/>
        </w:rPr>
        <w:t>Alcon helps people see brilliantly. As the global leader in eye care with a heritage spanning over 75 years, we offer the broadest portfolio of products to enhance sight and improve people’s lives. Our Surgical and Vision Care products touch the lives of more than 260 million people in over 140 countries and territories each year living with conditions like cataracts, glaucoma, retinal diseases and refractive errors. Our more than 25,000 associates are enhancing the quality of life through innovative products, partnerships with Eye Care Professionals and programs that advance access to quality eye care. Learn more at www.alcon.com.</w:t>
      </w:r>
    </w:p>
    <w:p>
      <w:pPr>
        <w:pStyle w:val="TextBody"/>
        <w:bidi w:val="0"/>
        <w:jc w:val="both"/>
        <w:rPr/>
      </w:pPr>
      <w:r>
        <w:rPr/>
        <w:t> </w:t>
      </w:r>
    </w:p>
    <w:p>
      <w:pPr>
        <w:pStyle w:val="TextBody"/>
        <w:bidi w:val="0"/>
        <w:jc w:val="left"/>
        <w:rPr>
          <w:rFonts w:ascii="Open Sans;sans-serif" w:hAnsi="Open Sans;sans-serif"/>
          <w:b/>
          <w:color w:val="003595"/>
          <w:sz w:val="21"/>
          <w:u w:val="single"/>
        </w:rPr>
      </w:pPr>
      <w:r>
        <w:rPr>
          <w:rFonts w:ascii="Open Sans;sans-serif" w:hAnsi="Open Sans;sans-serif"/>
          <w:b/>
          <w:color w:val="003595"/>
          <w:sz w:val="21"/>
          <w:u w:val="single"/>
        </w:rPr>
        <w:t>About RxSight, Inc.</w:t>
      </w:r>
    </w:p>
    <w:p>
      <w:pPr>
        <w:pStyle w:val="TextBody"/>
        <w:bidi w:val="0"/>
        <w:jc w:val="both"/>
        <w:rPr>
          <w:rFonts w:ascii="Times New Roman" w:hAnsi="Times New Roman"/>
          <w:sz w:val="20"/>
        </w:rPr>
      </w:pPr>
      <w:r>
        <w:rPr>
          <w:rFonts w:ascii="Open Sans;sans-serif" w:hAnsi="Open Sans;sans-serif"/>
          <w:color w:val="000000"/>
          <w:sz w:val="21"/>
        </w:rPr>
        <w:t>RxSight, Inc. is an ophthalmic medical device company dedicated to providing high-quality customized vision to patients following cataract surgery. The RxSight® Light Adjustable Lens system, comprised of the RxSight Light Adjustable Lens</w:t>
      </w:r>
      <w:r>
        <w:rPr>
          <w:rFonts w:ascii="Open Sans;sans-serif" w:hAnsi="Open Sans;sans-serif"/>
          <w:color w:val="000000"/>
          <w:sz w:val="14"/>
        </w:rPr>
        <w:t>®</w:t>
      </w:r>
      <w:r>
        <w:rPr>
          <w:rFonts w:ascii="Times New Roman" w:hAnsi="Times New Roman"/>
          <w:color w:val="000000"/>
          <w:sz w:val="20"/>
        </w:rPr>
        <w:t xml:space="preserve"> </w:t>
      </w:r>
      <w:r>
        <w:rPr>
          <w:rFonts w:ascii="Open Sans;sans-serif" w:hAnsi="Open Sans;sans-serif"/>
          <w:color w:val="000000"/>
          <w:sz w:val="21"/>
        </w:rPr>
        <w:t>(LAL</w:t>
      </w:r>
      <w:r>
        <w:rPr>
          <w:rFonts w:ascii="Open Sans;sans-serif" w:hAnsi="Open Sans;sans-serif"/>
          <w:color w:val="000000"/>
          <w:sz w:val="14"/>
        </w:rPr>
        <w:t>®</w:t>
      </w:r>
      <w:r>
        <w:rPr>
          <w:rFonts w:ascii="Open Sans;sans-serif" w:hAnsi="Open Sans;sans-serif"/>
          <w:color w:val="000000"/>
          <w:sz w:val="21"/>
        </w:rPr>
        <w:t>/LAL+</w:t>
      </w:r>
      <w:r>
        <w:rPr>
          <w:rFonts w:ascii="Open Sans;sans-serif" w:hAnsi="Open Sans;sans-serif"/>
          <w:color w:val="000000"/>
          <w:sz w:val="14"/>
        </w:rPr>
        <w:t>®</w:t>
      </w:r>
      <w:r>
        <w:rPr>
          <w:rFonts w:ascii="Open Sans;sans-serif" w:hAnsi="Open Sans;sans-serif"/>
          <w:color w:val="000000"/>
          <w:sz w:val="21"/>
        </w:rPr>
        <w:t>,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www.rxsight.com.</w:t>
      </w:r>
    </w:p>
    <w:p>
      <w:pPr>
        <w:pStyle w:val="TextBody"/>
        <w:bidi w:val="0"/>
        <w:jc w:val="both"/>
        <w:rPr/>
      </w:pPr>
      <w:r>
        <w:rPr/>
        <w:t> </w:t>
      </w:r>
    </w:p>
    <w:p>
      <w:pPr>
        <w:pStyle w:val="TextBody"/>
        <w:bidi w:val="0"/>
        <w:ind w:left="0" w:right="274" w:hanging="0"/>
        <w:jc w:val="both"/>
        <w:rPr>
          <w:rFonts w:ascii="Open Sans;sans-serif" w:hAnsi="Open Sans;sans-serif"/>
          <w:b/>
          <w:color w:val="1F487C"/>
          <w:sz w:val="21"/>
        </w:rPr>
      </w:pPr>
      <w:r>
        <w:rPr>
          <w:rFonts w:ascii="Open Sans;sans-serif" w:hAnsi="Open Sans;sans-serif"/>
          <w:b/>
          <w:color w:val="1F487C"/>
          <w:sz w:val="21"/>
        </w:rPr>
        <w:t>Connect with us on</w:t>
      </w:r>
    </w:p>
    <w:p>
      <w:pPr>
        <w:pStyle w:val="TextBody"/>
        <w:bidi w:val="0"/>
        <w:ind w:left="0" w:right="274" w:hanging="0"/>
        <w:jc w:val="left"/>
        <w:rPr/>
      </w:pPr>
      <w:r>
        <w:rPr/>
        <w:t> </w:t>
      </w:r>
    </w:p>
    <w:p>
      <w:pPr>
        <w:pStyle w:val="TextBody"/>
        <w:bidi w:val="0"/>
        <w:ind w:left="0" w:right="274" w:hanging="0"/>
        <w:jc w:val="left"/>
        <w:rPr/>
      </w:pPr>
      <w:r>
        <w:rPr/>
        <w:drawing>
          <wp:inline distT="0" distB="0" distL="0" distR="0">
            <wp:extent cx="36195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361950" cy="361950"/>
                    </a:xfrm>
                    <a:prstGeom prst="rect">
                      <a:avLst/>
                    </a:prstGeom>
                  </pic:spPr>
                </pic:pic>
              </a:graphicData>
            </a:graphic>
          </wp:inline>
        </w:drawing>
      </w:r>
      <w:r>
        <w:rPr>
          <w:color w:val="1F487C"/>
        </w:rPr>
        <w:t xml:space="preserve"> </w:t>
      </w:r>
      <w:r>
        <w:rPr/>
        <w:drawing>
          <wp:inline distT="0" distB="0" distL="0" distR="0">
            <wp:extent cx="36195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361950" cy="361950"/>
                    </a:xfrm>
                    <a:prstGeom prst="rect">
                      <a:avLst/>
                    </a:prstGeom>
                  </pic:spPr>
                </pic:pic>
              </a:graphicData>
            </a:graphic>
          </wp:inline>
        </w:drawing>
      </w:r>
    </w:p>
    <w:p>
      <w:pPr>
        <w:pStyle w:val="TextBody"/>
        <w:bidi w:val="0"/>
        <w:ind w:left="0" w:right="270" w:hanging="0"/>
        <w:jc w:val="center"/>
        <w:rPr/>
      </w:pPr>
      <w:r>
        <w:rPr/>
        <w:t> </w:t>
      </w:r>
    </w:p>
    <w:p>
      <w:pPr>
        <w:pStyle w:val="TextBody"/>
        <w:pBdr>
          <w:bottom w:val="single" w:sz="8" w:space="1" w:color="A0A0A0"/>
        </w:pBdr>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Open Sans;sans-serif" w:hAnsi="Open Sans;sans-serif"/>
          <w:b/>
          <w:color w:val="00AEEF"/>
          <w:sz w:val="21"/>
          <w:u w:val="single"/>
        </w:rPr>
      </w:pPr>
      <w:r>
        <w:rPr>
          <w:rFonts w:ascii="Open Sans;sans-serif" w:hAnsi="Open Sans;sans-serif"/>
          <w:b/>
          <w:color w:val="00AEEF"/>
          <w:sz w:val="21"/>
          <w:u w:val="single"/>
        </w:rPr>
        <w:t>Investor Relations</w:t>
      </w:r>
    </w:p>
    <w:p>
      <w:pPr>
        <w:pStyle w:val="TextBody"/>
        <w:bidi w:val="0"/>
        <w:jc w:val="both"/>
        <w:rPr>
          <w:rFonts w:ascii="Open Sans;sans-serif" w:hAnsi="Open Sans;sans-serif"/>
          <w:color w:val="000000"/>
          <w:sz w:val="21"/>
        </w:rPr>
      </w:pPr>
      <w:r>
        <w:rPr>
          <w:rFonts w:ascii="Open Sans;sans-serif" w:hAnsi="Open Sans;sans-serif"/>
          <w:color w:val="000000"/>
          <w:sz w:val="21"/>
        </w:rPr>
        <w:t>Daniel Cravens</w:t>
      </w:r>
    </w:p>
    <w:p>
      <w:pPr>
        <w:pStyle w:val="TextBody"/>
        <w:bidi w:val="0"/>
        <w:jc w:val="both"/>
        <w:rPr>
          <w:rFonts w:ascii="Open Sans;sans-serif" w:hAnsi="Open Sans;sans-serif"/>
          <w:color w:val="000000"/>
          <w:sz w:val="21"/>
        </w:rPr>
      </w:pPr>
      <w:r>
        <w:rPr>
          <w:rFonts w:ascii="Open Sans;sans-serif" w:hAnsi="Open Sans;sans-serif"/>
          <w:color w:val="000000"/>
          <w:sz w:val="21"/>
        </w:rPr>
        <w:t>+ 41 589 112 110 (Geneva)</w:t>
      </w:r>
    </w:p>
    <w:p>
      <w:pPr>
        <w:pStyle w:val="TextBody"/>
        <w:bidi w:val="0"/>
        <w:jc w:val="both"/>
        <w:rPr>
          <w:rFonts w:ascii="Open Sans;sans-serif" w:hAnsi="Open Sans;sans-serif"/>
          <w:color w:val="000000"/>
          <w:sz w:val="21"/>
        </w:rPr>
      </w:pPr>
      <w:r>
        <w:rPr>
          <w:rFonts w:ascii="Open Sans;sans-serif" w:hAnsi="Open Sans;sans-serif"/>
          <w:color w:val="000000"/>
          <w:sz w:val="21"/>
        </w:rPr>
        <w:t>+ 1 817 615 2789 (Fort Worth)</w:t>
      </w:r>
    </w:p>
    <w:p>
      <w:pPr>
        <w:pStyle w:val="TextBody"/>
        <w:bidi w:val="0"/>
        <w:jc w:val="both"/>
        <w:rPr>
          <w:rFonts w:ascii="Open Sans;sans-serif" w:hAnsi="Open Sans;sans-serif"/>
          <w:color w:val="000000"/>
          <w:sz w:val="21"/>
        </w:rPr>
      </w:pPr>
      <w:r>
        <w:rPr>
          <w:rFonts w:ascii="Open Sans;sans-serif" w:hAnsi="Open Sans;sans-serif"/>
          <w:color w:val="000000"/>
          <w:sz w:val="21"/>
        </w:rPr>
        <w:t>investor.relations@alcon.com</w:t>
      </w:r>
    </w:p>
    <w:p>
      <w:pPr>
        <w:pStyle w:val="TextBody"/>
        <w:bidi w:val="0"/>
        <w:jc w:val="both"/>
        <w:rPr/>
      </w:pPr>
      <w:r>
        <w:rPr/>
        <w:t> </w:t>
      </w:r>
    </w:p>
    <w:p>
      <w:pPr>
        <w:pStyle w:val="TextBody"/>
        <w:bidi w:val="0"/>
        <w:jc w:val="both"/>
        <w:rPr>
          <w:rFonts w:ascii="Open Sans;sans-serif" w:hAnsi="Open Sans;sans-serif"/>
          <w:b/>
          <w:color w:val="00AEEF"/>
          <w:sz w:val="21"/>
          <w:u w:val="single"/>
        </w:rPr>
      </w:pPr>
      <w:r>
        <w:rPr>
          <w:rFonts w:ascii="Open Sans;sans-serif" w:hAnsi="Open Sans;sans-serif"/>
          <w:b/>
          <w:color w:val="00AEEF"/>
          <w:sz w:val="21"/>
          <w:u w:val="single"/>
        </w:rPr>
        <w:t>Media Relations</w:t>
      </w:r>
    </w:p>
    <w:p>
      <w:pPr>
        <w:pStyle w:val="TextBody"/>
        <w:bidi w:val="0"/>
        <w:jc w:val="both"/>
        <w:rPr>
          <w:rFonts w:ascii="Open Sans;sans-serif" w:hAnsi="Open Sans;sans-serif"/>
          <w:color w:val="000000"/>
          <w:sz w:val="21"/>
        </w:rPr>
      </w:pPr>
      <w:r>
        <w:rPr>
          <w:rFonts w:ascii="Open Sans;sans-serif" w:hAnsi="Open Sans;sans-serif"/>
          <w:color w:val="000000"/>
          <w:sz w:val="21"/>
        </w:rPr>
        <w:t>Steven Smith</w:t>
      </w:r>
    </w:p>
    <w:p>
      <w:pPr>
        <w:pStyle w:val="TextBody"/>
        <w:bidi w:val="0"/>
        <w:jc w:val="both"/>
        <w:rPr>
          <w:rFonts w:ascii="Open Sans;sans-serif" w:hAnsi="Open Sans;sans-serif"/>
          <w:color w:val="000000"/>
          <w:sz w:val="21"/>
        </w:rPr>
      </w:pPr>
      <w:r>
        <w:rPr>
          <w:rFonts w:ascii="Open Sans;sans-serif" w:hAnsi="Open Sans;sans-serif"/>
          <w:color w:val="000000"/>
          <w:sz w:val="21"/>
        </w:rPr>
        <w:t>+ 41 589 112 111 (Geneva)</w:t>
      </w:r>
    </w:p>
    <w:p>
      <w:pPr>
        <w:pStyle w:val="TextBody"/>
        <w:bidi w:val="0"/>
        <w:jc w:val="both"/>
        <w:rPr>
          <w:rFonts w:ascii="Open Sans;sans-serif" w:hAnsi="Open Sans;sans-serif"/>
          <w:color w:val="000000"/>
          <w:sz w:val="21"/>
        </w:rPr>
      </w:pPr>
      <w:r>
        <w:rPr>
          <w:rFonts w:ascii="Open Sans;sans-serif" w:hAnsi="Open Sans;sans-serif"/>
          <w:color w:val="000000"/>
          <w:sz w:val="21"/>
        </w:rPr>
        <w:t>+ 1 817 551 8057 (Fort Worth)</w:t>
      </w:r>
    </w:p>
    <w:p>
      <w:pPr>
        <w:pStyle w:val="TextBody"/>
        <w:bidi w:val="0"/>
        <w:jc w:val="both"/>
        <w:rPr>
          <w:rFonts w:ascii="Open Sans;sans-serif" w:hAnsi="Open Sans;sans-serif"/>
          <w:color w:val="000000"/>
          <w:sz w:val="21"/>
        </w:rPr>
      </w:pPr>
      <w:r>
        <w:rPr>
          <w:rFonts w:ascii="Open Sans;sans-serif" w:hAnsi="Open Sans;sans-serif"/>
          <w:color w:val="000000"/>
          <w:sz w:val="21"/>
        </w:rPr>
        <w:t>globalmedia.relations@alcon.com</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Schedule 1.150</w:t>
        <w:br/>
      </w:r>
      <w:r>
        <w:rPr>
          <w:rFonts w:ascii="Times New Roman" w:hAnsi="Times New Roman"/>
          <w:color w:val="000000"/>
          <w:sz w:val="20"/>
          <w:u w:val="single"/>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Product-Specific Patents</w:t>
      </w:r>
    </w:p>
    <w:p>
      <w:pPr>
        <w:pStyle w:val="TextBody"/>
        <w:bidi w:val="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1.180</w:t>
      </w:r>
    </w:p>
    <w:p>
      <w:pPr>
        <w:pStyle w:val="TextBody"/>
        <w:bidi w:val="0"/>
        <w:ind w:left="0" w:right="0" w:firstLine="720"/>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RxSight Trademarks</w:t>
        <w:br/>
      </w:r>
      <w:r>
        <w:rPr>
          <w:rFonts w:ascii="Times New Roman" w:hAnsi="Times New Roman"/>
          <w:color w:val="000000"/>
          <w:sz w:val="20"/>
          <w:u w:val="single"/>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3.1.5</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Permitted Subcontractors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r>
    </w:p>
    <w:p>
      <w:pPr>
        <w:pStyle w:val="TextBody"/>
        <w:bidi w:val="0"/>
        <w:ind w:left="0" w:right="33" w:hanging="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13.2.3(a)</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Existing RxSight Patents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13.3.3(a)</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Existing Alcon Patents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2"/>
        </w:rPr>
      </w:pPr>
      <w:bookmarkStart w:id="31" w:name="rxst-ex10_4.htm"/>
      <w:bookmarkStart w:id="32" w:name="ksrxstex10_4"/>
      <w:bookmarkEnd w:id="31"/>
      <w:bookmarkEnd w:id="32"/>
      <w:r>
        <w:rPr>
          <w:rFonts w:ascii="Times New Roman" w:hAnsi="Times New Roman"/>
          <w:b/>
          <w:color w:val="000000"/>
          <w:sz w:val="22"/>
        </w:rPr>
        <w:t>EXHIBIT 10.4</w:t>
      </w:r>
      <w:r>
        <w:br w:type="page"/>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CONSULTING AGREEMENT</w:t>
      </w:r>
    </w:p>
    <w:p>
      <w:pPr>
        <w:pStyle w:val="TextBody"/>
        <w:bidi w:val="0"/>
        <w:spacing w:before="0" w:after="120"/>
        <w:jc w:val="both"/>
        <w:rPr>
          <w:rFonts w:ascii="Times New Roman" w:hAnsi="Times New Roman"/>
          <w:sz w:val="20"/>
        </w:rPr>
      </w:pPr>
      <w:r>
        <w:rPr>
          <w:rFonts w:ascii="Times New Roman" w:hAnsi="Times New Roman"/>
          <w:color w:val="000000"/>
          <w:sz w:val="22"/>
        </w:rPr>
        <w:t>This Consulting Agreement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effective as of June 1, 2026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between RxSight, Inc.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Systemize Partners, LLC (“</w:t>
      </w:r>
      <w:r>
        <w:rPr>
          <w:rFonts w:ascii="Times New Roman" w:hAnsi="Times New Roman"/>
          <w:b/>
          <w:i/>
          <w:color w:val="000000"/>
          <w:sz w:val="22"/>
        </w:rPr>
        <w:t>Consultant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20"/>
        <w:ind w:left="0" w:right="0" w:firstLine="720"/>
        <w:jc w:val="both"/>
        <w:rPr>
          <w:rFonts w:ascii="Times New Roman" w:hAnsi="Times New Roman"/>
          <w:sz w:val="20"/>
        </w:rPr>
      </w:pPr>
      <w:r>
        <w:rPr>
          <w:rFonts w:ascii="Times New Roman" w:hAnsi="Times New Roman"/>
          <w:color w:val="000000"/>
          <w:sz w:val="22"/>
        </w:rPr>
        <w:t>The Company desires to retain Consultant as an independent contractor to perform consulting services for the Company provided that Scott Gaines provides the Services (as defined below) on behalf of Consultant, and Consultant is willing to perform such services, on the terms described below.</w:t>
      </w:r>
      <w:r>
        <w:rPr>
          <w:rFonts w:ascii="Times New Roman" w:hAnsi="Times New Roman"/>
          <w:color w:val="000000"/>
          <w:sz w:val="20"/>
        </w:rPr>
        <w:t xml:space="preserve">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In consideration of the mutual promises contained herein, the parties agree as follows:</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Services and Compensation</w:t>
      </w:r>
    </w:p>
    <w:p>
      <w:pPr>
        <w:pStyle w:val="Heading1"/>
        <w:bidi w:val="0"/>
        <w:spacing w:before="0" w:after="120"/>
        <w:ind w:left="0" w:right="0" w:firstLine="720"/>
        <w:jc w:val="both"/>
        <w:rPr>
          <w:rFonts w:ascii="Times New Roman" w:hAnsi="Times New Roman"/>
          <w:sz w:val="20"/>
        </w:rPr>
      </w:pPr>
      <w:r>
        <w:rPr>
          <w:rFonts w:ascii="Times New Roman" w:hAnsi="Times New Roman"/>
          <w:b w:val="false"/>
          <w:color w:val="000000"/>
          <w:sz w:val="22"/>
        </w:rPr>
        <w:t xml:space="preserve">Consultant will perform the services described in </w:t>
      </w:r>
      <w:r>
        <w:rPr>
          <w:rFonts w:ascii="Times New Roman" w:hAnsi="Times New Roman"/>
          <w:color w:val="000000"/>
          <w:sz w:val="22"/>
        </w:rPr>
        <w:t>Exhibit A.1</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i/>
          <w:color w:val="000000"/>
          <w:sz w:val="22"/>
        </w:rPr>
        <w:t>Services</w:t>
      </w:r>
      <w:r>
        <w:rPr>
          <w:rFonts w:ascii="Times New Roman" w:hAnsi="Times New Roman"/>
          <w:color w:val="000000"/>
          <w:sz w:val="20"/>
        </w:rPr>
        <w:t>”</w:t>
      </w:r>
      <w:r>
        <w:rPr>
          <w:rFonts w:ascii="Times New Roman" w:hAnsi="Times New Roman"/>
          <w:b w:val="false"/>
          <w:color w:val="000000"/>
          <w:sz w:val="22"/>
        </w:rPr>
        <w:t xml:space="preserve">) for the Company (or its designee) and cause such Services to be provided by Scott Gaines, and the Company agrees to pay Consultant the compensation described in </w:t>
      </w:r>
      <w:r>
        <w:rPr>
          <w:rFonts w:ascii="Times New Roman" w:hAnsi="Times New Roman"/>
          <w:color w:val="000000"/>
          <w:sz w:val="22"/>
        </w:rPr>
        <w:t>Exhibit A.1</w:t>
      </w:r>
      <w:r>
        <w:rPr>
          <w:rFonts w:ascii="Times New Roman" w:hAnsi="Times New Roman"/>
          <w:color w:val="000000"/>
          <w:sz w:val="20"/>
        </w:rPr>
        <w:t xml:space="preserve"> </w:t>
      </w:r>
      <w:r>
        <w:rPr>
          <w:rFonts w:ascii="Times New Roman" w:hAnsi="Times New Roman"/>
          <w:b w:val="false"/>
          <w:color w:val="000000"/>
          <w:sz w:val="22"/>
        </w:rPr>
        <w:t>for Consultant’s performance of the Services.</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Confidentiality</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pPr>
      <w:r>
        <w:rPr>
          <w:rFonts w:ascii="Times New Roman" w:hAnsi="Times New Roman"/>
          <w:b/>
          <w:i/>
          <w:color w:val="000000"/>
          <w:sz w:val="22"/>
        </w:rPr>
        <w:t>Definition of Confidential Information</w:t>
      </w:r>
      <w:r>
        <w:rPr>
          <w:rFonts w:ascii="Times New Roman" w:hAnsi="Times New Roman"/>
          <w:b/>
          <w:color w:val="000000"/>
          <w:sz w:val="22"/>
        </w:rPr>
        <w:t>.</w:t>
      </w:r>
      <w:r>
        <w:rPr>
          <w:color w:val="000000"/>
        </w:rPr>
        <w:t xml:space="preserve"> “</w:t>
      </w:r>
      <w:r>
        <w:rPr>
          <w:rFonts w:ascii="Times New Roman" w:hAnsi="Times New Roman"/>
          <w:b/>
          <w:i/>
          <w:color w:val="000000"/>
          <w:sz w:val="22"/>
        </w:rPr>
        <w:t>Company Confidential Information</w:t>
      </w:r>
      <w:r>
        <w:rPr>
          <w:color w:val="000000"/>
        </w:rPr>
        <w:t xml:space="preserve">” </w:t>
      </w:r>
      <w:r>
        <w:rPr>
          <w:rFonts w:ascii="Times New Roman" w:hAnsi="Times New Roman"/>
          <w:color w:val="000000"/>
          <w:sz w:val="22"/>
        </w:rPr>
        <w:t>means any information (including any and all combinations of individual items of information) that the Company has or will develop, acquire, create, compile, discover or own, that has value in or to the Company’s business which is not generally known and which the Company wishes to maintain as confidential. Company Confidential Information includes both (i) information created by others that Consultant learns or that becomes available to Consultant through the Company or its agents; and (ii) information that Consultant creates that the Company owns under Section 3 of this Agreement. By way of example, and without limitation, Company Confidential Information includes any and all non-public information that relates to the actual or anticipated business and/or products, research or development of the Company, its affiliates or subsidiaries, or to the Company’s or its affiliates’ or subsidiaries’ technical data, trade secrets, or know-how, including, but not limited to, research, product plans, or other information regarding the Company’s or its affiliates’ or subsidiaries’ products or services and markets therefor, customer lists and customers (including, but not limited to, customers of the Company on which Consultant called or with which Consultant becomes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Company property. Notwithstanding the foregoing, Company Confidential Information does not include general knowledge, skill, and experience that Consultant has acquired during the course of or in connection with Consultant’s performance of the Services or from a former employer. Company Confidential Information will not include any such information which Consultant can establish (i) was publicly known or made generally available prior to the time of disclosure by the Company to Consultant; (ii) becomes publicly known or made generally available after disclosure by the Company to Consultant through no wrongful action or omission by Consultant; or (iii) is in Consultant’s rightful possession, without confidentiality obligations, at the time of disclosure by the Company as shown by Consultant’s then-contemporaneous written records; provided that any combination of individual items of information will not be deemed to be within any of the foregoing exceptions merely because one or more of the individual items are within such exception, unless the combination as a whole is within such exception.</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b/>
          <w:i/>
          <w:color w:val="000000"/>
          <w:sz w:val="22"/>
        </w:rPr>
        <w:t>Nonuse and Nondisclosure</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During and after the term of this Agreement, Consultant will hold in the strictest confidence, and take all reasonable precautions to prevent any unauthorized use or disclosure of, Company Confidential Information. Consultant will not (i) use Company Confidential Information for any purpose whatsoever other than as necessary for the performance of the Services on behalf of the Company, or (ii) subject to Consultant’s right to engage in protected conduct (as described in the Protected Activity Not Prohibited section below), disclose Company Confidential Information to any third party without the prior written consent of an authorized representative of the Company, except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pPr>
      <w:r>
        <w:rPr>
          <w:rFonts w:ascii="Times New Roman" w:hAnsi="Times New Roman"/>
          <w:color w:val="000000"/>
          <w:sz w:val="22"/>
        </w:rPr>
        <w:t xml:space="preserve">Consultant may disclose Confidential Information to the extent compelled by applicable law or as required for purposes of carrying out the Services; </w:t>
      </w:r>
      <w:r>
        <w:rPr>
          <w:rFonts w:ascii="Times New Roman" w:hAnsi="Times New Roman"/>
          <w:i/>
          <w:color w:val="000000"/>
          <w:sz w:val="22"/>
        </w:rPr>
        <w:t>provided however</w:t>
      </w:r>
      <w:r>
        <w:rPr>
          <w:rFonts w:ascii="Times New Roman" w:hAnsi="Times New Roman"/>
          <w:color w:val="000000"/>
          <w:sz w:val="22"/>
        </w:rPr>
        <w:t>, prior to such disclosure, Consultant will provide prior written notice to the Company and seek a protective order or such similar confidential protection as may be available under applicable law. Consultant agrees that no ownership of Company Confidential Information is conveyed to Consultant. Without limiting the foregoing, Consultant will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will continue after the termination of this Agreement. Nothing in this Agreement prevents workers from engaging in protected conduct, as described in the Protected Activity Not Prohibited section below.</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b/>
          <w:i/>
          <w:color w:val="000000"/>
          <w:sz w:val="22"/>
        </w:rPr>
        <w:t>Other Client Confidential Information</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Consultant agrees that Consultant will not improperly use, disclose, or induce the Company to use any proprietary information or trade secrets of any former or current employer of Consultant or other person or entity with which Consultant has an obligation to keep such proprietary information or trade secrets in confidence. Consultant further agrees that Consultant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 and the Company.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Ownership</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Fonts w:ascii="Times New Roman" w:hAnsi="Times New Roman"/>
          <w:b/>
          <w:i/>
          <w:color w:val="000000"/>
          <w:sz w:val="22"/>
        </w:rPr>
        <w:t>Assignment of Inventions</w:t>
      </w:r>
      <w:r>
        <w:rPr>
          <w:rFonts w:ascii="Times New Roman" w:hAnsi="Times New Roman"/>
          <w:b/>
          <w:color w:val="000000"/>
          <w:sz w:val="22"/>
        </w:rPr>
        <w:t>.</w:t>
      </w:r>
      <w:r>
        <w:rPr>
          <w:color w:val="000000"/>
        </w:rPr>
        <w:t xml:space="preserve"> </w:t>
      </w:r>
      <w:r>
        <w:rPr>
          <w:rFonts w:ascii="Times New Roman" w:hAnsi="Times New Roman"/>
          <w:color w:val="000000"/>
          <w:sz w:val="22"/>
        </w:rPr>
        <w:t>As between the Company and Consultant, Consultant agrees that all right, title, and interest in and to any and all copyrightable material, notes, records, drawings, designs, logos,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hAnsi="Times New Roman"/>
          <w:b/>
          <w:i/>
          <w:color w:val="000000"/>
          <w:sz w:val="22"/>
        </w:rPr>
        <w:t>Inventions</w:t>
      </w:r>
      <w:r>
        <w:rPr>
          <w:color w:val="000000"/>
        </w:rPr>
        <w:t>”</w:t>
      </w:r>
      <w:r>
        <w:rPr>
          <w:rFonts w:ascii="Times New Roman" w:hAnsi="Times New Roman"/>
          <w:color w:val="000000"/>
          <w:sz w:val="22"/>
        </w:rPr>
        <w:t>), are the sole property of the Company. Consultant also agrees to promptly make full written disclosure to the Company of any Inventions and to deliver and assign (or cause to be assigned) and hereby irrevocably assigns fully to the Company all of Consultant’s right, title and interest in and to the Inventions. Consultant agrees that this assignment includes a present conveyance to the Company of ownership of Inventions that are not yet in existence. Consultant understands and agrees that the decision whether or not to commercialize or market any Inventions is within the Company’s sole discretion and for the Company’s sole benefit, and that no royalty or other consideration will be due to Consultant as a result of the Company’s efforts to commercialize or market any such Inventions.</w:t>
      </w:r>
      <w:bookmarkStart w:id="33" w:name="ole_link19"/>
      <w:bookmarkEnd w:id="3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b/>
          <w:i/>
          <w:color w:val="000000"/>
          <w:sz w:val="22"/>
        </w:rPr>
        <w:t>Pre-Existing Material</w:t>
      </w:r>
      <w:r>
        <w:rPr>
          <w:rFonts w:ascii="Times New Roman" w:hAnsi="Times New Roman"/>
          <w:b/>
          <w:color w:val="000000"/>
          <w:sz w:val="22"/>
        </w:rPr>
        <w:t>s.</w:t>
      </w:r>
      <w:r>
        <w:rPr>
          <w:color w:val="000000"/>
        </w:rPr>
        <w:t xml:space="preserve"> </w:t>
      </w:r>
      <w:r>
        <w:rPr>
          <w:rFonts w:ascii="Times New Roman" w:hAnsi="Times New Roman"/>
          <w:color w:val="000000"/>
          <w:sz w:val="22"/>
        </w:rPr>
        <w:t>Subject to Section 3.A, Consultant will inform the Company, in writing, before incorporating any inventions, discoveries, ideas, original works of authorship, developments, improvements, trade secrets, and other proprietary information or intellectual property rights owned by Consultant or in which Consultant has an interest, prior to, or separate from, performing the Services under this Agreement (“</w:t>
      </w:r>
      <w:r>
        <w:rPr>
          <w:rFonts w:ascii="Times New Roman" w:hAnsi="Times New Roman"/>
          <w:b/>
          <w:i/>
          <w:color w:val="000000"/>
          <w:sz w:val="22"/>
        </w:rPr>
        <w:t>Prior Invention</w:t>
      </w:r>
      <w:r>
        <w:rPr>
          <w:rFonts w:ascii="Times New Roman" w:hAnsi="Times New Roman"/>
          <w:i/>
          <w:color w:val="000000"/>
          <w:sz w:val="22"/>
        </w:rPr>
        <w:t>s</w:t>
      </w:r>
      <w:r>
        <w:rPr>
          <w:color w:val="000000"/>
        </w:rPr>
        <w:t>”</w:t>
      </w:r>
      <w:r>
        <w:rPr>
          <w:rFonts w:ascii="Times New Roman" w:hAnsi="Times New Roman"/>
          <w:color w:val="000000"/>
          <w:sz w:val="22"/>
        </w:rPr>
        <w:t xml:space="preserve">) into any Invention or otherwise utilizing any Prior Invention in the course of performing the Services;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incorporated or utilized Prior Inventions, without restriction, including, without limitation, as part of or in connection with such Invention, and to practice any method related thereto. Consultant will not incorporate any inventions, discoveries, ideas, original works of authorship, developments, improvements, trade secrets, and other proprietary information or intellectual property rights owned by any third party into any Invention without Company’s prior written permission.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b/>
          <w:i/>
          <w:color w:val="000000"/>
          <w:sz w:val="22"/>
        </w:rPr>
        <w:t>Moral Rights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Any assignment to the Company of Inventions includes all rights of attribution, paternity, integrity, modification, disclosure and withdrawal, and any other rights throughout the world that may be known as or referred to as “moral rights,” “artist’s rights,” “droit moral,” or the like </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(collectively, “</w:t>
      </w:r>
      <w:r>
        <w:rPr>
          <w:rFonts w:ascii="Times New Roman" w:hAnsi="Times New Roman"/>
          <w:b/>
          <w:i/>
          <w:color w:val="000000"/>
          <w:sz w:val="22"/>
        </w:rPr>
        <w:t>Moral Rights</w:t>
      </w:r>
      <w:r>
        <w:rPr>
          <w:color w:val="000000"/>
        </w:rPr>
        <w:t>”</w:t>
      </w:r>
      <w:r>
        <w:rPr>
          <w:rFonts w:ascii="Times New Roman" w:hAnsi="Times New Roman"/>
          <w:color w:val="000000"/>
          <w:sz w:val="22"/>
        </w:rPr>
        <w:t xml:space="preserve">). To the extent that Moral Rights </w:t>
      </w:r>
      <w:bookmarkStart w:id="34" w:name="x8"/>
      <w:bookmarkStart w:id="35" w:name="x1"/>
      <w:bookmarkEnd w:id="34"/>
      <w:bookmarkEnd w:id="35"/>
      <w:r>
        <w:rPr>
          <w:rFonts w:ascii="Times New Roman" w:hAnsi="Times New Roman"/>
          <w:color w:val="000000"/>
          <w:sz w:val="22"/>
        </w:rPr>
        <w:t xml:space="preserve">cannot be assigned under applicable law, </w:t>
      </w:r>
      <w:bookmarkStart w:id="36" w:name="x0"/>
      <w:bookmarkStart w:id="37" w:name="x9"/>
      <w:bookmarkEnd w:id="36"/>
      <w:bookmarkEnd w:id="37"/>
      <w:r>
        <w:rPr>
          <w:rFonts w:ascii="Times New Roman" w:hAnsi="Times New Roman"/>
          <w:color w:val="000000"/>
          <w:sz w:val="22"/>
        </w:rPr>
        <w:t>Consultant hereby waives and agrees not to enforce any and all Moral Rights, including, without limitation, any limitation on subsequent modification, to the extent permitted under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pPr>
      <w:r>
        <w:rPr>
          <w:rFonts w:ascii="Times New Roman" w:hAnsi="Times New Roman"/>
          <w:b/>
          <w:i/>
          <w:color w:val="000000"/>
          <w:sz w:val="22"/>
        </w:rPr>
        <w:t>Maintenance of Records</w:t>
      </w:r>
      <w:r>
        <w:rPr>
          <w:rFonts w:ascii="Times New Roman" w:hAnsi="Times New Roman"/>
          <w:b/>
          <w:color w:val="000000"/>
          <w:sz w:val="22"/>
        </w:rPr>
        <w:t>.</w:t>
      </w:r>
      <w:r>
        <w:rPr>
          <w:color w:val="000000"/>
        </w:rPr>
        <w:t xml:space="preserve"> </w:t>
      </w:r>
      <w:r>
        <w:rPr>
          <w:rFonts w:ascii="Times New Roman" w:hAnsi="Times New Roman"/>
          <w:color w:val="000000"/>
          <w:sz w:val="22"/>
        </w:rPr>
        <w:t>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As between the Company and Consultant, the records are and will be available to and remain the sole property of the Company at all times and upon Company’s request, Consultant will deliver (or cause to be delivered) the same.</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pPr>
      <w:r>
        <w:rPr>
          <w:rFonts w:ascii="Times New Roman" w:hAnsi="Times New Roman"/>
          <w:b/>
          <w:i/>
          <w:color w:val="000000"/>
          <w:sz w:val="22"/>
        </w:rPr>
        <w:t>Further Assurances</w:t>
      </w:r>
      <w:r>
        <w:rPr>
          <w:rFonts w:ascii="Times New Roman" w:hAnsi="Times New Roman"/>
          <w:b/>
          <w:color w:val="000000"/>
          <w:sz w:val="22"/>
        </w:rPr>
        <w:t>.</w:t>
      </w:r>
      <w:r>
        <w:rPr>
          <w:color w:val="000000"/>
        </w:rPr>
        <w:t xml:space="preserve"> </w:t>
      </w:r>
      <w:r>
        <w:rPr>
          <w:rFonts w:ascii="Times New Roman" w:hAnsi="Times New Roman"/>
          <w:color w:val="000000"/>
          <w:sz w:val="22"/>
        </w:rPr>
        <w:t>Consultant agrees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will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Consultant further agrees that Consultant’s obligations under this Section 3.E will continue after the termination of this Agreement.</w:t>
      </w:r>
      <w:r>
        <w:rPr>
          <w:color w:val="000000"/>
        </w:rPr>
        <w:t xml:space="preserve">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Fonts w:ascii="Times New Roman" w:hAnsi="Times New Roman"/>
          <w:b/>
          <w:i/>
          <w:color w:val="000000"/>
          <w:sz w:val="22"/>
        </w:rPr>
        <w:t>Attorney-in-Fact</w:t>
      </w:r>
      <w:r>
        <w:rPr>
          <w:rFonts w:ascii="Times New Roman" w:hAnsi="Times New Roman"/>
          <w:b/>
          <w:color w:val="000000"/>
          <w:sz w:val="22"/>
        </w:rPr>
        <w:t>.</w:t>
      </w:r>
      <w:r>
        <w:rPr>
          <w:color w:val="000000"/>
        </w:rPr>
        <w:t xml:space="preserve"> </w:t>
      </w:r>
      <w:r>
        <w:rPr>
          <w:rFonts w:ascii="Times New Roman" w:hAnsi="Times New Roman"/>
          <w:color w:val="000000"/>
          <w:sz w:val="22"/>
        </w:rPr>
        <w:t>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will be deemed coupled with an interest, and will be irrevocable.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Conflicting Obligations</w:t>
      </w:r>
    </w:p>
    <w:p>
      <w:pPr>
        <w:pStyle w:val="Heading2"/>
        <w:bidi w:val="0"/>
        <w:spacing w:before="0" w:after="120"/>
        <w:ind w:left="0" w:right="0" w:firstLine="720"/>
        <w:jc w:val="both"/>
        <w:rPr>
          <w:rFonts w:ascii="Times New Roman" w:hAnsi="Times New Roman"/>
          <w:sz w:val="20"/>
        </w:rPr>
      </w:pPr>
      <w:r>
        <w:rPr>
          <w:rFonts w:ascii="Times New Roman" w:hAnsi="Times New Roman"/>
          <w:b w:val="false"/>
          <w:color w:val="000000"/>
          <w:sz w:val="22"/>
        </w:rPr>
        <w:t>Consultant represents and warrants that Consultant presently has no agreements, relationships, or commitments to any other person or entity that conflict with the provisions of this Agreement, Consultant’s obligations to the Company under this Agreement, and/or Consultant’s ability to perform the Services, but after the Termination Date, Consultant may accept other employment, consulting work, or service as a board member, and the Company will make commercially reasonable efforts to accommodate Consultant’s availability in requesting services from Consultant under this Agreement, provided that Consultant will not accept employment with or render services to a competitor of the Company during the Term of this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 xml:space="preserve">Return of Company Materials </w:t>
      </w:r>
    </w:p>
    <w:p>
      <w:pPr>
        <w:pStyle w:val="Heading1"/>
        <w:bidi w:val="0"/>
        <w:spacing w:before="0" w:after="120"/>
        <w:ind w:left="0" w:right="0" w:firstLine="720"/>
        <w:jc w:val="both"/>
        <w:rPr>
          <w:rFonts w:ascii="Times New Roman" w:hAnsi="Times New Roman"/>
          <w:b w:val="false"/>
          <w:color w:val="000000"/>
          <w:sz w:val="22"/>
        </w:rPr>
      </w:pPr>
      <w:r>
        <w:rPr>
          <w:rFonts w:ascii="Times New Roman" w:hAnsi="Times New Roman"/>
          <w:b w:val="false"/>
          <w:color w:val="000000"/>
          <w:sz w:val="22"/>
        </w:rPr>
        <w:t>Upon the termination of this Agreement, or upon Company’s earlier request, Consultant will immediately deliver to the Company, and will not keep in Consultant’s possession, recreate, or deliver to anyone else, any and all Company property, including, but not limited to, Company Confidential Information, tangible embodiments of the Inventions, all devices and equipment belonging to the Company, all electronically-stored information and passwords to access such property, those records maintained under Section 3.D and any reproductions of any of the foregoing items that Consultant may have in Consultant’s possession or control. Consultant agrees that in discharging Consultant’s obligations under this section, Consultant will conduct a reasonable and good faith search for such information, property and equipment, including searching external storage devices, personal computers and email accounts, as well as cloud accounts.</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Term and 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pPr>
      <w:r>
        <w:rPr>
          <w:rFonts w:ascii="Times New Roman" w:hAnsi="Times New Roman"/>
          <w:b/>
          <w:i/>
          <w:color w:val="000000"/>
          <w:sz w:val="22"/>
        </w:rPr>
        <w:t>Term</w:t>
      </w:r>
      <w:r>
        <w:rPr>
          <w:rFonts w:ascii="Times New Roman" w:hAnsi="Times New Roman"/>
          <w:b/>
          <w:color w:val="000000"/>
          <w:sz w:val="22"/>
        </w:rPr>
        <w:t>.</w:t>
      </w:r>
      <w:r>
        <w:rPr>
          <w:color w:val="000000"/>
        </w:rPr>
        <w:t xml:space="preserve"> </w:t>
      </w:r>
      <w:r>
        <w:rPr>
          <w:rFonts w:ascii="Times New Roman" w:hAnsi="Times New Roman"/>
          <w:color w:val="000000"/>
          <w:sz w:val="22"/>
        </w:rPr>
        <w:t>The term of this Agreement will begin on the Effective Date and will continue until the earlier of 12 months thereafter or (ii) termination as provided in Section 6.B.</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b/>
          <w:i/>
          <w:color w:val="000000"/>
          <w:sz w:val="22"/>
        </w:rPr>
        <w:t>Termination</w:t>
      </w:r>
      <w:r>
        <w:rPr>
          <w:rFonts w:ascii="Times New Roman" w:hAnsi="Times New Roman"/>
          <w:b/>
          <w:color w:val="000000"/>
          <w:sz w:val="22"/>
        </w:rPr>
        <w:t>.</w:t>
      </w:r>
      <w:r>
        <w:rPr>
          <w:color w:val="000000"/>
        </w:rPr>
        <w:t xml:space="preserve"> </w:t>
      </w:r>
      <w:r>
        <w:rPr>
          <w:rFonts w:ascii="Times New Roman" w:hAnsi="Times New Roman"/>
          <w:color w:val="000000"/>
          <w:sz w:val="22"/>
        </w:rPr>
        <w:t>The parties may terminate this Agreement upon giving the other party 10 days prior written notice of such termination. The parties may terminate this Agreement immediately and without prior notice if the other party breaches this Agreement and the breach is not cured promptly after written notice from the other party describing the breach and requesting a cure.</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b/>
          <w:i/>
          <w:color w:val="000000"/>
          <w:sz w:val="22"/>
        </w:rPr>
        <w:t>Survival</w:t>
      </w:r>
      <w:r>
        <w:rPr>
          <w:rFonts w:ascii="Times New Roman" w:hAnsi="Times New Roman"/>
          <w:b/>
          <w:color w:val="000000"/>
          <w:sz w:val="22"/>
        </w:rPr>
        <w:t>.</w:t>
      </w:r>
      <w:r>
        <w:rPr>
          <w:color w:val="000000"/>
        </w:rPr>
        <w:t xml:space="preserve"> </w:t>
      </w:r>
      <w:r>
        <w:rPr>
          <w:rFonts w:ascii="Times New Roman" w:hAnsi="Times New Roman"/>
          <w:color w:val="000000"/>
          <w:sz w:val="22"/>
        </w:rPr>
        <w:t>Upon any termination, all rights and duties of the Company and Consultant toward each other will cease except:</w:t>
      </w:r>
    </w:p>
    <w:p>
      <w:pPr>
        <w:pStyle w:val="TextBody"/>
        <w:bidi w:val="0"/>
        <w:spacing w:before="0" w:after="120"/>
        <w:ind w:left="0" w:right="0" w:firstLine="14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Within 10 days after the effective date of termination of this Agreement, the Company will pay Consultant (A) , all amounts owing to Consultant for Services completed by the Consultant prior to the termination date, (B) any reimbursable expenses submitted in accordance with the Company’s policies and in accordance with this Agreement; and</w:t>
      </w:r>
    </w:p>
    <w:p>
      <w:pPr>
        <w:pStyle w:val="TextBody"/>
        <w:bidi w:val="0"/>
        <w:spacing w:before="0" w:after="120"/>
        <w:ind w:left="0" w:right="0" w:firstLine="14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If the termination of the Agreement is by the Company for any reason other than a material breach by Consultant, any unpaid amounts earned by Consultant will be paid to Consultant in a lump sum within 10 days after the effective date of termination.</w:t>
      </w:r>
    </w:p>
    <w:p>
      <w:pPr>
        <w:pStyle w:val="TextBody"/>
        <w:bidi w:val="0"/>
        <w:spacing w:before="0" w:after="120"/>
        <w:ind w:left="0" w:right="0" w:firstLine="14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sections entitled Confidentiality, Ownership, Conflicting Obligations, Return of Company Materials, Term and Termination, Independent Contractor; Benefits, Indemnification, Limitation of Liability, Arbitration and Equitable Relief, and Miscellaneous will survive termination or expiration of this Agreement in accordance with their terms.</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Independent Contractor; Benefits</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pPr>
      <w:r>
        <w:rPr>
          <w:rFonts w:ascii="Times New Roman" w:hAnsi="Times New Roman"/>
          <w:b/>
          <w:i/>
          <w:color w:val="000000"/>
          <w:sz w:val="22"/>
        </w:rPr>
        <w:t>Independent Contractor.</w:t>
      </w:r>
      <w:r>
        <w:rPr>
          <w:color w:val="000000"/>
        </w:rPr>
        <w:t xml:space="preserve"> </w:t>
      </w:r>
      <w:r>
        <w:rPr>
          <w:rFonts w:ascii="Times New Roman" w:hAnsi="Times New Roman"/>
          <w:color w:val="000000"/>
          <w:sz w:val="22"/>
        </w:rPr>
        <w:t>It is the express intention of the Company and Consultant that Consultant perform the Services as an independent contractor to the Company. Nothing in this Agreement will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will incur all expenses associated with performance. Consultant acknowledges and agrees that Consultant is obligated to report as income all compensation received by Consultant under this Agreement. Consultant agrees to and acknowledges the obligation to pay all self-employment and other taxes on such income.</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b/>
          <w:i/>
          <w:color w:val="000000"/>
          <w:sz w:val="22"/>
        </w:rPr>
        <w:t>Benefits</w:t>
      </w:r>
      <w:r>
        <w:rPr>
          <w:rFonts w:ascii="Times New Roman" w:hAnsi="Times New Roman"/>
          <w:b/>
          <w:color w:val="000000"/>
          <w:sz w:val="22"/>
        </w:rPr>
        <w:t>.</w:t>
      </w:r>
      <w:r>
        <w:rPr>
          <w:color w:val="000000"/>
        </w:rPr>
        <w:t xml:space="preserve"> </w:t>
      </w:r>
      <w:r>
        <w:rPr>
          <w:rFonts w:ascii="Times New Roman" w:hAnsi="Times New Roman"/>
          <w:color w:val="000000"/>
          <w:sz w:val="22"/>
        </w:rPr>
        <w:t>The Company and Consultant agree that Consultant will receive no Company-sponsored benefits from the Company where 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Limitation of Liability</w:t>
      </w:r>
    </w:p>
    <w:p>
      <w:pPr>
        <w:pStyle w:val="Heading1"/>
        <w:bidi w:val="0"/>
        <w:spacing w:before="0" w:after="120"/>
        <w:ind w:left="0" w:right="0" w:firstLine="720"/>
        <w:jc w:val="both"/>
        <w:rPr>
          <w:rFonts w:ascii="Times New Roman" w:hAnsi="Times New Roman"/>
          <w:b w:val="false"/>
          <w:color w:val="000000"/>
          <w:sz w:val="22"/>
        </w:rPr>
      </w:pPr>
      <w:r>
        <w:rPr>
          <w:rFonts w:ascii="Times New Roman" w:hAnsi="Times New Roman"/>
          <w:b w:val="false"/>
          <w:color w:val="000000"/>
          <w:sz w:val="22"/>
        </w:rPr>
        <w:t>IN NO EVENT WILL THE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THE COMPANY WAS ADVISED OF THE POSSIBILITY OF SUCH DAMAGES AND NOTWITHSTANDING THE FAILURE OF ESSENTIAL PURPOSE OF ANY LIMITED REMEDY. IN NO EVENT WILL THE COMPANY’S LIABILITY ARISING OUT OF OR IN CONNECTION WITH THIS AGREEMENT EXCEED THE AMOUNTS PAID BY THE COMPANY TO CONSULTANT UNDER THIS AGREEMENT FOR THE SERVICES, DELIVERABLES OR INVENTION GIVING RISE TO SUCH LIABILITY.</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 xml:space="preserve">Arbitration and Equitable Relief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pPr>
      <w:r>
        <w:rPr>
          <w:rFonts w:ascii="Times New Roman" w:hAnsi="Times New Roman"/>
          <w:b/>
          <w:i/>
          <w:color w:val="000000"/>
          <w:sz w:val="22"/>
        </w:rPr>
        <w:t>Arbitration</w:t>
      </w:r>
      <w:r>
        <w:rPr>
          <w:rFonts w:ascii="Times New Roman" w:hAnsi="Times New Roman"/>
          <w:b/>
          <w:color w:val="000000"/>
          <w:sz w:val="22"/>
        </w:rPr>
        <w:t>.</w:t>
      </w:r>
      <w:r>
        <w:rPr>
          <w:color w:val="000000"/>
        </w:rPr>
        <w:t xml:space="preserve"> </w:t>
      </w:r>
      <w:r>
        <w:rPr>
          <w:rFonts w:ascii="Times New Roman" w:hAnsi="Times New Roman"/>
          <w:caps/>
          <w:color w:val="000000"/>
          <w:sz w:val="22"/>
        </w:rPr>
        <w:t xml:space="preserve">In consideration of Consultant’s consulting relationship with THE Company, the Company’s promise to arbitrate all disputes related to Consultant’s consulting relationship with the Company and Consultant’s receipt of compensation and other CONSIDERATION paid or PROVIDED to Consultant by the Company, at present and in the future, Consultant agrees that any and all controversies, claims, or disputes that consultant may have with the company (including any Company employee, officer, director, trustee,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will be subject to binding arbitration under the federal arbitration Act (9 U.S.C. sec. 1 ET SEQ.) (THE “FAA”). THE FAA’S SUBSTANTIVE AND PROCEDURAL PROVISIONS WILL EXCLUSIVELY GOVERN AND APPLY WITH FULL FORCE AND EFFECT TO THIS ARBITRATION AGREEMENT, INCLUDING ITS ENFORCEMENT, AND ANY STATE COURT OF COMPETENT JURISDICTION WILL stay proceedings pending arbitration or COMPEL ARBITRATION IN THE SAME MANNER AS A FEDERAL COURT UNDER THE FAA. CONSULTANT FURTHER AGREES THAT, TO THE FULLEST EXTENT PERMITTED BY LAW, CONSULTANT MAY BRING ANY ARBITRATION PROCEEDING ONLY IN CONSULTANT’S INDIVIDUAL CAPACITY, AND NOT AS A PLAINTIFF, REPRESENTATIVE, OR CLASS MEMBER IN ANY PURPORTED CLASS OR COLLECTIVE ACTION, LAWSUIT OR PROCEEDING. CONSULTANT AGREES THAT ANY CLAIMS THAT CONSULTANT MAY BRING PURSUANT TO THE PRIVATE ATTORNEYS GENERAL ACT (“PAGA”) ON BEHALF OF THE LABOR AND WORKFORCE DEVELOPMENT AGENCY MUST BE ARBITRATED ONLY IN CONSULTANT’S INDIVIDUAL CAPACITY WITHOUT ANY JOINDER OR REPRESENTATION OF ANY CALIFORNIA LABOR CODE VIOLATIONS THAT WERE OR COULD BE ASSERTED BY OR ON BEHALF OF ANY OTHER PERSONS. </w:t>
      </w:r>
      <w:r>
        <w:rPr>
          <w:rFonts w:ascii="Times New Roman" w:hAnsi="Times New Roman"/>
          <w:b/>
          <w:caps/>
          <w:color w:val="000000"/>
          <w:sz w:val="22"/>
        </w:rPr>
        <w:t>TO THE FULLEST EXTENT PERMITTED BY LAW, CONSULTANT AGREES TO ARBITRATE any AND ALL COMMON LAW AND/OR statutory claims under LOCAL, state, or federal law, including, but not limited to, claims under THE California Labor Code, CLAIMS RELATING TO EMPLOYMENT OR INDEPENDENT CONTRACTOR STATUS, claims relating to compensation (cash, equity, or otherwise), claims relating to CLASSIFICATION, AND RELATIONSHIP WITH THE COMPANY, AND claims of BREACH OF CONTRACT, to the fullest extent permitted BY LAW.</w:t>
      </w:r>
      <w:r>
        <w:rPr>
          <w:caps/>
          <w:color w:val="000000"/>
        </w:rPr>
        <w:t xml:space="preserve"> </w:t>
      </w:r>
      <w:r>
        <w:rPr>
          <w:rFonts w:ascii="Times New Roman" w:hAnsi="Times New Roman"/>
          <w:b/>
          <w:caps/>
          <w:color w:val="000000"/>
          <w:sz w:val="22"/>
        </w:rPr>
        <w:t xml:space="preserve">CONSULTANT ALSO AGREES TO ARBITRATE ANY AND ALL DISPUTES ARISING OUT OF OR RELATING TO THE INTERPRETATION OR APPLICATION OF THIS AGREEMENT TO ARBITRATE, BUT NOT DISPUTES ABOUT THE ENFORCEABILITY, REVOCABILITY OR VALIDITY OF THIS AGREEMENT TO ARBITRATE OR ITS REQUIREMENT THAT CONSULTANT MUST BRING ANY ARBITRATION PROCEEDING ONLY IN CONSULTANT’S INDIVIDUAL CAPACITY. WITH RESPECT TO ALL SUCH CLAIMS AND DISPUTES THAT CONSULTANT AGREEs TO ARBITRATE, CONSULTANT HEREBY EXPRESSLY AGREES TO WAIVE, AND DOES WAIVE, ANY RIGHT TO A TRIAL BY JURY. </w:t>
      </w:r>
      <w:r>
        <w:rPr>
          <w:rFonts w:ascii="Times New Roman" w:hAnsi="Times New Roman"/>
          <w:caps/>
          <w:color w:val="000000"/>
          <w:sz w:val="22"/>
        </w:rPr>
        <w:t>Consultant further understands that this Agreement to arbitrate also applies to any disputes that the Company may have with Consultant. CONSULTANT UNDERSTANDS THAT NOTHING IN THIS AGREEMENT REQUIRES CONSULTANT TO ARBITRATE CLAIMS THAT CANNOT BE ARBITRATED UNDER THE SARBANES-OXLEY ACT or other law that expressly prohibits arbitration of a claim notwithstanding the application of the faa</w:t>
      </w:r>
      <w:r>
        <w:rPr>
          <w:rFonts w:ascii="Times New Roman" w:hAnsi="Times New Roman"/>
          <w:color w:val="000000"/>
          <w:sz w:val="22"/>
        </w:rPr>
        <w:t>.</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b/>
          <w:i/>
          <w:color w:val="000000"/>
          <w:sz w:val="22"/>
        </w:rPr>
        <w:t>Administration of Arbitration</w:t>
      </w:r>
      <w:r>
        <w:rPr>
          <w:rFonts w:ascii="Times New Roman" w:hAnsi="Times New Roman"/>
          <w:b/>
          <w:color w:val="000000"/>
          <w:sz w:val="22"/>
        </w:rPr>
        <w:t>.</w:t>
      </w:r>
      <w:r>
        <w:rPr>
          <w:color w:val="000000"/>
        </w:rPr>
        <w:t xml:space="preserve"> </w:t>
      </w:r>
      <w:r>
        <w:rPr>
          <w:rFonts w:ascii="Times New Roman" w:hAnsi="Times New Roman"/>
          <w:caps/>
          <w:color w:val="000000"/>
          <w:sz w:val="22"/>
        </w:rPr>
        <w:t>Consultant agrees that any arbitration will be administered by JAMS under its EMPLOYMENT Arbitration Rules &amp; Procedures (“</w:t>
      </w:r>
      <w:r>
        <w:rPr>
          <w:rFonts w:ascii="Times New Roman" w:hAnsi="Times New Roman"/>
          <w:b/>
          <w:i/>
          <w:caps/>
          <w:color w:val="000000"/>
          <w:sz w:val="22"/>
        </w:rPr>
        <w:t>JAMS employment Rules</w:t>
      </w:r>
      <w:r>
        <w:rPr>
          <w:caps/>
          <w:color w:val="000000"/>
        </w:rPr>
        <w:t>”</w:t>
      </w:r>
      <w:r>
        <w:rPr>
          <w:rFonts w:ascii="Times New Roman" w:hAnsi="Times New Roman"/>
          <w:caps/>
          <w:color w:val="000000"/>
          <w:sz w:val="22"/>
        </w:rPr>
        <w:t xml:space="preserve">), WHICH ARE AVAILABLE AT </w:t>
      </w:r>
      <w:r>
        <w:rPr>
          <w:rFonts w:ascii="Times New Roman" w:hAnsi="Times New Roman"/>
          <w:caps/>
          <w:sz w:val="22"/>
        </w:rPr>
        <w:t>http://www.jamsadr.com/rules-employment-arbitration/</w:t>
      </w:r>
      <w:r>
        <w:rPr>
          <w:rFonts w:ascii="Times New Roman" w:hAnsi="Times New Roman"/>
          <w:caps/>
          <w:color w:val="000000"/>
          <w:sz w:val="22"/>
        </w:rPr>
        <w:t xml:space="preserve">. IF THE JAMS employment RULES CANNOT BE ENFORCED AS TO THE ARBITRATION, THEN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pPr>
      <w:r>
        <w:rPr>
          <w:rFonts w:ascii="Times New Roman" w:hAnsi="Times New Roman"/>
          <w:caps/>
          <w:color w:val="000000"/>
          <w:sz w:val="22"/>
        </w:rPr>
        <w:t xml:space="preserve">PARTIES AGREE THAT THEY WILL ARBITRATE THIS DISPUTE </w:t>
      </w:r>
      <w:r>
        <w:rPr>
          <w:rFonts w:ascii="Times New Roman" w:hAnsi="Times New Roman"/>
          <w:color w:val="000000"/>
          <w:sz w:val="22"/>
        </w:rPr>
        <w:t>UTILIZING JAMS COMPREHENSIVE ARBITRATION RULES AND PROCEDURES OR SUCH RULES AS THE ARBITRATOR MAY DEEM MOST APPROPRIATE FOR THE DISPUTE (THE RULES UNDER WHICH THE ARBITRATION IS ADMINISTERED, WHETHER THE JAMS EMPLOYMENT RULES, THE JAMS COMPREHENSIVE ARBITRATION RULES, OR OTHERWISE, ARE REFERRED TO HEREIN AS THE “</w:t>
      </w:r>
      <w:r>
        <w:rPr>
          <w:rFonts w:ascii="Times New Roman" w:hAnsi="Times New Roman"/>
          <w:b/>
          <w:color w:val="000000"/>
          <w:sz w:val="22"/>
        </w:rPr>
        <w:t>JAMS RULES</w:t>
      </w:r>
      <w:r>
        <w:rPr>
          <w:color w:val="000000"/>
        </w:rPr>
        <w:t>”</w:t>
      </w:r>
      <w:r>
        <w:rPr>
          <w:rFonts w:ascii="Times New Roman" w:hAnsi="Times New Roman"/>
          <w:color w:val="000000"/>
          <w:sz w:val="22"/>
        </w:rPr>
        <w:t>). IN THE EVENT OF ANY CONFLICT BETWEEN THE TERMS OF THIS SECTION</w:t>
      </w:r>
      <w:r>
        <w:rPr>
          <w:color w:val="000000"/>
        </w:rPr>
        <w:t xml:space="preserve"> </w:t>
      </w:r>
      <w:r>
        <w:rPr>
          <w:rFonts w:ascii="Times New Roman" w:hAnsi="Times New Roman"/>
          <w:color w:val="000000"/>
          <w:sz w:val="22"/>
        </w:rPr>
        <w:t>AND THE JAMS RULES, THIS SECTION</w:t>
      </w:r>
      <w:r>
        <w:rPr>
          <w:color w:val="000000"/>
        </w:rPr>
        <w:t xml:space="preserve"> </w:t>
      </w:r>
      <w:r>
        <w:rPr>
          <w:rFonts w:ascii="Times New Roman" w:hAnsi="Times New Roman"/>
          <w:color w:val="000000"/>
          <w:sz w:val="22"/>
        </w:rPr>
        <w:t>WILL TAKE PRECEDENCE</w:t>
      </w:r>
      <w:r>
        <w:rPr>
          <w:rFonts w:ascii="Times New Roman" w:hAnsi="Times New Roman"/>
          <w:caps/>
          <w:color w:val="000000"/>
          <w:sz w:val="22"/>
        </w:rPr>
        <w:t xml:space="preserve">. CONSULTANT AGREES THAT THE USE OF THE JAMS employment RULES DOES NOT CHANGE CONSULTANT’S CLASSIFICATION TO THAT OF AN EMPLOYEE. TO THE CONTRARY, CONSULTANT REAFFIRMS THAT CONSULTANT IS AN INDEPENDENT CONTRACTOR. Consultant agrees that the arbitrator will have the power to decide any motions brought by any party to the arbitration, including motions for summary judgment and/or adjudication and motions to dismiss and demurrers APPLYING THE STANDARDS for such motions SET FORTH UNDER applicable law, including THE CALIFORNIA CODE OF CIVIL PROCEDURE. Consultant agrees that the arbitrator will issue a written decision on the merits. CONSULTANT ALSO AGREES THAT THE ARBITRATOR WILL HAVE THE POWER TO AWARD ANY REMEDIES AVAILABLE UNDER APPLICABLE LAW, AND THAT THE ARBITRATOR MAY AWARD ATTORNEYS’ FEES AND COSTS TO THE PREVAILING PARTY, WHERE PERMITTED BY APPLICABLE LAW. CONSULTANT AGREES that the decree or award rendered by the arbitrator may be entered as a final and binding judgment in any court having jurisdiction thereof. CONSULTANT UNDERSTANDS THAT THE COMPANY WILL PAY FOR ANY ADMINISTRATIVE OR HEARING FEES CHARGED BY THE ARBITRATOR OR JAMS, EXCEPT THAT CONSULTANT WILL PAY ANY FILING FEES ASSOCIATED WITH ANY ARBITRATION THAT CONSULTANT INITIATES, BUT ONLY SO MUCH OF THE FILING FEES AS CONSULTANT WOULD HAVE INSTEAD PAID HAD CONSULTANT FILED A COMPLAINT IN A COURT OF LAW THAT WOULD HAVE HAD JURISDICTION OVER SUCH COMPLAINT. </w:t>
      </w:r>
      <w:r>
        <w:rPr>
          <w:rFonts w:ascii="Times New Roman" w:hAnsi="Times New Roman"/>
          <w:color w:val="000000"/>
          <w:sz w:val="22"/>
        </w:rPr>
        <w:t>SUBJECT TO THE FAA’S EXCLUSIVE APPLICABILITY TO THE ENFORCEMENT OF THIS AGREEMENT TO ARBITRATE</w:t>
      </w:r>
      <w:r>
        <w:rPr>
          <w:rFonts w:ascii="Times New Roman" w:hAnsi="Times New Roman"/>
          <w:caps/>
          <w:color w:val="000000"/>
          <w:sz w:val="22"/>
        </w:rPr>
        <w:t>, Consultant agrees that the arbitrator will administer and conduct any arbitration HEARING OR PROCEEDING APPLYING CALIFORNIA SUBSTANTIVE AND DECISIONAL LAW AND THE California Code of Civil Procedure, INCLUDING THE CALIFORNIA CIVIL DISCOVERY ACT. Consultant agrees that any arbitration under this agreement will be conducted in ORANGE COUNTY, california.</w:t>
      </w:r>
      <w:r>
        <w:rPr>
          <w:color w:val="000000"/>
        </w:rPr>
        <w:t xml:space="preserve">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b/>
          <w:i/>
          <w:color w:val="000000"/>
          <w:sz w:val="22"/>
        </w:rPr>
        <w:t>Remedy</w:t>
      </w:r>
      <w:r>
        <w:rPr>
          <w:rFonts w:ascii="Times New Roman" w:hAnsi="Times New Roman"/>
          <w:b/>
          <w:caps/>
          <w:color w:val="000000"/>
          <w:sz w:val="22"/>
        </w:rPr>
        <w:t>.</w:t>
      </w:r>
      <w:r>
        <w:rPr>
          <w:caps/>
          <w:color w:val="000000"/>
        </w:rPr>
        <w:t xml:space="preserve"> </w:t>
      </w:r>
      <w:r>
        <w:rPr>
          <w:rFonts w:ascii="Times New Roman" w:hAnsi="Times New Roman"/>
          <w:color w:val="000000"/>
          <w:sz w:val="22"/>
        </w:rPr>
        <w:t>FOR PURPOSES OF SEEKING PROVISIONAL REMEDIES ONLY, CONSULTANT AGREES THAT THE COMPANY AND CONSULTANT WILL BE ENTITLED TO PURSUE ANY PROVISIONAL REMEDY PERMITTED BY THE CALIFORNIA ARBITRATION ACT (CALIFORNIA CODE CIV. PROC. § 1281.8), OR OTHERWISE PROVIDED BY THIS AGREEMENT. EXCEPT FOR SUCH PROVISIONAL RELIEF, CONSULTANT AGREES THAT ANY RELIEF OTHERWISE AVAILABLE TO THE COMPANY OR CONSULTANT UNDER APPLICABLE LAW WILL BE PURSUED SOLELY AND EXCLUSIVELY IN ARBITRATION PURSUANT TO THE TERMS OF THIS AGREEMENT.</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pPr>
      <w:r>
        <w:rPr>
          <w:rFonts w:ascii="Times New Roman" w:hAnsi="Times New Roman"/>
          <w:b/>
          <w:i/>
          <w:color w:val="000000"/>
          <w:sz w:val="22"/>
        </w:rPr>
        <w:t>Administrative Relief.</w:t>
      </w:r>
      <w:r>
        <w:rPr>
          <w:color w:val="000000"/>
        </w:rPr>
        <w:t xml:space="preserve"> </w:t>
      </w:r>
      <w:r>
        <w:rPr>
          <w:rFonts w:ascii="Times New Roman" w:hAnsi="Times New Roman"/>
          <w:caps/>
          <w:color w:val="000000"/>
          <w:sz w:val="22"/>
        </w:rPr>
        <w:t xml:space="preserve">Consultant understands that this Agreement does not prohibit Consultant from pursuing AN Administrative claim with A local, state or federal administrative BODY OR GOVERNMENT AGENCY such as the CALIFORNIA CIVIL RIGHTS DEPARTMENT, the Equal Employment Opportunity Commission, the National Labor Relations Board, THE SECURITIES AND EXCHANGE COMMISSION, or the workers’ compensation board. this agreement does, however, preclUde consultant from bringing any alleged wage claims with the Department of labor standards enforcement. Likewise, This Agreement does preclude Consultant from pursuing A court action regarding any SUCH CLAIM, except as permitted by law.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120" w:after="120"/>
        <w:jc w:val="both"/>
        <w:rPr/>
      </w:pPr>
      <w:r>
        <w:rPr>
          <w:rFonts w:ascii="Times New Roman" w:hAnsi="Times New Roman"/>
          <w:b/>
          <w:i/>
          <w:color w:val="000000"/>
          <w:sz w:val="22"/>
        </w:rPr>
        <w:t>Voluntary Nature of Agreement; Enforcement.</w:t>
      </w:r>
      <w:r>
        <w:rPr>
          <w:caps/>
          <w:color w:val="000000"/>
        </w:rPr>
        <w:t xml:space="preserve"> </w:t>
      </w:r>
      <w:r>
        <w:rPr>
          <w:rFonts w:ascii="Times New Roman" w:hAnsi="Times New Roman"/>
          <w:caps/>
          <w:color w:val="000000"/>
          <w:sz w:val="22"/>
        </w:rPr>
        <w:t xml:space="preserve">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Times New Roman" w:hAnsi="Times New Roman"/>
          <w:b/>
          <w:i/>
          <w:caps/>
          <w:color w:val="000000"/>
          <w:sz w:val="22"/>
        </w:rPr>
        <w:t>Consultant is waiving CONSULTANT’S right to a jury trial</w:t>
      </w:r>
      <w:r>
        <w:rPr>
          <w:rFonts w:ascii="Times New Roman" w:hAnsi="Times New Roman"/>
          <w:caps/>
          <w:color w:val="000000"/>
          <w:sz w:val="22"/>
        </w:rPr>
        <w:t>. Consultant agrees that CONSULTANT has been provided an opportunity to seek the advice of an attorney of Consultant’s choice before signing this Agreement. THIS ARBITRATION AGREEMENT IS TO BE ENFORCED TO THE MAXIMUM EXTENT PERMITTED BY APPLICABLE LAW. ACCORDINGLY, consultant AGREEs THAT IF A COURT OR OTHER BODY OF COMPETENT JURISDICTION FINDS THAT ANY PROVISION OR PORTION OF THIS ARBITRATION AGREEMENT IS INVALID OR UNENFORCEABLE, SUCH PROVISION OR PORTION, AS APPLICABLE, WILL BE ENFORCED TO THE MAXIMUM EXTENT PERMISSIBLE BY APPLICABLE LAW OR, IF NECESSARY, SEVERED, AND THE REMAINDER OF THE ARBITRATION AGREEMENT WILL CONTINUE WITH FULL FORCE AND EFFECT.</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Miscellaneous</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pPr>
      <w:r>
        <w:rPr>
          <w:rFonts w:ascii="Times New Roman" w:hAnsi="Times New Roman"/>
          <w:b/>
          <w:i/>
          <w:color w:val="000000"/>
          <w:sz w:val="22"/>
        </w:rPr>
        <w:t>Governing Law; Consent to Personal Jurisdiction</w:t>
      </w:r>
      <w:r>
        <w:rPr>
          <w:rFonts w:ascii="Times New Roman" w:hAnsi="Times New Roman"/>
          <w:b/>
          <w:color w:val="000000"/>
          <w:sz w:val="22"/>
        </w:rPr>
        <w:t>.</w:t>
      </w:r>
      <w:r>
        <w:rPr>
          <w:color w:val="000000"/>
        </w:rPr>
        <w:t xml:space="preserve"> </w:t>
      </w:r>
      <w:r>
        <w:rPr>
          <w:rFonts w:ascii="Times New Roman" w:hAnsi="Times New Roman"/>
          <w:color w:val="000000"/>
          <w:sz w:val="22"/>
        </w:rPr>
        <w:t>This Agreement will be governed by the laws of the State of California, without regard to the conflicts of law provisions of California or any other jurisdiction, except that any dispute regarding the enforceability of the arbitration section of this Agreement will be governed by the FAA. To the extent that any lawsuit is permitted under this Agreement, the parties hereby expressly consent to the personal and exclusive jurisdiction and venue of the state and federal courts located in California.</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b/>
          <w:i/>
          <w:color w:val="000000"/>
          <w:sz w:val="22"/>
        </w:rPr>
        <w:t>Assignability</w:t>
      </w:r>
      <w:r>
        <w:rPr>
          <w:rFonts w:ascii="Times New Roman" w:hAnsi="Times New Roman"/>
          <w:b/>
          <w:color w:val="000000"/>
          <w:sz w:val="22"/>
        </w:rPr>
        <w:t>.</w:t>
      </w:r>
      <w:r>
        <w:rPr>
          <w:color w:val="000000"/>
        </w:rPr>
        <w:t xml:space="preserve"> </w:t>
      </w:r>
      <w:r>
        <w:rPr>
          <w:rFonts w:ascii="Times New Roman" w:hAnsi="Times New Roman"/>
          <w:color w:val="000000"/>
          <w:sz w:val="22"/>
        </w:rPr>
        <w:t>This Agreement will be binding upon Consultant’s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the avoidance of doubt, the Company’s successors and assigns are authorized to enforce the Company’s rights under this Agreement.</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b/>
          <w:i/>
          <w:color w:val="000000"/>
          <w:sz w:val="22"/>
        </w:rPr>
        <w:t>Entire Agreement</w:t>
      </w:r>
      <w:r>
        <w:rPr>
          <w:rFonts w:ascii="Times New Roman" w:hAnsi="Times New Roman"/>
          <w:b/>
          <w:color w:val="000000"/>
          <w:sz w:val="22"/>
        </w:rPr>
        <w:t>.</w:t>
      </w:r>
      <w:r>
        <w:rPr>
          <w:color w:val="000000"/>
        </w:rPr>
        <w:t xml:space="preserve"> </w:t>
      </w:r>
      <w:r>
        <w:rPr>
          <w:rFonts w:ascii="Times New Roman" w:hAnsi="Times New Roman"/>
          <w:color w:val="000000"/>
          <w:sz w:val="22"/>
        </w:rPr>
        <w:t>This Agreement, together with Exhibit A.1 herein, sets forth the entire agreement and understanding between the parties with respect to the subject 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will control unless otherwise expressly agreed by the parties in such exhibit or schedule.</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pPr>
      <w:r>
        <w:rPr>
          <w:rFonts w:ascii="Times New Roman" w:hAnsi="Times New Roman"/>
          <w:b/>
          <w:i/>
          <w:color w:val="000000"/>
          <w:sz w:val="22"/>
        </w:rPr>
        <w:t>Headings</w:t>
      </w:r>
      <w:r>
        <w:rPr>
          <w:rFonts w:ascii="Times New Roman" w:hAnsi="Times New Roman"/>
          <w:b/>
          <w:color w:val="000000"/>
          <w:sz w:val="22"/>
        </w:rPr>
        <w:t>.</w:t>
      </w:r>
      <w:r>
        <w:rPr>
          <w:color w:val="000000"/>
        </w:rPr>
        <w:t xml:space="preserve"> </w:t>
      </w:r>
      <w:r>
        <w:rPr>
          <w:rFonts w:ascii="Times New Roman" w:hAnsi="Times New Roman"/>
          <w:color w:val="000000"/>
          <w:sz w:val="22"/>
        </w:rPr>
        <w:t>Headings are used in this Agreement for reference only and will not be considered when interpreting this Agreement.</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pPr>
      <w:r>
        <w:rPr>
          <w:rFonts w:ascii="Times New Roman" w:hAnsi="Times New Roman"/>
          <w:b/>
          <w:i/>
          <w:color w:val="000000"/>
          <w:sz w:val="22"/>
        </w:rPr>
        <w:t>Severability</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20"/>
        <w:jc w:val="both"/>
        <w:rPr/>
      </w:pPr>
      <w:r>
        <w:rPr>
          <w:rFonts w:ascii="Times New Roman" w:hAnsi="Times New Roman"/>
          <w:b/>
          <w:i/>
          <w:color w:val="000000"/>
          <w:sz w:val="22"/>
        </w:rPr>
        <w:t>Modification, Waiver.</w:t>
      </w:r>
      <w:r>
        <w:rPr>
          <w:color w:val="000000"/>
        </w:rPr>
        <w:t xml:space="preserve"> </w:t>
      </w:r>
      <w:r>
        <w:rPr>
          <w:rFonts w:ascii="Times New Roman" w:hAnsi="Times New Roman"/>
          <w:color w:val="000000"/>
          <w:sz w:val="22"/>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120" w:after="120"/>
        <w:jc w:val="both"/>
        <w:rPr/>
      </w:pPr>
      <w:r>
        <w:rPr>
          <w:rFonts w:ascii="Times New Roman" w:hAnsi="Times New Roman"/>
          <w:b/>
          <w:i/>
          <w:color w:val="000000"/>
          <w:sz w:val="22"/>
        </w:rPr>
        <w:t>Notices</w:t>
      </w:r>
      <w:r>
        <w:rPr>
          <w:rFonts w:ascii="Times New Roman" w:hAnsi="Times New Roman"/>
          <w:b/>
          <w:color w:val="000000"/>
          <w:sz w:val="22"/>
        </w:rPr>
        <w:t>.</w:t>
      </w:r>
      <w:r>
        <w:rPr>
          <w:color w:val="000000"/>
        </w:rPr>
        <w:t xml:space="preserve"> </w:t>
      </w:r>
      <w:r>
        <w:rPr>
          <w:rFonts w:ascii="Times New Roman" w:hAnsi="Times New Roman"/>
          <w:color w:val="000000"/>
          <w:sz w:val="22"/>
        </w:rPr>
        <w:t>Any notice or other communication required or permitted by this Agreement to be given to a party will be in writing and will be deemed given (i) if delivered personally or by commercial messenger or courier service or (ii) if mailed by U.S. registered or certified mail (return receipt requested), to the party at the party’s address written below or at such other address as the party may have previously specified by like notice. If by mail, delivery will be deemed effective three (3) business days after mailing in accordance with this section.</w:t>
      </w:r>
    </w:p>
    <w:p>
      <w:pPr>
        <w:pStyle w:val="TextBody"/>
        <w:bidi w:val="0"/>
        <w:ind w:left="0" w:right="0" w:firstLine="1440"/>
        <w:jc w:val="both"/>
        <w:rPr>
          <w:rFonts w:ascii="Times New Roman" w:hAnsi="Times New Roman"/>
          <w:color w:val="000000"/>
          <w:sz w:val="22"/>
        </w:rPr>
      </w:pPr>
      <w:r>
        <w:rPr>
          <w:rFonts w:ascii="Times New Roman" w:hAnsi="Times New Roman"/>
          <w:color w:val="000000"/>
          <w:sz w:val="22"/>
        </w:rPr>
        <w:t>(1) If to the Company, to:</w:t>
      </w:r>
    </w:p>
    <w:p>
      <w:pPr>
        <w:pStyle w:val="TextBody"/>
        <w:bidi w:val="0"/>
        <w:ind w:left="0" w:right="0" w:firstLine="2160"/>
        <w:jc w:val="both"/>
        <w:rPr>
          <w:rFonts w:ascii="Times New Roman" w:hAnsi="Times New Roman"/>
          <w:sz w:val="20"/>
        </w:rPr>
      </w:pPr>
      <w:r>
        <w:rPr>
          <w:rFonts w:ascii="Times New Roman" w:hAnsi="Times New Roman"/>
          <w:color w:val="000000"/>
          <w:sz w:val="22"/>
        </w:rPr>
        <w:t>RxSight Inc.</w:t>
      </w:r>
      <w:r>
        <w:rPr>
          <w:rFonts w:ascii="Times New Roman" w:hAnsi="Times New Roman"/>
          <w:color w:val="000000"/>
          <w:sz w:val="20"/>
        </w:rPr>
        <w:t xml:space="preserve"> </w:t>
      </w:r>
    </w:p>
    <w:p>
      <w:pPr>
        <w:pStyle w:val="TextBody"/>
        <w:bidi w:val="0"/>
        <w:spacing w:before="0" w:after="120"/>
        <w:ind w:left="0" w:right="0" w:firstLine="2160"/>
        <w:jc w:val="both"/>
        <w:rPr>
          <w:rFonts w:ascii="Times New Roman" w:hAnsi="Times New Roman"/>
          <w:color w:val="000000"/>
          <w:sz w:val="22"/>
        </w:rPr>
      </w:pPr>
      <w:r>
        <w:rPr>
          <w:rFonts w:ascii="Times New Roman" w:hAnsi="Times New Roman"/>
          <w:color w:val="000000"/>
          <w:sz w:val="22"/>
        </w:rPr>
        <w:t xml:space="preserve">Attention: Legal Department </w:t>
      </w:r>
    </w:p>
    <w:p>
      <w:pPr>
        <w:pStyle w:val="Heading2"/>
        <w:pBdr/>
        <w:bidi w:val="0"/>
        <w:spacing w:before="0" w:after="120"/>
        <w:ind w:left="1440" w:right="0" w:hanging="720"/>
        <w:jc w:val="both"/>
        <w:rPr>
          <w:rFonts w:ascii="Times New Roman" w:hAnsi="Times New Roman"/>
          <w:sz w:val="20"/>
        </w:rPr>
      </w:pPr>
      <w:r>
        <w:rPr>
          <w:rFonts w:ascii="Times New Roman" w:hAnsi="Times New Roman"/>
          <w:b w:val="false"/>
          <w:color w:val="000000"/>
          <w:sz w:val="22"/>
        </w:rPr>
        <w:t>(2) If to Consultant, to the address for notice on the signature page to this Agreement or, if no such address is provided, to the last address of Consultant provided by Consultant to the Company.</w:t>
      </w:r>
      <w:r>
        <w:rPr>
          <w:rFonts w:ascii="Times New Roman" w:hAnsi="Times New Roman"/>
          <w:color w:val="000000"/>
          <w:sz w:val="20"/>
        </w:rPr>
        <w:t xml:space="preserve">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20"/>
        <w:jc w:val="both"/>
        <w:rPr/>
      </w:pPr>
      <w:r>
        <w:rPr>
          <w:rFonts w:ascii="Times New Roman" w:hAnsi="Times New Roman"/>
          <w:b/>
          <w:i/>
          <w:color w:val="000000"/>
          <w:sz w:val="22"/>
        </w:rPr>
        <w:t>Attorneys’ Fees</w:t>
      </w:r>
      <w:r>
        <w:rPr>
          <w:rFonts w:ascii="Times New Roman" w:hAnsi="Times New Roman"/>
          <w:b/>
          <w:color w:val="000000"/>
          <w:sz w:val="22"/>
        </w:rPr>
        <w:t>.</w:t>
      </w:r>
      <w:r>
        <w:rPr>
          <w:color w:val="000000"/>
        </w:rPr>
        <w:t xml:space="preserve"> </w:t>
      </w:r>
      <w:r>
        <w:rPr>
          <w:rFonts w:ascii="Times New Roman" w:hAnsi="Times New Roman"/>
          <w:color w:val="000000"/>
          <w:sz w:val="22"/>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pPr>
      <w:r>
        <w:rPr>
          <w:rFonts w:ascii="Times New Roman" w:hAnsi="Times New Roman"/>
          <w:b/>
          <w:i/>
          <w:color w:val="000000"/>
          <w:sz w:val="22"/>
        </w:rPr>
        <w:t>Signatures.</w:t>
      </w:r>
      <w:r>
        <w:rPr>
          <w:color w:val="000000"/>
        </w:rPr>
        <w:t xml:space="preserve"> </w:t>
      </w:r>
      <w:r>
        <w:rPr>
          <w:rFonts w:ascii="Times New Roman" w:hAnsi="Times New Roman"/>
          <w:color w:val="000000"/>
          <w:sz w:val="22"/>
        </w:rPr>
        <w:t>This Agreement may be signed in two counterparts, each of which will be deemed an original, with the same force and effectiveness as though executed in a single document.</w:t>
      </w:r>
    </w:p>
    <w:p>
      <w:pPr>
        <w:pStyle w:val="TextBody"/>
        <w:bidi w:val="0"/>
        <w:spacing w:before="0" w:after="120"/>
        <w:jc w:val="center"/>
        <w:rPr/>
      </w:pPr>
      <w:r>
        <w:rPr/>
        <w:t> </w:t>
      </w:r>
    </w:p>
    <w:p>
      <w:pPr>
        <w:pStyle w:val="TextBody"/>
        <w:bidi w:val="0"/>
        <w:spacing w:before="0" w:after="1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Signed:</w:t>
      </w:r>
    </w:p>
    <w:p>
      <w:pPr>
        <w:pStyle w:val="TextBody"/>
        <w:bidi w:val="0"/>
        <w:spacing w:before="0" w:after="120"/>
        <w:jc w:val="both"/>
        <w:rPr/>
      </w:pPr>
      <w:r>
        <w:rPr/>
        <w: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CONSULTANT RXSIGHT, INC.</w:t>
      </w:r>
    </w:p>
    <w:p>
      <w:pPr>
        <w:pStyle w:val="TextBody"/>
        <w:bidi w:val="0"/>
        <w:spacing w:before="0" w:after="120"/>
        <w:jc w:val="both"/>
        <w:rPr/>
      </w:pPr>
      <w:r>
        <w:rPr/>
        <w:t> </w:t>
      </w:r>
    </w:p>
    <w:tbl>
      <w:tblPr>
        <w:tblW w:w="4543" w:type="dxa"/>
        <w:jc w:val="left"/>
        <w:tblInd w:w="0" w:type="dxa"/>
        <w:tblLayout w:type="fixed"/>
        <w:tblCellMar>
          <w:top w:w="28" w:type="dxa"/>
          <w:left w:w="28" w:type="dxa"/>
          <w:bottom w:w="28" w:type="dxa"/>
          <w:right w:w="28" w:type="dxa"/>
        </w:tblCellMar>
      </w:tblPr>
      <w:tblGrid>
        <w:gridCol w:w="2296"/>
        <w:gridCol w:w="146"/>
        <w:gridCol w:w="210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By: /s/ </w:t>
            </w:r>
            <w:r>
              <w:rPr>
                <w:rFonts w:ascii="Times New Roman" w:hAnsi="Times New Roman"/>
                <w:i/>
                <w:color w:val="000000"/>
                <w:sz w:val="22"/>
              </w:rPr>
              <w:t>Scott Gaines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/s/ </w:t>
            </w:r>
            <w:r>
              <w:rPr>
                <w:rFonts w:ascii="Times New Roman" w:hAnsi="Times New Roman"/>
                <w:i/>
                <w:color w:val="000000"/>
                <w:sz w:val="20"/>
              </w:rPr>
              <w:t>Mark Wilterding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Gaines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Mark Wilterding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Principal Consultant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CFO</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5/19/2026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5/21/2026</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Address for Notice: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EXHIBIT A.1</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SERVICES AND COMPENSATION</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pPr>
      <w:r>
        <w:rPr>
          <w:rFonts w:ascii="Times New Roman" w:hAnsi="Times New Roman"/>
          <w:b/>
          <w:i/>
          <w:color w:val="000000"/>
          <w:sz w:val="22"/>
        </w:rPr>
        <w:t>Contact</w:t>
      </w:r>
      <w:r>
        <w:rPr>
          <w:rFonts w:ascii="Times New Roman" w:hAnsi="Times New Roman"/>
          <w:b/>
          <w:color w:val="000000"/>
          <w:sz w:val="22"/>
        </w:rPr>
        <w:t>.</w:t>
      </w:r>
      <w:r>
        <w:rPr>
          <w:color w:val="000000"/>
        </w:rPr>
        <w:t xml:space="preserve"> </w:t>
      </w:r>
      <w:r>
        <w:rPr>
          <w:rFonts w:ascii="Times New Roman" w:hAnsi="Times New Roman"/>
          <w:color w:val="000000"/>
          <w:sz w:val="22"/>
        </w:rPr>
        <w:t>Consultant’s principal Company contact:</w:t>
      </w:r>
    </w:p>
    <w:p>
      <w:pPr>
        <w:pStyle w:val="TextBody"/>
        <w:bidi w:val="0"/>
        <w:ind w:left="1800" w:right="0" w:hanging="0"/>
        <w:jc w:val="left"/>
        <w:rPr>
          <w:rFonts w:ascii="Times New Roman" w:hAnsi="Times New Roman"/>
          <w:color w:val="000000"/>
          <w:sz w:val="22"/>
        </w:rPr>
      </w:pPr>
      <w:r>
        <w:rPr>
          <w:rFonts w:ascii="Times New Roman" w:hAnsi="Times New Roman"/>
          <w:color w:val="000000"/>
          <w:sz w:val="22"/>
        </w:rPr>
        <w:t>Name: Dr. Ron Kurtz</w:t>
      </w:r>
    </w:p>
    <w:p>
      <w:pPr>
        <w:pStyle w:val="TextBody"/>
        <w:bidi w:val="0"/>
        <w:ind w:left="1800" w:right="0" w:hanging="0"/>
        <w:jc w:val="left"/>
        <w:rPr>
          <w:rFonts w:ascii="Times New Roman" w:hAnsi="Times New Roman"/>
          <w:color w:val="000000"/>
          <w:sz w:val="22"/>
        </w:rPr>
      </w:pPr>
      <w:r>
        <w:rPr>
          <w:rFonts w:ascii="Times New Roman" w:hAnsi="Times New Roman"/>
          <w:color w:val="000000"/>
          <w:sz w:val="22"/>
        </w:rPr>
        <w:t>Title: Chief Executive Officer of the Company (“CEO”)</w:t>
      </w:r>
    </w:p>
    <w:p>
      <w:pPr>
        <w:pStyle w:val="TextBody"/>
        <w:bidi w:val="0"/>
        <w:ind w:left="1800" w:right="0" w:hanging="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120"/>
        <w:ind w:left="1800" w:right="0" w:hanging="0"/>
        <w:jc w:val="left"/>
        <w:rPr>
          <w:rFonts w:ascii="Times New Roman" w:hAnsi="Times New Roman"/>
          <w:color w:val="000000"/>
          <w:sz w:val="22"/>
        </w:rPr>
      </w:pPr>
      <w:r>
        <w:rPr>
          <w:rFonts w:ascii="Times New Roman" w:hAnsi="Times New Roman"/>
          <w:color w:val="000000"/>
          <w:sz w:val="22"/>
        </w:rPr>
        <w:t>Phone: [***]</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pPr>
      <w:r>
        <w:rPr>
          <w:rFonts w:ascii="Times New Roman" w:hAnsi="Times New Roman"/>
          <w:b/>
          <w:i/>
          <w:color w:val="000000"/>
          <w:sz w:val="22"/>
        </w:rPr>
        <w:t>Services</w:t>
      </w:r>
      <w:r>
        <w:rPr>
          <w:rFonts w:ascii="Times New Roman" w:hAnsi="Times New Roman"/>
          <w:color w:val="000000"/>
          <w:sz w:val="22"/>
        </w:rPr>
        <w:t>. The Services will include, but will not be limited to, supporting the Company’s Open Access initiative and growth of the Company’s IOL platform, as well as additional services that may be requested from time to time.</w:t>
      </w:r>
    </w:p>
    <w:p>
      <w:pPr>
        <w:pStyle w:val="TextBody"/>
        <w:bidi w:val="0"/>
        <w:spacing w:before="0" w:after="120"/>
        <w:ind w:left="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pPr>
      <w:r>
        <w:rPr>
          <w:rFonts w:ascii="Times New Roman" w:hAnsi="Times New Roman"/>
          <w:b/>
          <w:i/>
          <w:color w:val="000000"/>
          <w:sz w:val="22"/>
        </w:rPr>
        <w:t>Compensation</w:t>
      </w:r>
      <w:r>
        <w:rPr>
          <w:rFonts w:ascii="Times New Roman" w:hAnsi="Times New Roman"/>
          <w:b/>
          <w:color w:val="000000"/>
          <w:sz w:val="22"/>
        </w:rPr>
        <w:t>.</w:t>
      </w:r>
    </w:p>
    <w:p>
      <w:pPr>
        <w:pStyle w:val="TextBody"/>
        <w:bidi w:val="0"/>
        <w:spacing w:before="0" w:after="120"/>
        <w:ind w:left="0" w:right="0"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The Company will pay Consultant, or his designee, a fee of $250 per hour of Services performed by Consultant. Consultant will submit written invoices to the Company on a biweekly or monthly basis specifying the hours of Services performed, and each invoice will be payable in full within 30 calendar days. </w:t>
      </w:r>
    </w:p>
    <w:p>
      <w:pPr>
        <w:pStyle w:val="TextBody"/>
        <w:bidi w:val="0"/>
        <w:spacing w:before="0" w:after="120"/>
        <w:ind w:left="0" w:right="0" w:firstLine="14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As long as Scott Gaines remains the representative of Consultant and continues to provide Services to the Company, under the terms of the Company’s 2021 Equity Incentive Plan and/or the Company’s 2015 Equity Incentive Plan, as amended (each an “Equity Plan”) and an option agreement under the applicable Equity Plan between Mr. Gaines and the Company (each an “Option Agreement”), Mr. Gaines will continue to vest in the Consultant’s outstanding and unvested options during the period that Consultant is continuing to use Mr. Gaines to provide Services to the Company under this Agreement. The options will remain subject to the terms and conditions of the applicable Equity Plan and Option Agreements.</w:t>
      </w:r>
    </w:p>
    <w:p>
      <w:pPr>
        <w:pStyle w:val="TextBody"/>
        <w:bidi w:val="0"/>
        <w:spacing w:before="0" w:after="120"/>
        <w:ind w:left="0" w:right="0" w:firstLine="14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The Company will reimburse Consultant, in accordance with Company policy, for all reasonable expenses incurred by Consultant in performing the Services under this Agreement, if Consultant receives written consent from an authorized agent of the Company prior to incurring any expense above $250 and submits receipts for such expenses to the Company in accordance with Company policy.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Signed:</w:t>
      </w:r>
    </w:p>
    <w:p>
      <w:pPr>
        <w:pStyle w:val="TextBody"/>
        <w:bidi w:val="0"/>
        <w:spacing w:before="0" w:after="120"/>
        <w:jc w:val="left"/>
        <w:rPr/>
      </w:pPr>
      <w:r>
        <w:rPr/>
        <w:t> </w:t>
      </w:r>
    </w:p>
    <w:tbl>
      <w:tblPr>
        <w:tblW w:w="4543" w:type="dxa"/>
        <w:jc w:val="left"/>
        <w:tblInd w:w="0" w:type="dxa"/>
        <w:tblLayout w:type="fixed"/>
        <w:tblCellMar>
          <w:top w:w="28" w:type="dxa"/>
          <w:left w:w="28" w:type="dxa"/>
          <w:bottom w:w="28" w:type="dxa"/>
          <w:right w:w="28" w:type="dxa"/>
        </w:tblCellMar>
      </w:tblPr>
      <w:tblGrid>
        <w:gridCol w:w="2296"/>
        <w:gridCol w:w="146"/>
        <w:gridCol w:w="210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By: /s/ </w:t>
            </w:r>
            <w:r>
              <w:rPr>
                <w:rFonts w:ascii="Times New Roman" w:hAnsi="Times New Roman"/>
                <w:i/>
                <w:color w:val="000000"/>
                <w:sz w:val="22"/>
              </w:rPr>
              <w:t>Scott Gaines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/s/ </w:t>
            </w:r>
            <w:r>
              <w:rPr>
                <w:rFonts w:ascii="Times New Roman" w:hAnsi="Times New Roman"/>
                <w:i/>
                <w:color w:val="000000"/>
                <w:sz w:val="20"/>
              </w:rPr>
              <w:t>Mark Wilterding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Gaines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Mark Wilterding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Principal Consultant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CFO</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5/19/2026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5/21/2026</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rxst-ex10_5.htm"/>
      <w:bookmarkStart w:id="39" w:name="ksrxstex10_5"/>
      <w:bookmarkEnd w:id="38"/>
      <w:bookmarkEnd w:id="39"/>
      <w:r>
        <w:rPr/>
        <w:t> </w:t>
      </w:r>
      <w:r>
        <w:br w:type="page"/>
      </w:r>
    </w:p>
    <w:p>
      <w:pPr>
        <w:pStyle w:val="TextBody"/>
        <w:bidi w:val="0"/>
        <w:spacing w:before="240" w:after="283"/>
        <w:jc w:val="right"/>
        <w:rPr>
          <w:rFonts w:ascii="Times New Roman" w:hAnsi="Times New Roman"/>
          <w:b/>
          <w:caps/>
          <w:color w:val="000000"/>
          <w:sz w:val="24"/>
        </w:rPr>
      </w:pPr>
      <w:r>
        <w:rPr>
          <w:rFonts w:ascii="Times New Roman" w:hAnsi="Times New Roman"/>
          <w:b/>
          <w:caps/>
          <w:color w:val="000000"/>
          <w:sz w:val="24"/>
        </w:rPr>
        <w:t>exhibit 10.5</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Rxsight, INC.</w:t>
      </w:r>
    </w:p>
    <w:p>
      <w:pPr>
        <w:pStyle w:val="TextBody"/>
        <w:bidi w:val="0"/>
        <w:jc w:val="center"/>
        <w:rPr>
          <w:rFonts w:ascii="Times New Roman" w:hAnsi="Times New Roman"/>
          <w:b/>
          <w:color w:val="000000"/>
          <w:sz w:val="24"/>
        </w:rPr>
      </w:pPr>
      <w:r>
        <w:rPr>
          <w:rFonts w:ascii="Times New Roman" w:hAnsi="Times New Roman"/>
          <w:b/>
          <w:color w:val="000000"/>
          <w:sz w:val="24"/>
        </w:rPr>
        <w:br/>
        <w:t>AMENDMENT TO CHANGE IN CONTROL AND SEVERANCE AGREEMENT</w:t>
      </w:r>
    </w:p>
    <w:p>
      <w:pPr>
        <w:pStyle w:val="TextBody"/>
        <w:bidi w:val="0"/>
        <w:spacing w:before="216" w:after="283"/>
        <w:ind w:left="0" w:right="72" w:hanging="0"/>
        <w:jc w:val="both"/>
        <w:rPr>
          <w:rFonts w:ascii="Times New Roman" w:hAnsi="Times New Roman"/>
          <w:sz w:val="20"/>
        </w:rPr>
      </w:pPr>
      <w:r>
        <w:rPr>
          <w:rFonts w:ascii="Times New Roman" w:hAnsi="Times New Roman"/>
          <w:color w:val="000000"/>
          <w:sz w:val="24"/>
        </w:rPr>
        <w:t>This Amendment to Change in Control and Severance Agreement (the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made by and between RxSight,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Ron Kurtz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effective as of April 17,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216" w:after="283"/>
        <w:ind w:left="0" w:right="72" w:hanging="0"/>
        <w:jc w:val="both"/>
        <w:rPr>
          <w:rFonts w:ascii="Times New Roman" w:hAnsi="Times New Roman"/>
          <w:sz w:val="20"/>
        </w:rPr>
      </w:pPr>
      <w:r>
        <w:rPr>
          <w:rFonts w:ascii="Times New Roman" w:hAnsi="Times New Roman"/>
          <w:color w:val="000000"/>
          <w:sz w:val="24"/>
        </w:rPr>
        <w:t>WHEREAS, the Company and Executive previously entered into a Change in Control and Severance Agreement effective as of July 16, 2021 (the “</w:t>
      </w:r>
      <w:r>
        <w:rPr>
          <w:rFonts w:ascii="Times New Roman" w:hAnsi="Times New Roman"/>
          <w:b/>
          <w:color w:val="000000"/>
          <w:sz w:val="24"/>
        </w:rPr>
        <w:t>Agreemen</w:t>
      </w:r>
      <w:r>
        <w:rPr>
          <w:rFonts w:ascii="Times New Roman" w:hAnsi="Times New Roman"/>
          <w:color w:val="000000"/>
          <w:sz w:val="24"/>
        </w:rPr>
        <w:t>t”);</w:t>
      </w:r>
      <w:r>
        <w:rPr>
          <w:rFonts w:ascii="Times New Roman" w:hAnsi="Times New Roman"/>
          <w:color w:val="000000"/>
          <w:sz w:val="20"/>
        </w:rPr>
        <w:t xml:space="preserve"> </w:t>
      </w:r>
    </w:p>
    <w:p>
      <w:pPr>
        <w:pStyle w:val="TextBody"/>
        <w:bidi w:val="0"/>
        <w:spacing w:before="216" w:after="283"/>
        <w:ind w:left="0" w:right="72" w:hanging="0"/>
        <w:jc w:val="both"/>
        <w:rPr>
          <w:rFonts w:ascii="Times New Roman" w:hAnsi="Times New Roman"/>
          <w:sz w:val="20"/>
        </w:rPr>
      </w:pPr>
      <w:r>
        <w:rPr>
          <w:rFonts w:ascii="Times New Roman" w:hAnsi="Times New Roman"/>
          <w:color w:val="000000"/>
          <w:sz w:val="24"/>
        </w:rPr>
        <w:t>WHEREAS, the Company and Executive have agreed to amend the Agreement to increase certain severance benefits provided for under the Agreement in the event of the Executive’s Qualifying CIC Termination (as defined in the Agreement); and</w:t>
      </w:r>
      <w:r>
        <w:rPr>
          <w:rFonts w:ascii="Times New Roman" w:hAnsi="Times New Roman"/>
          <w:color w:val="000000"/>
          <w:sz w:val="20"/>
        </w:rPr>
        <w:t xml:space="preserve"> </w:t>
      </w:r>
    </w:p>
    <w:p>
      <w:pPr>
        <w:pStyle w:val="TextBody"/>
        <w:bidi w:val="0"/>
        <w:spacing w:before="216" w:after="283"/>
        <w:ind w:left="0" w:right="72" w:hanging="0"/>
        <w:jc w:val="both"/>
        <w:rPr>
          <w:rFonts w:ascii="Times New Roman" w:hAnsi="Times New Roman"/>
          <w:color w:val="000000"/>
          <w:sz w:val="24"/>
        </w:rPr>
      </w:pPr>
      <w:r>
        <w:rPr>
          <w:rFonts w:ascii="Times New Roman" w:hAnsi="Times New Roman"/>
          <w:color w:val="000000"/>
          <w:sz w:val="24"/>
        </w:rPr>
        <w:t>WHEREAS, unless defined otherwise, the defined terms in this Amendment shall have the same meanings in the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foregoing, and for other good and valuable consideration, the receipt and sufficiency of which are hereby acknowledged, the Company and Executive, intending legally to be bound, hereby agree as follows:</w:t>
      </w:r>
    </w:p>
    <w:p>
      <w:pPr>
        <w:pStyle w:val="TextBody"/>
        <w:bidi w:val="0"/>
        <w:jc w:val="both"/>
        <w:rPr/>
      </w:pPr>
      <w:r>
        <w:rPr/>
        <w:t> </w:t>
      </w:r>
    </w:p>
    <w:p>
      <w:pPr>
        <w:pStyle w:val="TextBody"/>
        <w:bidi w:val="0"/>
        <w:spacing w:before="0" w:after="0"/>
        <w:ind w:left="547" w:right="720" w:firstLine="187"/>
        <w:jc w:val="both"/>
        <w:rPr>
          <w:rFonts w:ascii="Times New Roman" w:hAnsi="Times New Roman"/>
          <w:b/>
          <w:color w:val="000000"/>
          <w:sz w:val="24"/>
        </w:rPr>
      </w:pPr>
      <w:r>
        <w:rPr>
          <w:rFonts w:ascii="Times New Roman" w:hAnsi="Times New Roman"/>
          <w:b/>
          <w:color w:val="000000"/>
          <w:sz w:val="24"/>
        </w:rPr>
        <w:t>I.</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Amendment of Section 3(b)(i) of the Agreement: Salary Severance</w:t>
      </w:r>
    </w:p>
    <w:p>
      <w:pPr>
        <w:pStyle w:val="TextBody"/>
        <w:bidi w:val="0"/>
        <w:spacing w:before="144" w:after="283"/>
        <w:ind w:left="540" w:right="720" w:firstLine="180"/>
        <w:jc w:val="both"/>
        <w:rPr>
          <w:rFonts w:ascii="Times New Roman" w:hAnsi="Times New Roman"/>
          <w:color w:val="000000"/>
          <w:sz w:val="24"/>
        </w:rPr>
      </w:pPr>
      <w:r>
        <w:rPr>
          <w:rFonts w:ascii="Times New Roman" w:hAnsi="Times New Roman"/>
          <w:color w:val="000000"/>
          <w:sz w:val="24"/>
        </w:rPr>
        <w:t>The first and only sentence of Section 3(b)(i) of the Agreement, entitled “Salary Severance” is amended by increasing the amount of the lump sum salary severance payment from “18 months” to “24 months”.</w:t>
      </w:r>
    </w:p>
    <w:p>
      <w:pPr>
        <w:pStyle w:val="TextBody"/>
        <w:bidi w:val="0"/>
        <w:spacing w:before="0" w:after="0"/>
        <w:ind w:left="547" w:right="720" w:firstLine="187"/>
        <w:jc w:val="both"/>
        <w:rPr>
          <w:rFonts w:ascii="Times New Roman" w:hAnsi="Times New Roman"/>
          <w:b/>
          <w:color w:val="000000"/>
          <w:sz w:val="24"/>
        </w:rPr>
      </w:pPr>
      <w:r>
        <w:rPr>
          <w:rFonts w:ascii="Times New Roman" w:hAnsi="Times New Roman"/>
          <w:b/>
          <w:color w:val="000000"/>
          <w:sz w:val="24"/>
        </w:rPr>
        <w:t>II.</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Amendment of Section 3(b)(ii) of the Agreement: Bonus Severance</w:t>
      </w:r>
    </w:p>
    <w:p>
      <w:pPr>
        <w:pStyle w:val="TextBody"/>
        <w:bidi w:val="0"/>
        <w:spacing w:before="144" w:after="283"/>
        <w:ind w:left="540" w:right="720" w:firstLine="180"/>
        <w:jc w:val="both"/>
        <w:rPr>
          <w:rFonts w:ascii="Times New Roman" w:hAnsi="Times New Roman"/>
          <w:color w:val="000000"/>
          <w:sz w:val="24"/>
        </w:rPr>
      </w:pPr>
      <w:r>
        <w:rPr>
          <w:rFonts w:ascii="Times New Roman" w:hAnsi="Times New Roman"/>
          <w:color w:val="000000"/>
          <w:sz w:val="24"/>
        </w:rPr>
        <w:t>The first and only sentence of Section 3(b)(ii) of the Agreement, entitled “Bonus Severance” is amended by increasing the amount of the lump sum bonus severance payment from “18 months” to “24 months”.</w:t>
      </w:r>
    </w:p>
    <w:p>
      <w:pPr>
        <w:pStyle w:val="TextBody"/>
        <w:bidi w:val="0"/>
        <w:spacing w:before="144" w:after="283"/>
        <w:ind w:left="0" w:right="72" w:firstLine="720"/>
        <w:jc w:val="both"/>
        <w:rPr>
          <w:rFonts w:ascii="Times New Roman" w:hAnsi="Times New Roman"/>
          <w:color w:val="000000"/>
          <w:sz w:val="24"/>
        </w:rPr>
      </w:pPr>
      <w:r>
        <w:rPr>
          <w:rFonts w:ascii="Times New Roman" w:hAnsi="Times New Roman"/>
          <w:color w:val="000000"/>
          <w:sz w:val="24"/>
        </w:rPr>
        <w:t>This Amendment and the Agreement (to the extent not amended hereby), together with the documents referenced in the Agreement, constitute the entire agreement and understanding between the Company and Executive concerning the subject matter herein and supersede and replace in their entirety all prior and contemporaneous agreements and understandings whether written or oral between Executive and Company. Except as expressly modified by the terms of this Amendment, the Agreement will remain in full force and effect in accordance with its terms. This Amendment will be governed by the laws of the State of California (with the exception of its conflict of law provisions).</w:t>
      </w:r>
    </w:p>
    <w:p>
      <w:pPr>
        <w:pStyle w:val="TextBody"/>
        <w:bidi w:val="0"/>
        <w:spacing w:before="144" w:after="283"/>
        <w:ind w:left="0" w:right="72" w:firstLine="720"/>
        <w:jc w:val="both"/>
        <w:rPr/>
      </w:pPr>
      <w:r>
        <w:rPr/>
        <w:t> </w:t>
      </w:r>
    </w:p>
    <w:p>
      <w:pPr>
        <w:pStyle w:val="TextBody"/>
        <w:bidi w:val="0"/>
        <w:ind w:left="360" w:right="0" w:hanging="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spacing w:before="0" w:after="240"/>
        <w:ind w:left="0" w:right="0" w:firstLine="7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By its signature below, each of the parties signifies its acceptance of the terms of this Amendment, in the case of the Company by its duly authorized officer, as of the Effective Date.</w:t>
      </w:r>
    </w:p>
    <w:p>
      <w:pPr>
        <w:pStyle w:val="TextBody"/>
        <w:bidi w:val="0"/>
        <w:jc w:val="both"/>
        <w:rPr/>
      </w:pPr>
      <w:r>
        <w:rPr/>
        <w:t> </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RxSight, Inc. Executive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 xml:space="preserve">/s/ Mark Wilterding /s/ Ron Kurtz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CFO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Mark Wilterding</w:t>
      </w:r>
      <w:r>
        <w:rPr>
          <w:rFonts w:ascii="Times New Roman" w:hAnsi="Times New Roman"/>
          <w:color w:val="000000"/>
          <w:sz w:val="24"/>
        </w:rPr>
        <w:t>________________</w:t>
      </w:r>
    </w:p>
    <w:p>
      <w:pPr>
        <w:pStyle w:val="TextBody"/>
        <w:bidi w:val="0"/>
        <w:spacing w:before="144" w:after="283"/>
        <w:ind w:left="0" w:right="72" w:firstLine="720"/>
        <w:jc w:val="left"/>
        <w:rPr/>
      </w:pPr>
      <w:r>
        <w:rPr/>
        <w:t> </w:t>
      </w:r>
    </w:p>
    <w:p>
      <w:pPr>
        <w:pStyle w:val="TextBody"/>
        <w:bidi w:val="0"/>
        <w:spacing w:before="144" w:after="283"/>
        <w:ind w:left="0" w:right="72" w:firstLine="72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720"/>
        <w:jc w:val="right"/>
        <w:rPr/>
      </w:pPr>
      <w:bookmarkStart w:id="40" w:name="rxst-ex10_6.htm"/>
      <w:bookmarkStart w:id="41" w:name="ksrxstex10_6"/>
      <w:bookmarkEnd w:id="40"/>
      <w:bookmarkEnd w:id="41"/>
      <w:r>
        <w:rPr/>
        <w:t> </w:t>
      </w:r>
      <w:r>
        <w:br w:type="page"/>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July 13, 2026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Ron Kurtz</w:t>
      </w:r>
    </w:p>
    <w:p>
      <w:pPr>
        <w:pStyle w:val="TextBody"/>
        <w:bidi w:val="0"/>
        <w:jc w:val="left"/>
        <w:rPr>
          <w:rFonts w:ascii="Times New Roman" w:hAnsi="Times New Roman"/>
          <w:color w:val="000000"/>
          <w:sz w:val="24"/>
        </w:rPr>
      </w:pPr>
      <w:r>
        <w:rPr>
          <w:rFonts w:ascii="Times New Roman" w:hAnsi="Times New Roman"/>
          <w:color w:val="000000"/>
          <w:sz w:val="24"/>
        </w:rPr>
        <w:t>c/o RxSight, Inc.</w:t>
      </w:r>
    </w:p>
    <w:p>
      <w:pPr>
        <w:pStyle w:val="TextBody"/>
        <w:bidi w:val="0"/>
        <w:jc w:val="left"/>
        <w:rPr>
          <w:rFonts w:ascii="Times New Roman" w:hAnsi="Times New Roman"/>
          <w:sz w:val="20"/>
        </w:rPr>
      </w:pPr>
      <w:r>
        <w:rPr>
          <w:rFonts w:ascii="Times New Roman" w:hAnsi="Times New Roman"/>
          <w:color w:val="202124"/>
          <w:sz w:val="24"/>
        </w:rPr>
        <w:t>100 Columbia,</w:t>
      </w:r>
      <w:r>
        <w:rPr>
          <w:rFonts w:ascii="Times New Roman" w:hAnsi="Times New Roman"/>
          <w:color w:val="202124"/>
          <w:sz w:val="20"/>
        </w:rPr>
        <w:t xml:space="preserve"> </w:t>
      </w:r>
    </w:p>
    <w:p>
      <w:pPr>
        <w:pStyle w:val="TextBody"/>
        <w:bidi w:val="0"/>
        <w:jc w:val="left"/>
        <w:rPr>
          <w:rFonts w:ascii="Times New Roman" w:hAnsi="Times New Roman"/>
          <w:color w:val="202124"/>
          <w:sz w:val="24"/>
        </w:rPr>
      </w:pPr>
      <w:r>
        <w:rPr>
          <w:rFonts w:ascii="Times New Roman" w:hAnsi="Times New Roman"/>
          <w:color w:val="202124"/>
          <w:sz w:val="24"/>
        </w:rPr>
        <w:t>Aliso Viejo, CA 92656</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Re: Transition Employment Letter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Dear Ron:</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4"/>
        </w:rPr>
        <w:t>This letter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between Ron Kurtz (“</w:t>
      </w:r>
      <w:r>
        <w:rPr>
          <w:rFonts w:ascii="Times New Roman" w:hAnsi="Times New Roman"/>
          <w:b/>
          <w:color w:val="000000"/>
          <w:sz w:val="24"/>
        </w:rPr>
        <w:t>you</w:t>
      </w:r>
      <w:r>
        <w:rPr>
          <w:rFonts w:ascii="Times New Roman" w:hAnsi="Times New Roman"/>
          <w:color w:val="000000"/>
          <w:sz w:val="20"/>
        </w:rPr>
        <w:t>”</w:t>
      </w:r>
      <w:r>
        <w:rPr>
          <w:rFonts w:ascii="Times New Roman" w:hAnsi="Times New Roman"/>
          <w:color w:val="000000"/>
          <w:sz w:val="24"/>
        </w:rPr>
        <w:t>) and RxSight, Inc. (the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we</w:t>
      </w:r>
      <w:r>
        <w:rPr>
          <w:rFonts w:ascii="Times New Roman" w:hAnsi="Times New Roman"/>
          <w:color w:val="000000"/>
          <w:sz w:val="20"/>
        </w:rPr>
        <w:t>”</w:t>
      </w:r>
      <w:r>
        <w:rPr>
          <w:rFonts w:ascii="Times New Roman" w:hAnsi="Times New Roman"/>
          <w:color w:val="000000"/>
          <w:sz w:val="24"/>
        </w:rPr>
        <w:t xml:space="preserve">). This Agreement will be effective as of </w:t>
      </w:r>
      <w:r>
        <w:rPr>
          <w:rFonts w:ascii="Times New Roman" w:hAnsi="Times New Roman"/>
          <w:b/>
          <w:color w:val="000000"/>
          <w:sz w:val="24"/>
        </w:rPr>
        <w:t xml:space="preserve">July 20, 2026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The purpose of this Agreement is to confirm the terms and conditions of your employment.</w:t>
      </w:r>
      <w:r>
        <w:rPr>
          <w:rFonts w:ascii="Times New Roman" w:hAnsi="Times New Roman"/>
          <w:color w:val="000000"/>
          <w:sz w:val="20"/>
        </w:rPr>
        <w:t xml:space="preserve">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color w:val="000000"/>
          <w:sz w:val="24"/>
        </w:rPr>
        <w:t>Position</w:t>
      </w:r>
      <w:r>
        <w:rPr>
          <w:rFonts w:ascii="Times New Roman" w:hAnsi="Times New Roman"/>
          <w:color w:val="000000"/>
          <w:sz w:val="24"/>
        </w:rPr>
        <w:t>. Commencing on the Effective Date, your position with the Company will be Chief Medical Officer, and you will report to the Company’s Chief Executive Officer or to such other person as the Company subsequently may determine. This is a full-time position. You will perform the duties and have the responsibilities and authority customarily performed and held by an employee in your position or as otherwise may be assigned or delegated to you by the Company. While you render services to the Company, you will not engage in any other employment, consulting or other business activity (whether full</w:t>
        <w:noBreakHyphen/>
        <w:t>time or part-time) that would create a conflict of interest with the Company. By signing this Agreement, you reconfirm to the Company that you have no contractual commitments or other legal obligations that would prohibit you from performing your duties for the Company.</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rPr>
        <w:t>Cash Compensation</w:t>
      </w:r>
      <w:r>
        <w:rPr>
          <w:rFonts w:ascii="Times New Roman" w:hAnsi="Times New Roman"/>
          <w:color w:val="000000"/>
          <w:sz w:val="24"/>
        </w:rPr>
        <w:t>. As of the Effective Date, your annual base salary will continue to be $740,000.00, which will be payable, less applicable withholdings and deductions, in accordance with the Company’s normal payroll practices. Your annual base salary will be subject to review and adjustment based upon the Company’s normal performance review practices.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b/>
          <w:color w:val="000000"/>
          <w:sz w:val="24"/>
        </w:rPr>
        <w:t>Annual Bonus</w:t>
      </w:r>
      <w:r>
        <w:rPr>
          <w:rFonts w:ascii="Times New Roman" w:hAnsi="Times New Roman"/>
          <w:color w:val="000000"/>
          <w:sz w:val="24"/>
        </w:rPr>
        <w:t>. As of the Effective Date, you will be eligible to earn an annual cash bonus with a target value of 100% of your base salary, based on achieving the Company’s achievement of corporate performance objectives established by the Company’s Board of Directors (the “</w:t>
      </w:r>
      <w:r>
        <w:rPr>
          <w:rFonts w:ascii="Times New Roman" w:hAnsi="Times New Roman"/>
          <w:b/>
          <w:color w:val="000000"/>
          <w:sz w:val="24"/>
        </w:rPr>
        <w:t>Board</w:t>
      </w:r>
      <w:r>
        <w:rPr>
          <w:color w:val="000000"/>
        </w:rPr>
        <w:t>”</w:t>
      </w:r>
      <w:r>
        <w:rPr>
          <w:rFonts w:ascii="Times New Roman" w:hAnsi="Times New Roman"/>
          <w:color w:val="000000"/>
          <w:sz w:val="24"/>
        </w:rPr>
        <w:t>) or an authorized committee thereof (the “</w:t>
      </w:r>
      <w:r>
        <w:rPr>
          <w:rFonts w:ascii="Times New Roman" w:hAnsi="Times New Roman"/>
          <w:b/>
          <w:color w:val="000000"/>
          <w:sz w:val="24"/>
        </w:rPr>
        <w:t>Committee</w:t>
      </w:r>
      <w:r>
        <w:rPr>
          <w:color w:val="000000"/>
        </w:rPr>
        <w:t>”</w:t>
      </w:r>
      <w:r>
        <w:rPr>
          <w:rFonts w:ascii="Times New Roman" w:hAnsi="Times New Roman"/>
          <w:color w:val="000000"/>
          <w:sz w:val="24"/>
        </w:rPr>
        <w:t>) and payable upon achievement of the corporate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b/>
          <w:color w:val="000000"/>
          <w:sz w:val="24"/>
        </w:rPr>
        <w:t>Retention Bonus</w:t>
      </w:r>
      <w:r>
        <w:rPr>
          <w:rFonts w:ascii="Times New Roman" w:hAnsi="Times New Roman"/>
          <w:color w:val="000000"/>
          <w:sz w:val="24"/>
        </w:rPr>
        <w:t>. Subject to the terms of the Amended Severance Agreement, if you remain an employee of the Company through each of January 1, 2027, July 1, 2027, January 1, 2028 and July 1, 2028 (each a “</w:t>
      </w:r>
      <w:r>
        <w:rPr>
          <w:rFonts w:ascii="Times New Roman" w:hAnsi="Times New Roman"/>
          <w:b/>
          <w:color w:val="000000"/>
          <w:sz w:val="24"/>
        </w:rPr>
        <w:t>Retention Date</w:t>
      </w:r>
      <w:r>
        <w:rPr>
          <w:color w:val="000000"/>
        </w:rPr>
        <w:t>”</w:t>
      </w:r>
      <w:r>
        <w:rPr>
          <w:rFonts w:ascii="Times New Roman" w:hAnsi="Times New Roman"/>
          <w:color w:val="000000"/>
          <w:sz w:val="24"/>
        </w:rPr>
        <w:t xml:space="preserve">), the Company will pay you a retention bonus (each a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Retention Bonus</w:t>
      </w:r>
      <w:r>
        <w:rPr>
          <w:color w:val="000000"/>
        </w:rPr>
        <w:t>”</w:t>
      </w:r>
      <w:r>
        <w:rPr>
          <w:rFonts w:ascii="Times New Roman" w:hAnsi="Times New Roman"/>
          <w:color w:val="000000"/>
          <w:sz w:val="24"/>
        </w:rPr>
        <w:t>, and collectively, the “</w:t>
      </w:r>
      <w:r>
        <w:rPr>
          <w:rFonts w:ascii="Times New Roman" w:hAnsi="Times New Roman"/>
          <w:b/>
          <w:color w:val="000000"/>
          <w:sz w:val="24"/>
        </w:rPr>
        <w:t>Retention Bonuses</w:t>
      </w:r>
      <w:r>
        <w:rPr>
          <w:color w:val="000000"/>
        </w:rPr>
        <w:t>”</w:t>
      </w:r>
      <w:r>
        <w:rPr>
          <w:rFonts w:ascii="Times New Roman" w:hAnsi="Times New Roman"/>
          <w:color w:val="000000"/>
          <w:sz w:val="24"/>
        </w:rPr>
        <w:t>) in the amount of $370,000 on each such Retention Date, less applicable withholdings and deductions in accordance with the Company’s normal payroll practices. For purposes of clarity, the aggregate amount of the Retention Bonuses if you remain an employee through each Retention Date is $1,480,000.</w:t>
      </w:r>
      <w:r>
        <w:rPr>
          <w:color w:val="000000"/>
        </w:rPr>
        <w:t xml:space="preserve">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rPr>
        <w:t>RSU Award</w:t>
      </w:r>
      <w:r>
        <w:rPr>
          <w:rFonts w:ascii="Times New Roman" w:hAnsi="Times New Roman"/>
          <w:color w:val="000000"/>
          <w:sz w:val="24"/>
        </w:rPr>
        <w:t>. As equity compensation, you will be granted an award of restricted stock units (the “</w:t>
      </w:r>
      <w:r>
        <w:rPr>
          <w:rFonts w:ascii="Times New Roman" w:hAnsi="Times New Roman"/>
          <w:b/>
          <w:color w:val="000000"/>
          <w:sz w:val="24"/>
        </w:rPr>
        <w:t>RSU Award</w:t>
      </w:r>
      <w:r>
        <w:rPr>
          <w:color w:val="000000"/>
        </w:rPr>
        <w:t>”</w:t>
      </w:r>
      <w:r>
        <w:rPr>
          <w:rFonts w:ascii="Times New Roman" w:hAnsi="Times New Roman"/>
          <w:color w:val="000000"/>
          <w:sz w:val="24"/>
        </w:rPr>
        <w:t>) covering 500,000 shares of the Company’s Common Stock. The RSU Award will be subject to the terms and conditions of the Company’s 2021 Equity Incentive Plan (the “</w:t>
      </w:r>
      <w:r>
        <w:rPr>
          <w:rFonts w:ascii="Times New Roman" w:hAnsi="Times New Roman"/>
          <w:b/>
          <w:color w:val="000000"/>
          <w:sz w:val="24"/>
        </w:rPr>
        <w:t>Equity Plan</w:t>
      </w:r>
      <w:r>
        <w:rPr>
          <w:color w:val="000000"/>
        </w:rPr>
        <w:t>”</w:t>
      </w:r>
      <w:r>
        <w:rPr>
          <w:rFonts w:ascii="Times New Roman" w:hAnsi="Times New Roman"/>
          <w:color w:val="000000"/>
          <w:sz w:val="24"/>
        </w:rPr>
        <w:t>) and an award agreement thereunder between you and the Company. The grant date of the RSU Award (the “</w:t>
      </w:r>
      <w:r>
        <w:rPr>
          <w:rFonts w:ascii="Times New Roman" w:hAnsi="Times New Roman"/>
          <w:b/>
          <w:color w:val="000000"/>
          <w:sz w:val="24"/>
        </w:rPr>
        <w:t>RSU Grant Date</w:t>
      </w:r>
      <w:r>
        <w:rPr>
          <w:color w:val="000000"/>
        </w:rPr>
        <w:t>”</w:t>
      </w:r>
      <w:r>
        <w:rPr>
          <w:rFonts w:ascii="Times New Roman" w:hAnsi="Times New Roman"/>
          <w:color w:val="000000"/>
          <w:sz w:val="24"/>
        </w:rPr>
        <w:t xml:space="preserve">) will be as soon as practicable on or following the date that the Board determines that sufficient shares of the Company’s Common Stock are reserved and available under the Equity Plan to permit the issuance of the RSU Award, but in no event later than January 31, 2027. Subject to the terms of the Amended Severance Agreement, the RSU Award will be subject to vesting on the following terms: 20% of the shares subject to the RSU Award will vest on each of August 1, 2026, February 1, 2027, August 1, 2027, February 1, 2028 and August 1, 2028, subject to your continued employment with the Company through each applicable vesting date and the terms of the applicable RSU Award agreement.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b/>
          <w:color w:val="000000"/>
          <w:sz w:val="24"/>
        </w:rPr>
        <w:t>Employee Benefits</w:t>
      </w:r>
      <w:r>
        <w:rPr>
          <w:rFonts w:ascii="Times New Roman" w:hAnsi="Times New Roman"/>
          <w:color w:val="000000"/>
          <w:sz w:val="24"/>
        </w:rPr>
        <w:t>. As a regular full-time employee of the Company, you will continue to be eligible to participate in Company-sponsored benefits in accordance with the terms of the Company’s policies and benefits plan. Information regarding coverage, eligibility, and other information regarding these benefits is set forth in more detailed documents that are available from the Company. With the exception of the Company’s at-will employment policy, discussed below, the Company may, from time to time, in its sole discretion, modify or eliminate its policies and/or benefits offered to employees.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rPr>
        <w:t>Severance</w:t>
      </w:r>
      <w:r>
        <w:rPr>
          <w:rFonts w:ascii="Times New Roman" w:hAnsi="Times New Roman"/>
          <w:color w:val="000000"/>
          <w:sz w:val="24"/>
        </w:rPr>
        <w:t>. On the Effective Date, you and the Company shall enter into an Amended and Restated Change in Control and Severance Agreement (the “</w:t>
      </w:r>
      <w:r>
        <w:rPr>
          <w:rFonts w:ascii="Times New Roman" w:hAnsi="Times New Roman"/>
          <w:b/>
          <w:color w:val="000000"/>
          <w:sz w:val="24"/>
        </w:rPr>
        <w:t>Amended Severance Agreement</w:t>
      </w:r>
      <w:r>
        <w:rPr>
          <w:color w:val="000000"/>
        </w:rPr>
        <w:t>”</w:t>
      </w:r>
      <w:r>
        <w:rPr>
          <w:rFonts w:ascii="Times New Roman" w:hAnsi="Times New Roman"/>
          <w:color w:val="000000"/>
          <w:sz w:val="24"/>
        </w:rPr>
        <w:t>) applicable to you based on your position with the Company, provided that, by executing this Agreement, you acknowledge and agree that your transition from the role of the Company’s President and Chief Executive Officer to the role of the Company’s Chief Medical Officer and the corresponding change in your duties, authorities and responsibilities will not constitute “Good Reason” under the Amended Severance Agreement. The Amended Severance Agreement will specify the severance payments and benefits you would be eligible to receive in connection with certain terminations of your employment with the Company. The Amended Severance Agreement will supersede all other severance payments and benefits you would otherwise currently be eligible for, or would become eligible for in the future, under any plan, program or policy that the Company may have in effect from time to time. By entering into this Agreement, you agree that, on the Effective Date, your Change in Control and Severance Agreement with the Company effective on July 16, 2021 (as amended, the “</w:t>
      </w:r>
      <w:r>
        <w:rPr>
          <w:rFonts w:ascii="Times New Roman" w:hAnsi="Times New Roman"/>
          <w:b/>
          <w:color w:val="000000"/>
          <w:sz w:val="24"/>
        </w:rPr>
        <w:t>Severance Agreement</w:t>
      </w:r>
      <w:r>
        <w:rPr>
          <w:color w:val="000000"/>
        </w:rPr>
        <w:t>”</w:t>
      </w:r>
      <w:r>
        <w:rPr>
          <w:rFonts w:ascii="Times New Roman" w:hAnsi="Times New Roman"/>
          <w:color w:val="000000"/>
          <w:sz w:val="24"/>
        </w:rPr>
        <w:t>) will be terminated and of no further force or effect.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b/>
          <w:color w:val="000000"/>
          <w:sz w:val="24"/>
        </w:rPr>
        <w:t>Proprietary Information and Inventions Agreement</w:t>
      </w:r>
      <w:r>
        <w:rPr>
          <w:rFonts w:ascii="Times New Roman" w:hAnsi="Times New Roman"/>
          <w:color w:val="000000"/>
          <w:sz w:val="24"/>
        </w:rPr>
        <w:t xml:space="preserve">.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Agreement confirms that the terms of the Company’s Proprietary Information and Inventions Agreement you previously signed with the Company (the “</w:t>
      </w:r>
      <w:r>
        <w:rPr>
          <w:rFonts w:ascii="Times New Roman" w:hAnsi="Times New Roman"/>
          <w:b/>
          <w:color w:val="000000"/>
          <w:sz w:val="24"/>
        </w:rPr>
        <w:t>PIIA</w:t>
      </w:r>
      <w:r>
        <w:rPr>
          <w:color w:val="000000"/>
        </w:rPr>
        <w:t>”</w:t>
      </w:r>
      <w:r>
        <w:rPr>
          <w:rFonts w:ascii="Times New Roman" w:hAnsi="Times New Roman"/>
          <w:color w:val="000000"/>
          <w:sz w:val="24"/>
        </w:rPr>
        <w:t>) still apply.</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b/>
          <w:color w:val="000000"/>
          <w:sz w:val="24"/>
        </w:rPr>
        <w:t>Employment Relationship</w:t>
      </w:r>
      <w:r>
        <w:rPr>
          <w:rFonts w:ascii="Times New Roman" w:hAnsi="Times New Roman"/>
          <w:color w:val="000000"/>
          <w:sz w:val="24"/>
        </w:rPr>
        <w:t>. Employment with the Company will continue to be for no specific period of time. Your employment with the Company will continue to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b/>
          <w:color w:val="000000"/>
          <w:sz w:val="24"/>
        </w:rPr>
        <w:t>Protected Activity Not Prohibited</w:t>
      </w:r>
      <w:r>
        <w:rPr>
          <w:rFonts w:ascii="Times New Roman" w:hAnsi="Times New Roman"/>
          <w:color w:val="000000"/>
          <w:sz w:val="24"/>
        </w:rPr>
        <w:t>. Nothing in this Agreement, the PIIA, or in any other agreement between you or the Company, as applicable, will in any way limit or prohibit you from engaging for a lawful purpose in any Protected Activity. For purposes of this Agreement, “</w:t>
      </w:r>
      <w:r>
        <w:rPr>
          <w:rFonts w:ascii="Times New Roman" w:hAnsi="Times New Roman"/>
          <w:b/>
          <w:color w:val="000000"/>
          <w:sz w:val="24"/>
        </w:rPr>
        <w:t>Protected Activity</w:t>
      </w:r>
      <w:r>
        <w:rPr>
          <w:color w:val="000000"/>
        </w:rPr>
        <w:t xml:space="preserve">” </w:t>
      </w:r>
      <w:r>
        <w:rPr>
          <w:rFonts w:ascii="Times New Roman" w:hAnsi="Times New Roman"/>
          <w:color w:val="000000"/>
          <w:sz w:val="24"/>
        </w:rPr>
        <w:t>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Further, nothing in this Agreement, the PIIA, or in any other agreement between you and the Company, as applicable, shall in any way limit or prohibit you from discussing or disclosing information about unlawful acts in the workplace, such as harassment or discrimination or any other conduct that you have reason to believe is unlawful (“</w:t>
      </w:r>
      <w:r>
        <w:rPr>
          <w:rFonts w:ascii="Times New Roman" w:hAnsi="Times New Roman"/>
          <w:b/>
          <w:color w:val="000000"/>
          <w:sz w:val="24"/>
        </w:rPr>
        <w:t>Protected Information</w:t>
      </w:r>
      <w:r>
        <w:rPr>
          <w:color w:val="000000"/>
        </w:rPr>
        <w:t>”</w:t>
      </w:r>
      <w:r>
        <w:rPr>
          <w:rFonts w:ascii="Times New Roman" w:hAnsi="Times New Roman"/>
          <w:color w:val="000000"/>
          <w:sz w:val="24"/>
        </w:rPr>
        <w:t>).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or prior to discussing or disclosing Protected Information,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PIIA) to any parties other than the relevant government agencies. For the sake of clarity, Company confidential information does not include Protected Information. You further understand that “</w:t>
      </w:r>
      <w:r>
        <w:rPr>
          <w:rFonts w:ascii="Times New Roman" w:hAnsi="Times New Roman"/>
          <w:b/>
          <w:color w:val="000000"/>
          <w:sz w:val="24"/>
        </w:rPr>
        <w:t>Protected Activity</w:t>
      </w:r>
      <w:r>
        <w:rPr>
          <w:color w:val="000000"/>
        </w:rPr>
        <w:t xml:space="preserve">” </w:t>
      </w:r>
      <w:r>
        <w:rPr>
          <w:rFonts w:ascii="Times New Roman" w:hAnsi="Times New Roman"/>
          <w:color w:val="000000"/>
          <w:sz w:val="24"/>
        </w:rPr>
        <w:t>does 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in Exhibit A.</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b/>
          <w:color w:val="000000"/>
          <w:sz w:val="24"/>
        </w:rPr>
        <w:t>Board Membership</w:t>
      </w:r>
      <w:r>
        <w:rPr>
          <w:rFonts w:ascii="Times New Roman" w:hAnsi="Times New Roman"/>
          <w:color w:val="000000"/>
          <w:sz w:val="24"/>
        </w:rPr>
        <w:t>. By entering into this Agreement, you agree and acknowledge that you will be deemed to have resigned from the Board, and your status as a member of the Board will terminate, on the Effective Date, consistent with the terms of the Company’s Charter and Bylaws. You further agree and acknowledge that the cessation of your status as a member of the Board will not constitute “Good Reason” under the Amended Severance Agreement.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b/>
          <w:color w:val="000000"/>
          <w:sz w:val="24"/>
        </w:rPr>
        <w:t>Miscellaneous</w:t>
      </w:r>
      <w:r>
        <w:rPr>
          <w:rFonts w:ascii="Times New Roman" w:hAnsi="Times New Roman"/>
          <w:color w:val="000000"/>
          <w:sz w:val="24"/>
        </w:rPr>
        <w:t xml:space="preserve">. This Agreement, along with the PIIA and the Amended Severance Agreement, constitute the entire agreement between you and the Company regarding the subject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matters discussed herein, and they supersede all prior negotiations, representations or agreements between you and the Company, including, but not limited to, the Confirmatory Employment Letter between you and the Company dated as of July 8, 2021 and the Severance Agreement. This Agreement may only be modified by a written agreement signed by you and the Board.</w:t>
      </w:r>
      <w:r>
        <w:rPr>
          <w:color w:val="000000"/>
        </w:rPr>
        <w:t xml:space="preserve">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To agree to the terms and conditions of this Agreement, please sign and date in the spaces indicated and return this Agreement to the Company.</w:t>
      </w:r>
    </w:p>
    <w:p>
      <w:pPr>
        <w:pStyle w:val="TextBody"/>
        <w:bidi w:val="0"/>
        <w:spacing w:before="240" w:after="283"/>
        <w:ind w:left="5040" w:right="0" w:firstLine="72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240" w:after="283"/>
        <w:ind w:left="5040" w:right="0" w:firstLine="720"/>
        <w:jc w:val="both"/>
        <w:rPr>
          <w:rFonts w:ascii="Times New Roman" w:hAnsi="Times New Roman"/>
          <w:color w:val="000000"/>
          <w:sz w:val="24"/>
        </w:rPr>
      </w:pPr>
      <w:r>
        <w:rPr>
          <w:rFonts w:ascii="Times New Roman" w:hAnsi="Times New Roman"/>
          <w:color w:val="000000"/>
          <w:sz w:val="24"/>
        </w:rPr>
        <w:t>RxSIGHT, Inc.</w:t>
      </w:r>
    </w:p>
    <w:p>
      <w:pPr>
        <w:pStyle w:val="TextBody"/>
        <w:bidi w:val="0"/>
        <w:spacing w:before="240" w:after="283"/>
        <w:ind w:left="5040" w:right="0" w:firstLine="72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 Andy Corley</w:t>
      </w:r>
      <w:r>
        <w:rPr>
          <w:rFonts w:ascii="Times New Roman" w:hAnsi="Times New Roman"/>
          <w:color w:val="000000"/>
          <w:sz w:val="24"/>
        </w:rPr>
        <w:t>_________</w:t>
      </w:r>
    </w:p>
    <w:p>
      <w:pPr>
        <w:pStyle w:val="TextBody"/>
        <w:bidi w:val="0"/>
        <w:ind w:left="5040" w:right="0" w:firstLine="720"/>
        <w:jc w:val="both"/>
        <w:rPr>
          <w:rFonts w:ascii="Times New Roman" w:hAnsi="Times New Roman"/>
          <w:color w:val="000000"/>
          <w:sz w:val="24"/>
        </w:rPr>
      </w:pPr>
      <w:r>
        <w:rPr>
          <w:rFonts w:ascii="Times New Roman" w:hAnsi="Times New Roman"/>
          <w:color w:val="000000"/>
          <w:sz w:val="24"/>
        </w:rPr>
        <w:t>J. Andy Corley</w:t>
      </w:r>
    </w:p>
    <w:p>
      <w:pPr>
        <w:pStyle w:val="TextBody"/>
        <w:bidi w:val="0"/>
        <w:ind w:left="5760" w:right="0" w:hanging="0"/>
        <w:jc w:val="both"/>
        <w:rPr>
          <w:rFonts w:ascii="Times New Roman" w:hAnsi="Times New Roman"/>
          <w:color w:val="000000"/>
          <w:sz w:val="24"/>
        </w:rPr>
      </w:pPr>
      <w:r>
        <w:rPr>
          <w:rFonts w:ascii="Times New Roman" w:hAnsi="Times New Roman"/>
          <w:color w:val="000000"/>
          <w:sz w:val="24"/>
        </w:rPr>
        <w:t>Chairman of the Board of Directors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I have read and understood this Agreement and hereby acknowledge, accept and agree to the terms as set forth herein and further acknowledge that no other commitments were made to me as part of my employment offer except as specifically set forth herein.</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 Ron Kurtz</w:t>
      </w:r>
      <w:r>
        <w:rPr>
          <w:rFonts w:ascii="Times New Roman" w:hAnsi="Times New Roman"/>
          <w:color w:val="000000"/>
          <w:sz w:val="24"/>
        </w:rPr>
        <w:t>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Ron Kurtz</w:t>
      </w:r>
    </w:p>
    <w:p>
      <w:pPr>
        <w:pStyle w:val="TextBody"/>
        <w:bidi w:val="0"/>
        <w:spacing w:before="240"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July 13, 2026</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ind w:left="0" w:right="0" w:firstLine="72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SECTION 7 OF THE DEFEND TRADE SECRETS ACT OF 2016</w:t>
      </w:r>
    </w:p>
    <w:p>
      <w:pPr>
        <w:pStyle w:val="TextBody"/>
        <w:bidi w:val="0"/>
        <w:jc w:val="left"/>
        <w:rPr/>
      </w:pPr>
      <w:r>
        <w:rPr/>
        <w:t> </w:t>
      </w:r>
    </w:p>
    <w:p>
      <w:pPr>
        <w:pStyle w:val="TextBody"/>
        <w:bidi w:val="0"/>
        <w:ind w:left="0" w:right="0" w:firstLine="720"/>
        <w:jc w:val="both"/>
        <w:rPr>
          <w:color w:val="000000"/>
        </w:rPr>
      </w:pPr>
      <w:r>
        <w:rPr>
          <w:color w:val="000000"/>
        </w:rPr>
        <w:t xml:space="preserve">“ </w:t>
      </w:r>
      <w:r>
        <w:rPr>
          <w:rFonts w:ascii="Times New Roman" w:hAnsi="Times New Roman"/>
          <w:color w:val="000000"/>
          <w:sz w:val="24"/>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bookmarkStart w:id="42" w:name="rxst-ex10_7.htm"/>
      <w:bookmarkStart w:id="43" w:name="ksrxstex10_7"/>
      <w:bookmarkEnd w:id="42"/>
      <w:bookmarkEnd w:id="43"/>
      <w:r>
        <w:rPr/>
        <w:t> </w:t>
      </w:r>
      <w:r>
        <w:br w:type="page"/>
      </w:r>
    </w:p>
    <w:p>
      <w:pPr>
        <w:pStyle w:val="TextBody"/>
        <w:bidi w:val="0"/>
        <w:spacing w:before="240" w:after="283"/>
        <w:jc w:val="right"/>
        <w:rPr>
          <w:rFonts w:ascii="Times New Roman" w:hAnsi="Times New Roman"/>
          <w:b/>
          <w:caps/>
          <w:color w:val="000000"/>
          <w:sz w:val="24"/>
        </w:rPr>
      </w:pPr>
      <w:r>
        <w:rPr>
          <w:rFonts w:ascii="Times New Roman" w:hAnsi="Times New Roman"/>
          <w:b/>
          <w:caps/>
          <w:color w:val="000000"/>
          <w:sz w:val="24"/>
        </w:rPr>
        <w:t>exhibit 10.7</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Rxsight,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CHANGE IN CONTROL SEVERANCE AGREEMENT</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4"/>
        </w:rPr>
        <w:t>This Amended and Restated Change in Control Severance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between RxSight,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Ron Kurtz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effective as of July 20,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200" w:after="283"/>
        <w:ind w:left="0" w:right="0" w:firstLine="720"/>
        <w:jc w:val="both"/>
        <w:rPr>
          <w:rFonts w:ascii="Times New Roman" w:hAnsi="Times New Roman"/>
          <w:color w:val="000000"/>
          <w:sz w:val="24"/>
        </w:rPr>
      </w:pPr>
      <w:r>
        <w:rPr>
          <w:rFonts w:ascii="Times New Roman" w:hAnsi="Times New Roman"/>
          <w:color w:val="000000"/>
          <w:sz w:val="24"/>
        </w:rPr>
        <w:t>This Agreement provides certain protections to the Executive in connection with a change in control of the Company or in connection with the involuntary termination of the Executive’s employment under the circumstances described in this Agreement. Certain capitalized terms are defined in Section 8 to the extent not otherwise defined in other Sections of the Agreement.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The Company and the Executive agree as follows: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Term of Agreement</w:t>
      </w:r>
      <w:r>
        <w:rPr>
          <w:rFonts w:ascii="Times New Roman" w:hAnsi="Times New Roman"/>
          <w:color w:val="000000"/>
          <w:sz w:val="24"/>
        </w:rPr>
        <w:t>. This Agreement will terminate upon the date that all of the obligations of the parties hereto with respect to this Agreement have been satisfied.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xml:space="preserve">. The Company and the Executive acknowledge that the Executive’s employment is and will continue to be at-will, as defined under applicable law.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Severance Benefits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Qualifying Non-CIC Termination</w:t>
      </w:r>
      <w:r>
        <w:rPr>
          <w:rFonts w:ascii="Times New Roman" w:hAnsi="Times New Roman"/>
          <w:color w:val="000000"/>
          <w:sz w:val="24"/>
        </w:rPr>
        <w:t xml:space="preserve">. In the event of a Qualifying Non-CIC Termination (as defined below), and subject to Sections 5 and 7, the Executive will be eligible to receive the following from the Company: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Salary Severance</w:t>
      </w:r>
      <w:r>
        <w:rPr>
          <w:rFonts w:ascii="Times New Roman" w:hAnsi="Times New Roman"/>
          <w:color w:val="000000"/>
          <w:sz w:val="24"/>
        </w:rPr>
        <w:t xml:space="preserve">.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Qualifying Non-CIC Termination occurs prior to July 1, 2028, a single, lump sum payment equal to 50% of the aggregate amount of any Retention Bonuses that have not been paid to the Executive.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Qualifying Non-CIC Termination occurs on or following July 1, 2028, a single, lump sum payment equal to 12 months of the Executive’s Salary (as defined below),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Bonus Severance</w:t>
      </w:r>
      <w:r>
        <w:rPr>
          <w:rFonts w:ascii="Times New Roman" w:hAnsi="Times New Roman"/>
          <w:color w:val="000000"/>
          <w:sz w:val="24"/>
        </w:rPr>
        <w:t xml:space="preserve">.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Qualifying Non-CIC Termination occurs prior to July 1, 2028, a single, lump sum payment equal to 50% of the aggregate amount of any Retention Bonuses that have not been paid to the Executive.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Qualifying Non-CIC Termination occurs on or following July 1, 2028, a single, lump sum payment equal to 12 months of the Executive’s target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annual bonus as in effect for the fiscal year in which the Qualifying Non-CIC Termination occurs,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COBRA Coverage</w:t>
      </w:r>
      <w:r>
        <w:rPr>
          <w:rFonts w:ascii="Times New Roman" w:hAnsi="Times New Roman"/>
          <w:color w:val="000000"/>
          <w:sz w:val="24"/>
        </w:rPr>
        <w:t>. Subject to Section 3(d),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 w:hAnsi="Times New Roman"/>
          <w:b/>
          <w:color w:val="000000"/>
          <w:sz w:val="24"/>
        </w:rPr>
        <w:t>COBRA Coverage</w:t>
      </w:r>
      <w:r>
        <w:rPr>
          <w:color w:val="000000"/>
        </w:rPr>
        <w:t>”</w:t>
      </w:r>
      <w:r>
        <w:rPr>
          <w:rFonts w:ascii="Times New Roman" w:hAnsi="Times New Roman"/>
          <w:color w:val="000000"/>
          <w:sz w:val="24"/>
        </w:rPr>
        <w:t xml:space="preserve">), until the earliest of (A) a period of 12 months from the date of the Executive’s termination of employment, (B) the date upon which the Executive (and the Executive’s eligible dependents, as applicable) becomes covered under similar plans, or (C) the date upon which the Executive ceases to be eligible for coverage under COBRA.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RSU Award Vesting</w:t>
      </w:r>
      <w:r>
        <w:rPr>
          <w:rFonts w:ascii="Times New Roman" w:hAnsi="Times New Roman"/>
          <w:color w:val="000000"/>
          <w:sz w:val="24"/>
        </w:rPr>
        <w:t>. Vesting acceleration as to one hundred percent (100%) of the then-unvested shares subject to the RSU Award that are outstanding as of the date of the Qualifying Termination.</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Additional Severance</w:t>
      </w:r>
      <w:r>
        <w:rPr>
          <w:rFonts w:ascii="Times New Roman" w:hAnsi="Times New Roman"/>
          <w:color w:val="000000"/>
          <w:sz w:val="24"/>
        </w:rPr>
        <w:t xml:space="preserve">. If the Qualifying Non-CIC Termination occurs prior to the RSU Grant Date, the Company will pay Executive $2,500,000, less applicable withholdings, in five (5) equal installments, where the first installment will be paid in lump sum in accordance with Section 5(b), and the remaining installments will be paid on each of February 1, 2027, August 1, 2027, February 1, 2028 and August 1, 2028.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Qualifying CIC Termination</w:t>
      </w:r>
      <w:r>
        <w:rPr>
          <w:rFonts w:ascii="Times New Roman" w:hAnsi="Times New Roman"/>
          <w:color w:val="000000"/>
          <w:sz w:val="24"/>
        </w:rPr>
        <w:t xml:space="preserve">. In the event of a Qualifying CIC Termination (as defined below), and subject to Sections 5 and 7, the Executive will be eligible to receive the following from the Company: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Salary Severance</w:t>
      </w:r>
      <w:r>
        <w:rPr>
          <w:rFonts w:ascii="Times New Roman" w:hAnsi="Times New Roman"/>
          <w:color w:val="000000"/>
          <w:sz w:val="24"/>
        </w:rPr>
        <w:t xml:space="preserve">.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 xml:space="preserve">If the Qualifying CIC Termination occurs prior to July 1, 2028, a single, lump sum payment equal to the sum of (A) 50% of the aggregate amount of any Retention Bonuses that have not been paid to the Executive </w:t>
      </w:r>
      <w:r>
        <w:rPr>
          <w:rFonts w:ascii="Times New Roman" w:hAnsi="Times New Roman"/>
          <w:i/>
          <w:color w:val="000000"/>
          <w:sz w:val="24"/>
        </w:rPr>
        <w:t>plus</w:t>
      </w:r>
      <w:r>
        <w:rPr>
          <w:color w:val="000000"/>
        </w:rPr>
        <w:t xml:space="preserve"> </w:t>
      </w:r>
      <w:r>
        <w:rPr>
          <w:rFonts w:ascii="Times New Roman" w:hAnsi="Times New Roman"/>
          <w:color w:val="000000"/>
          <w:sz w:val="24"/>
        </w:rPr>
        <w:t>(B) 12 months of the Executive’s Salary, less applicable withholdings.</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Qualifying CIC Termination occurs on or following July 1, 2028, a single, lump sum payment equal to 12 months of the Executive’s Salary,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Bonus Severance</w:t>
      </w:r>
      <w:r>
        <w:rPr>
          <w:rFonts w:ascii="Times New Roman" w:hAnsi="Times New Roman"/>
          <w:color w:val="000000"/>
          <w:sz w:val="24"/>
        </w:rPr>
        <w:t xml:space="preserve">.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 xml:space="preserve">If the Qualifying CIC Termination occurs prior to July 1, 2028, a single, lump sum payment equal to the sum of (A) 50% of the aggregate amount of any Retention Bonuses that have not been paid to the Executive </w:t>
      </w:r>
      <w:r>
        <w:rPr>
          <w:rFonts w:ascii="Times New Roman" w:hAnsi="Times New Roman"/>
          <w:i/>
          <w:color w:val="000000"/>
          <w:sz w:val="24"/>
        </w:rPr>
        <w:t>plus</w:t>
      </w:r>
      <w:r>
        <w:rPr>
          <w:color w:val="000000"/>
        </w:rPr>
        <w:t xml:space="preserve"> </w:t>
      </w:r>
      <w:r>
        <w:rPr>
          <w:rFonts w:ascii="Times New Roman" w:hAnsi="Times New Roman"/>
          <w:color w:val="000000"/>
          <w:sz w:val="24"/>
        </w:rPr>
        <w:t>(B) 12 months of the Executive’s target annual bonus as in effect for the fiscal year in which the Qualifying CIC Termination occurs, less applicable withholdings.</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Qualifying CIC Termination occurs on or following July 1, 2028, a single, lump sum payment equal to 12 months of the Executive’s target annual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bonus as in effect for the fiscal year in which the Qualifying CIC Termination occurs, less applicable withholdings.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COBRA Coverage</w:t>
      </w:r>
      <w:r>
        <w:rPr>
          <w:rFonts w:ascii="Times New Roman" w:hAnsi="Times New Roman"/>
          <w:color w:val="000000"/>
          <w:sz w:val="24"/>
        </w:rPr>
        <w:t>. Subject to Section 3(d), the Company will provide COBRA Coverage until the earliest of (A) a period of 12 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Equity Vesting</w:t>
      </w:r>
      <w:r>
        <w:rPr>
          <w:rFonts w:ascii="Times New Roman" w:hAnsi="Times New Roman"/>
          <w:color w:val="000000"/>
          <w:sz w:val="24"/>
        </w:rPr>
        <w:t>. Vesting acceleration (and exercisability, as applicable) as to one hundred percent (100%) of the then-unvested shares subject to each of the Company equity awards granted to the Executive that is outstanding as of the date of the Qualifying Termination (each, an “</w:t>
      </w:r>
      <w:r>
        <w:rPr>
          <w:rFonts w:ascii="Times New Roman" w:hAnsi="Times New Roman"/>
          <w:b/>
          <w:color w:val="000000"/>
          <w:sz w:val="24"/>
        </w:rPr>
        <w:t>Equity Award</w:t>
      </w:r>
      <w:r>
        <w:rPr>
          <w:color w:val="000000"/>
        </w:rPr>
        <w:t>”</w:t>
      </w:r>
      <w:r>
        <w:rPr>
          <w:rFonts w:ascii="Times New Roman" w:hAnsi="Times New Roman"/>
          <w:color w:val="000000"/>
          <w:sz w:val="24"/>
        </w:rPr>
        <w:t>). In the case of an Equity Award that is subject to performance-based vesting, unless otherwise specified in the applicable Equity Award agreement governing the Equity Award, all performance goals and other vesting criteria will be deemed achieved at one hundred percent (100%) of target levels. For the avoidance of doubt, in the event of the Executive’s Qualifying Pre</w:t>
        <w:noBreakHyphen/>
        <w:t>CIC Termination (as defined below), any then outstanding Equity Awards will remain outstanding until the earlier of (x) nine (9) months following the Qualifying Termination or (y) the occurrence of a Change in Control, solely so that any benefits due on a Qualifying Pre</w:t>
        <w:noBreakHyphen/>
        <w:t xml:space="preserve">CIC Termination can be provided if a Change in Control occurs within nine (9) months following the Qualifying Termination (provided that in no event will the Executive’s stock options or similar Equity Awards remain outstanding beyond the earlier to occur of (i) the Equity Award’s maximum term to expiration or (ii) the Equity Award’s post-termination exercise period). If no Change in Control occurs within nine (9) months following a Qualifying Pre-CIC Termination, any unvested portion of the Executive’s Equity Awards automatically and permanently will be forfeited on the date nine (9) months following the date of the Qualifying Pre-CIC Termination without having vested.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Additional Severance</w:t>
      </w:r>
      <w:r>
        <w:rPr>
          <w:rFonts w:ascii="Times New Roman" w:hAnsi="Times New Roman"/>
          <w:color w:val="000000"/>
          <w:sz w:val="24"/>
        </w:rPr>
        <w:t>. If the Qualifying CIC Termination occurs prior to the RSU Grant Date, the Company will pay Executive $2,500,000, less applicable withholdings, in five (5) equal installments, where the first installment will be paid in lump sum in accordance with Section 5(b), and the remaining installments will be paid on each of February 1, 2027, August 1, 2027, February 1, 2028 and August 1, 2028.</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Termination Other Than a Qualifying Termination</w:t>
      </w:r>
      <w:r>
        <w:rPr>
          <w:rFonts w:ascii="Times New Roman" w:hAnsi="Times New Roman"/>
          <w:color w:val="000000"/>
          <w:sz w:val="24"/>
        </w:rPr>
        <w:t>. If the termination of the Executive’s employment with the Company Group (as defined below) is not a Qualifying Termination, then the Executive will not be entitled to receive the severance payments or other benefits specified in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Conditions to Receipt of COBRA Coverage</w:t>
      </w:r>
      <w:r>
        <w:rPr>
          <w:rFonts w:ascii="Times New Roman" w:hAnsi="Times New Roman"/>
          <w:color w:val="000000"/>
          <w:sz w:val="24"/>
        </w:rPr>
        <w:t xml:space="preserve">.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in an amount equal to the monthly COBRA premium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rFonts w:ascii="Times New Roman" w:hAnsi="Times New Roman"/>
          <w:b/>
          <w:color w:val="000000"/>
          <w:sz w:val="24"/>
        </w:rPr>
        <w:t>COBRA Replacement Payment</w:t>
      </w:r>
      <w:r>
        <w:rPr>
          <w:color w:val="000000"/>
        </w:rPr>
        <w:t>”</w:t>
      </w:r>
      <w:r>
        <w:rPr>
          <w:rFonts w:ascii="Times New Roman" w:hAnsi="Times New Roman"/>
          <w:color w:val="000000"/>
          <w:sz w:val="24"/>
        </w:rPr>
        <w:t xml:space="preserve">), which COBRA Replacement Payments will be made regardless of whether the Executive elects COBRA continuation coverage and will end on the earlier of (x) the date upon which the Executive obtains other employment (which offers group health coverage) or </w:t>
        <w:br/>
        <w:t>(y) the date the Company has paid an amount totaling the number of COBRA Replacement Payments 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Non-Duplication of Payment or Benefits</w:t>
      </w:r>
      <w:r>
        <w:rPr>
          <w:rFonts w:ascii="Times New Roman" w:hAnsi="Times New Roman"/>
          <w:color w:val="000000"/>
          <w:sz w:val="24"/>
        </w:rPr>
        <w:t>. For purposes of clarity, in the event of a Qualifying Pre-CIC 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in connection with the Executive’s separation (“</w:t>
      </w:r>
      <w:r>
        <w:rPr>
          <w:rFonts w:ascii="Times New Roman" w:hAnsi="Times New Roman"/>
          <w:b/>
          <w:color w:val="000000"/>
          <w:sz w:val="24"/>
        </w:rPr>
        <w:t>Other Benefits</w:t>
      </w:r>
      <w:r>
        <w:rPr>
          <w:color w:val="000000"/>
        </w:rPr>
        <w:t>”</w:t>
      </w:r>
      <w:r>
        <w:rPr>
          <w:rFonts w:ascii="Times New Roman" w:hAnsi="Times New Roman"/>
          <w:color w:val="000000"/>
          <w:sz w:val="24"/>
        </w:rPr>
        <w:t xml:space="preserve">), then the corresponding severance payments and benefits under this Agreement will be reduced by the amount of Other Benefits paid or provided to the Executive.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Death of the Executive</w:t>
      </w:r>
      <w:r>
        <w:rPr>
          <w:rFonts w:ascii="Times New Roman" w:hAnsi="Times New Roman"/>
          <w:color w:val="000000"/>
          <w:sz w:val="24"/>
        </w:rPr>
        <w:t>. 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Transfer Between Members of the Company Group</w:t>
      </w:r>
      <w:r>
        <w:rPr>
          <w:rFonts w:ascii="Times New Roman" w:hAnsi="Times New Roman"/>
          <w:color w:val="000000"/>
          <w:sz w:val="24"/>
        </w:rPr>
        <w:t>. For purposes of this Agreement, if the Executive is involuntarily transferred from one member of the Company Group to another, the transfer will not be a termination without Cause but may give the Executive the ability to resign for Good Reason.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Exclusive Remedy</w:t>
      </w:r>
      <w:r>
        <w:rPr>
          <w:rFonts w:ascii="Times New Roman" w:hAnsi="Times New Roman"/>
          <w:color w:val="000000"/>
          <w:sz w:val="24"/>
        </w:rPr>
        <w:t xml:space="preserve">.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Accrued Compensation</w:t>
      </w:r>
      <w:r>
        <w:rPr>
          <w:rFonts w:ascii="Times New Roman" w:hAnsi="Times New Roman"/>
          <w:color w:val="000000"/>
          <w:sz w:val="24"/>
        </w:rPr>
        <w:t>. On any termination of the Executive’s employment with the Company Group, the Executive will be entitled to receive all accrued but unpaid vacation, expense reimbursements, wages, and other benefits due to the Executive under any Company-provided plans, policies, and arrangements. For avoidance of doubt, receipt of accrued compensation is not subject to the Release Requirement discussed in Section 5(a).</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Conditions to Receipt of Severance</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Separation Agreement and Release of Claims</w:t>
      </w:r>
      <w:r>
        <w:rPr>
          <w:rFonts w:ascii="Times New Roman" w:hAnsi="Times New Roman"/>
          <w:color w:val="000000"/>
          <w:sz w:val="24"/>
        </w:rPr>
        <w:t>. 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Times New Roman" w:hAnsi="Times New Roman"/>
          <w:b/>
          <w:color w:val="000000"/>
          <w:sz w:val="24"/>
        </w:rPr>
        <w:t>Release</w:t>
      </w:r>
      <w:r>
        <w:rPr>
          <w:color w:val="000000"/>
        </w:rPr>
        <w:t xml:space="preserve">” </w:t>
      </w:r>
      <w:r>
        <w:rPr>
          <w:rFonts w:ascii="Times New Roman" w:hAnsi="Times New Roman"/>
          <w:color w:val="000000"/>
          <w:sz w:val="24"/>
        </w:rPr>
        <w:t>and that requirement, the “</w:t>
      </w:r>
      <w:r>
        <w:rPr>
          <w:rFonts w:ascii="Times New Roman" w:hAnsi="Times New Roman"/>
          <w:b/>
          <w:color w:val="000000"/>
          <w:sz w:val="24"/>
        </w:rPr>
        <w:t>Release Requirement</w:t>
      </w:r>
      <w:r>
        <w:rPr>
          <w:color w:val="000000"/>
        </w:rPr>
        <w:t>”</w:t>
      </w:r>
      <w:r>
        <w:rPr>
          <w:rFonts w:ascii="Times New Roman" w:hAnsi="Times New Roman"/>
          <w:color w:val="000000"/>
          <w:sz w:val="24"/>
        </w:rPr>
        <w:t>), which must become effective and irrevocable no later than the sixtieth (60</w:t>
      </w:r>
      <w:r>
        <w:rPr>
          <w:rFonts w:ascii="Times New Roman" w:hAnsi="Times New Roman"/>
          <w:color w:val="000000"/>
          <w:sz w:val="16"/>
        </w:rPr>
        <w:t>th</w:t>
      </w:r>
      <w:r>
        <w:rPr>
          <w:rFonts w:ascii="Times New Roman" w:hAnsi="Times New Roman"/>
          <w:color w:val="000000"/>
          <w:sz w:val="24"/>
        </w:rPr>
        <w:t>) day following the date of the Executive’s Qualifying Termination (the “</w:t>
      </w:r>
      <w:r>
        <w:rPr>
          <w:rFonts w:ascii="Times New Roman" w:hAnsi="Times New Roman"/>
          <w:b/>
          <w:color w:val="000000"/>
          <w:sz w:val="24"/>
        </w:rPr>
        <w:t>Release Deadline Date</w:t>
      </w:r>
      <w:r>
        <w:rPr>
          <w:color w:val="000000"/>
        </w:rPr>
        <w:t>”</w:t>
      </w:r>
      <w:r>
        <w:rPr>
          <w:rFonts w:ascii="Times New Roman" w:hAnsi="Times New Roman"/>
          <w:color w:val="000000"/>
          <w:sz w:val="24"/>
        </w:rPr>
        <w:t>). If the Release does not become effective and irrevocable by the Release Deadline Date, the Executive will forfeit any right to the severance payments or benefits under Section 3.</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Payment Timing</w:t>
      </w:r>
      <w:r>
        <w:rPr>
          <w:rFonts w:ascii="Times New Roman" w:hAnsi="Times New Roman"/>
          <w:color w:val="000000"/>
          <w:sz w:val="24"/>
        </w:rPr>
        <w:t>. Any lump sum salary or bonus payments (or the first installment of additional payments) under Sections 3(a) and 3(b) will be provided on the first regularly scheduled payroll date of the Company following the date the Release becomes effective and irrevocable (the “</w:t>
      </w:r>
      <w:r>
        <w:rPr>
          <w:rFonts w:ascii="Times New Roman" w:hAnsi="Times New Roman"/>
          <w:b/>
          <w:color w:val="000000"/>
          <w:sz w:val="24"/>
        </w:rPr>
        <w:t>Severance Start Date</w:t>
      </w:r>
      <w:r>
        <w:rPr>
          <w:color w:val="000000"/>
        </w:rPr>
        <w:t>”</w:t>
      </w:r>
      <w:r>
        <w:rPr>
          <w:rFonts w:ascii="Times New Roman" w:hAnsi="Times New Roman"/>
          <w:color w:val="000000"/>
          <w:sz w:val="24"/>
        </w:rPr>
        <w:t>), subject to any delay required by Section 5(d) below. Any taxable installments of any COBRA-related severance benefits that otherwise would have been made to the Executive on or before the Severance Start Date will be paid on the Severance Start Date, and any remaining installments thereafter will be provided as specified in this Agreement. Subject to Section 5(d), any restricted stock units, performance shares, performance units, and/or similar full value awards that accelerate vesting under Section 3(b) will be settled (x) within ten (10) days following the date the Release becomes effective and irrevocable, or (y) if later, in the event of a Qualifying Pre</w:t>
        <w:noBreakHyphen/>
        <w:t xml:space="preserve">CIC Termination, on the date of the Change in Control.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Return of Company Property</w:t>
      </w:r>
      <w:r>
        <w:rPr>
          <w:rFonts w:ascii="Times New Roman" w:hAnsi="Times New Roman"/>
          <w:color w:val="000000"/>
          <w:sz w:val="24"/>
        </w:rPr>
        <w:t xml:space="preserve">. The Executive’s receipt of any severance payments or benefits upon the Executive’s Qualifying Termination under Section 3 is subject to the Executive having returned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 by no later than ten (10) days following the date of the Qualifying Termination.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The Company intends that all payments and benefits provided under this Agreement or otherwise are exempt from, or comply with, the requirements of Section 409A of the Code (as defined below) and any guidance promulgated under Section 409A of the Code (collectively, “</w:t>
      </w:r>
      <w:r>
        <w:rPr>
          <w:rFonts w:ascii="Times New Roman" w:hAnsi="Times New Roman"/>
          <w:b/>
          <w:color w:val="000000"/>
          <w:sz w:val="24"/>
        </w:rPr>
        <w:t>Section 409A</w:t>
      </w:r>
      <w:r>
        <w:rPr>
          <w:color w:val="000000"/>
        </w:rPr>
        <w:t>”</w:t>
      </w:r>
      <w:r>
        <w:rPr>
          <w:rFonts w:ascii="Times New Roman" w:hAnsi="Times New Roman"/>
          <w:color w:val="000000"/>
          <w:sz w:val="24"/>
        </w:rPr>
        <w:t xml:space="preserve">) so that none of the payments or benefits will be subject to the additional tax imposed under Section 409A, and any ambiguities in this Agreement will be interpreted in accordance with this intent. No payment or benefits to be paid to the Executive, if any such payments or benefits, under this Agreement or otherwise, when considered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together with any other severance payments or separation benefits that are considered deferred compensation under Section 409A (together, the “</w:t>
      </w:r>
      <w:r>
        <w:rPr>
          <w:rFonts w:ascii="Times New Roman" w:hAnsi="Times New Roman"/>
          <w:b/>
          <w:color w:val="000000"/>
          <w:sz w:val="24"/>
        </w:rPr>
        <w:t>Deferred Payments</w:t>
      </w:r>
      <w:r>
        <w:rPr>
          <w:color w:val="000000"/>
        </w:rPr>
        <w:t>”</w:t>
      </w:r>
      <w:r>
        <w:rPr>
          <w:rFonts w:ascii="Times New Roman" w:hAnsi="Times New Roman"/>
          <w:color w:val="000000"/>
          <w:sz w:val="24"/>
        </w:rPr>
        <w:t>)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six (6) months and one (1) day following the Executive’s termination of employment. The Company reserves the right to amend this Agreement as it considers necessary or advisable, in its sole discretion and without the consent of the Executive or the consent of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indemnify, or hold harmless the Executive for any taxes, penalties and interest that may be imposed, or other costs that may be incurred, as a result of Section 409A.</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Resignation of Officer and Director Positions</w:t>
      </w:r>
      <w:r>
        <w:rPr>
          <w:rFonts w:ascii="Times New Roman" w:hAnsi="Times New Roman"/>
          <w:color w:val="000000"/>
          <w:sz w:val="24"/>
        </w:rPr>
        <w:t>. The Executive’s receipt of any severance payments or benefits upon the Executive’s Qualifying Termination under Section 3 is subject to the Executive having resigned from all officer and director positions with all members of the Company Group and the Executive executing any documents the Company may require in connection with the same.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Change in Control Benefits</w:t>
      </w:r>
      <w:r>
        <w:rPr>
          <w:rFonts w:ascii="Times New Roman" w:hAnsi="Times New Roman"/>
          <w:color w:val="000000"/>
          <w:sz w:val="24"/>
        </w:rPr>
        <w:t xml:space="preserve">. If the Company experiences a Change in Control, and Executive remains an employee of any member of the Company Group through the date of such Change in Control, one hundred percent (100%) of the then-unvested shares subject to each Equity Award that is outstanding as of the date of such Change in Control will accelerate and fully vest. In the case of an Equity Award that is subject to performance-based vesting, unless otherwise specified in the applicable Equity Award agreement governing the Equity Award, all performance goals and other vesting criteria will be deemed achieved at one hundred percent (100%) of target levels.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Limitation on Payments</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Reduction of Severance Benefits</w:t>
      </w:r>
      <w:r>
        <w:rPr>
          <w:rFonts w:ascii="Times New Roman" w:hAnsi="Times New Roman"/>
          <w:color w:val="000000"/>
          <w:sz w:val="24"/>
        </w:rPr>
        <w:t>.</w:t>
      </w:r>
      <w:r>
        <w:rPr>
          <w:color w:val="000000"/>
        </w:rPr>
        <w:t xml:space="preserve"> </w:t>
      </w:r>
      <w:r>
        <w:rPr>
          <w:rFonts w:ascii="Times New Roman" w:hAnsi="Times New Roman"/>
          <w:color w:val="000000"/>
          <w:sz w:val="24"/>
        </w:rPr>
        <w:t>If any payment or benefit that the Executive would receive from any Company Group member or any other party whether in connection with the provisions in this Agreement or otherwise (the “</w:t>
      </w:r>
      <w:r>
        <w:rPr>
          <w:rFonts w:ascii="Times New Roman" w:hAnsi="Times New Roman"/>
          <w:b/>
          <w:color w:val="000000"/>
          <w:sz w:val="24"/>
        </w:rPr>
        <w:t>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4"/>
        </w:rPr>
        <w:t>Excise Tax</w:t>
      </w:r>
      <w:r>
        <w:rPr>
          <w:color w:val="000000"/>
        </w:rPr>
        <w:t>”</w:t>
      </w:r>
      <w:r>
        <w:rPr>
          <w:rFonts w:ascii="Times New Roman" w:hAnsi="Times New Roman"/>
          <w:color w:val="000000"/>
          <w:sz w:val="24"/>
        </w:rPr>
        <w:t>), then the Payment will be equal to the Best Results Amount. The “</w:t>
      </w:r>
      <w:r>
        <w:rPr>
          <w:rFonts w:ascii="Times New Roman" w:hAnsi="Times New Roman"/>
          <w:b/>
          <w:color w:val="000000"/>
          <w:sz w:val="24"/>
        </w:rPr>
        <w:t>Best Results Amount</w:t>
      </w:r>
      <w:r>
        <w:rPr>
          <w:color w:val="000000"/>
        </w:rPr>
        <w:t xml:space="preserve">” </w:t>
      </w:r>
      <w:r>
        <w:rPr>
          <w:rFonts w:ascii="Times New Roman" w:hAnsi="Times New Roman"/>
          <w:color w:val="000000"/>
          <w:sz w:val="24"/>
        </w:rPr>
        <w:t xml:space="preserve">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Determination of Excise Tax Liability</w:t>
      </w:r>
      <w:r>
        <w:rPr>
          <w:rFonts w:ascii="Times New Roman" w:hAnsi="Times New Roman"/>
          <w:color w:val="000000"/>
          <w:sz w:val="24"/>
        </w:rPr>
        <w:t>.</w:t>
      </w:r>
      <w:r>
        <w:rPr>
          <w:color w:val="000000"/>
        </w:rPr>
        <w:t xml:space="preserve"> </w:t>
      </w:r>
      <w:r>
        <w:rPr>
          <w:rFonts w:ascii="Times New Roman" w:hAnsi="Times New Roman"/>
          <w:color w:val="000000"/>
          <w:sz w:val="24"/>
        </w:rPr>
        <w:t>Unless the Company and the Executive otherwise agree in writing, the Company will select a professional services firm (the “</w:t>
      </w:r>
      <w:r>
        <w:rPr>
          <w:rFonts w:ascii="Times New Roman" w:hAnsi="Times New Roman"/>
          <w:b/>
          <w:color w:val="000000"/>
          <w:sz w:val="24"/>
        </w:rPr>
        <w:t>Firm</w:t>
      </w:r>
      <w:r>
        <w:rPr>
          <w:color w:val="000000"/>
        </w:rPr>
        <w:t>”</w:t>
      </w:r>
      <w:r>
        <w:rPr>
          <w:rFonts w:ascii="Times New Roman" w:hAnsi="Times New Roman"/>
          <w:color w:val="000000"/>
          <w:sz w:val="24"/>
        </w:rPr>
        <w:t>) to make all determinations required under this Section 7, which determinations will be conclusive and binding upon the Executive and the Company for all purposes. For purposes of making the calculations required by this Section 76,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7. The Company will bear the costs and make all payments for the Firm’s services in connection with any calculations contemplated by this Section 7.</w:t>
      </w:r>
      <w:r>
        <w:rPr>
          <w:color w:val="000000"/>
        </w:rPr>
        <w:t xml:space="preserve"> </w:t>
      </w:r>
      <w:r>
        <w:rPr>
          <w:rFonts w:ascii="Times New Roman" w:hAnsi="Times New Roman"/>
          <w:color w:val="000000"/>
          <w:sz w:val="24"/>
        </w:rPr>
        <w:t>The Company will have no liability to the Executive for the determinations of the Firm.</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The following terms referred to in this Agreement will have the following meanings: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Company’s Board of Directors.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(i) the Executive’s willful and repeated failure, in the reasonable judgment of the Board, to substantially perform his or her assigned duties or responsibility as an employee as directed or assigned by the Board (other than the Executive’s failure resulting from a Disability); (ii) the Executive engaging in intentional illegal conduct that was or is materially injurious to the Company Group or its affiliates; (iii) the Executive’s knowing violation of a federal or state law or regulation directly or indirectly applicable to the business of the Company Group or its affiliates, which violation was or is reasonably likely to be injurious to the Company Group or its affiliates; (iv) the Executive’s material breach of the terms of any confidentiality agreement or invention assignment agreement between the Executive and the Company Group (or any affiliate); or (v) the Executive being convicted of, or entering a plea of guilty or nolo contendere to, a felony or committing any act of moral turpitude, dishonesty, or fraud against, or the misappropriation of material property belonging to, the Company Group or its affiliates. The foregoing definition does not in any way limit the Company’s ability to terminate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Executive’s employment at any time, and the term “Company” will be interpreted to include any subsidiary, parent, affiliate, or any successor thereto, if appropriate.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A change in the ownership of the Company which occurs on the date that any one person, or more than one person acting as a group (“</w:t>
      </w:r>
      <w:r>
        <w:rPr>
          <w:rFonts w:ascii="Times New Roman" w:hAnsi="Times New Roman"/>
          <w:b/>
          <w:color w:val="000000"/>
          <w:sz w:val="24"/>
        </w:rPr>
        <w:t>Person</w:t>
      </w:r>
      <w:r>
        <w:rPr>
          <w:color w:val="000000"/>
        </w:rPr>
        <w:t>”</w:t>
      </w:r>
      <w:r>
        <w:rPr>
          <w:rFonts w:ascii="Times New Roman" w:hAnsi="Times New Roman"/>
          <w:color w:val="000000"/>
          <w:sz w:val="24"/>
        </w:rPr>
        <w:t>), acquires ownership of the stock of the Company that, with the stock held by such Person, constitutes more than fifty percent (50%) of the total voting power of the stock of the Company; provided, that for this subsection, the acquisition of additional stock by any one Person, who prior to such acquisition is considered to own more than fifty percent (50%) of the total voting 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8(c)(i).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change in the effective control of the Company which occurs on the date a majority of members of the Board is replaced during any twelve (12)-month period by members of the Board whose appointment or election is not endorsed by a majority of the members of the Board prior to the appointment or election. For purposes of this Section 8(c)(ii), if any Person is considered to be in effective control of the Company, the acquisition of additional control of the Company by the same Person will not be considered a Change in Control; or</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that for this Section 8(c)(iii), the following will not constitute a change in the ownership of a substantial portion of the Company’s assets: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transfer to an entity controlled by the Company’s stockholders immediately after the transfer, or </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transfer of assets by the Company to: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stockholder of the Company (immediately before the asset transfer) in exchange for or with respect to the Company’s stock,</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an entity, fifty percent (50%) or more of the total value or voting power of which is owned, directly or indirectly, by the Company,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Person, that owns, directly or indirectly, fifty percent (50%) or more of the total value or voting power of all the outstanding stock of the Company, or </w:t>
      </w:r>
    </w:p>
    <w:p>
      <w:pPr>
        <w:pStyle w:val="TextBody"/>
        <w:bidi w:val="0"/>
        <w:spacing w:before="240" w:after="283"/>
        <w:ind w:left="0" w:right="0" w:firstLine="360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an entity, at least fifty percent (50%) of the total value or voting power of which is owned, directly or indirectly, by a Person described in Section 8(c)(iii)(2)(A) to Section 8(c)(iii)(2)(C). </w:t>
      </w:r>
    </w:p>
    <w:p>
      <w:pPr>
        <w:pStyle w:val="TextBody"/>
        <w:bidi w:val="0"/>
        <w:spacing w:before="240" w:after="283"/>
        <w:ind w:left="0" w:right="0" w:firstLine="1440"/>
        <w:jc w:val="both"/>
        <w:rPr>
          <w:rFonts w:ascii="Times New Roman" w:hAnsi="Times New Roman"/>
          <w:sz w:val="20"/>
        </w:rPr>
      </w:pPr>
      <w:r>
        <w:rPr>
          <w:rFonts w:ascii="Times New Roman" w:hAnsi="Times New Roman"/>
          <w:color w:val="000000"/>
          <w:sz w:val="24"/>
        </w:rPr>
        <w:t>For this definition, gross fair market value means the value of the assets of the Company, or the value of the assets being disposed of, determined without regard to any liabilities associated with such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For purposes of this Section 8(c), persons will be considered to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8(c).</w:t>
      </w:r>
      <w:r>
        <w:rPr>
          <w:rFonts w:ascii="Times New Roman" w:hAnsi="Times New Roman"/>
          <w:color w:val="000000"/>
          <w:sz w:val="20"/>
        </w:rPr>
        <w:t xml:space="preserve"> </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transaction will not be a Change in Control:</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the transaction qualifies as a change in control event within the meaning of Code Section 409A; or</w:t>
      </w:r>
    </w:p>
    <w:p>
      <w:pPr>
        <w:pStyle w:val="TextBody"/>
        <w:bidi w:val="0"/>
        <w:spacing w:before="240" w:after="283"/>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its primary purpose is to (1) change the jurisdiction of the Company’s incorporation, or (2) create a holding company owned in substantially the same proportions by the persons who held the Company’s securities immediately before such transaction.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 xml:space="preserve">means the period beginning on the date a LOI or similar agreement is made between the Company and an acquiror, provided such date occurs no earlier than nine (9) months prior to a Change in Control, and ending twelve (12) months following a Change in Control.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color w:val="000000"/>
          <w:sz w:val="24"/>
        </w:rPr>
        <w:t>COBRA</w:t>
      </w:r>
      <w:r>
        <w:rPr>
          <w:color w:val="000000"/>
        </w:rPr>
        <w:t xml:space="preserve">” </w:t>
      </w:r>
      <w:r>
        <w:rPr>
          <w:rFonts w:ascii="Times New Roman" w:hAnsi="Times New Roman"/>
          <w:color w:val="000000"/>
          <w:sz w:val="24"/>
        </w:rPr>
        <w:t>means the Consolidated Omnibus Budget Reconciliation Act of 1985, as amended.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Internal Revenue Code of 1986, as amended.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b/>
          <w:color w:val="000000"/>
          <w:sz w:val="24"/>
        </w:rPr>
        <w:t>Company Group</w:t>
      </w:r>
      <w:r>
        <w:rPr>
          <w:color w:val="000000"/>
        </w:rPr>
        <w:t xml:space="preserve">” </w:t>
      </w:r>
      <w:r>
        <w:rPr>
          <w:rFonts w:ascii="Times New Roman" w:hAnsi="Times New Roman"/>
          <w:color w:val="000000"/>
          <w:sz w:val="24"/>
        </w:rPr>
        <w:t>means the Company and its subsidiaries.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color w:val="000000"/>
        </w:rPr>
        <w:t>“</w:t>
      </w:r>
      <w:r>
        <w:rPr>
          <w:rFonts w:ascii="Times New Roman" w:hAnsi="Times New Roman"/>
          <w:b/>
          <w:color w:val="000000"/>
          <w:sz w:val="24"/>
        </w:rPr>
        <w:t>Disability</w:t>
      </w:r>
      <w:r>
        <w:rPr>
          <w:color w:val="000000"/>
        </w:rPr>
        <w:t xml:space="preserve">” </w:t>
      </w:r>
      <w:r>
        <w:rPr>
          <w:rFonts w:ascii="Times New Roman" w:hAnsi="Times New Roman"/>
          <w:color w:val="000000"/>
          <w:sz w:val="24"/>
        </w:rPr>
        <w:t xml:space="preserve">means a total and permanent disability as defined in Section 22(e)(3) of the Code.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color w:val="000000"/>
        </w:rPr>
        <w:t>“</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means the Executive’s resignation due to the occurrence of any of the following conditions which occurs without the Executive’s written consent, provided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that the requirements regarding advance notice and an opportunity to cure set forth below are satisfied: (i) a material reduction in the Executive’s Salary, which the parties agree is a reduction of at least ten percent (10%) of the Executive’s Salary; (ii) a material reduction of the Executive’s duties, authorities, or responsibilities relative to the Executive’s duties, authorities, or responsibilities in effect immediately prior to the reduction, including where such material reduction results solely by virtue of the Company being acquired and made part of a larger entity (as, for example, when the Chief Financial Officer of the Company remains as such following a Change in Control but is not made the Chief Financial Officer of the acquiring corporation); or (iii) a change by more than fifty (50) miles in the geographic location at which the Executive must perform services; </w:t>
      </w:r>
      <w:r>
        <w:rPr>
          <w:rFonts w:ascii="Times New Roman" w:hAnsi="Times New Roman"/>
          <w:i/>
          <w:color w:val="000000"/>
          <w:sz w:val="24"/>
        </w:rPr>
        <w:t>provided, however</w:t>
      </w:r>
      <w:r>
        <w:rPr>
          <w:rFonts w:ascii="Times New Roman" w:hAnsi="Times New Roman"/>
          <w:color w:val="000000"/>
          <w:sz w:val="24"/>
        </w:rPr>
        <w:t>, that no condition described herein will constitute “Good Reason” for purposes of this Agreement unless (1) the Executive will have first provided written notice to the Board of the existence of the condition within ninety (90) days of the initial existence of such Good Reason condition; (2) the Board will have failed to remedy the condition within thirty (30) days following the receipt of such notice (the “</w:t>
      </w:r>
      <w:r>
        <w:rPr>
          <w:rFonts w:ascii="Times New Roman" w:hAnsi="Times New Roman"/>
          <w:b/>
          <w:color w:val="000000"/>
          <w:sz w:val="24"/>
        </w:rPr>
        <w:t>Cure Period</w:t>
      </w:r>
      <w:r>
        <w:rPr>
          <w:color w:val="000000"/>
        </w:rPr>
        <w:t>”</w:t>
      </w:r>
      <w:r>
        <w:rPr>
          <w:rFonts w:ascii="Times New Roman" w:hAnsi="Times New Roman"/>
          <w:color w:val="000000"/>
          <w:sz w:val="24"/>
        </w:rPr>
        <w:t>); (3) the Executive must cooperate in good faith with any efforts by the Company to remedy the Good Reason condition; (4) the Good Reason condition must continue to exist upon completion of the Cure Period; and (5) the date of termination of employment occurs no more than thirty (30) days after the end of the Cure Period. In no instance will a termination by the Executive be deemed to be for Good Reason for purposes of this Agreement if it becomes effective more than twelve (12) months following the initial existence of the Good Reason condition.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color w:val="000000"/>
        </w:rPr>
        <w:t>“</w:t>
      </w:r>
      <w:r>
        <w:rPr>
          <w:rFonts w:ascii="Times New Roman" w:hAnsi="Times New Roman"/>
          <w:b/>
          <w:color w:val="000000"/>
          <w:sz w:val="24"/>
        </w:rPr>
        <w:t>Qualifying Pre</w:t>
        <w:noBreakHyphen/>
        <w:t>CIC Termination</w:t>
      </w:r>
      <w:r>
        <w:rPr>
          <w:color w:val="000000"/>
        </w:rPr>
        <w:t xml:space="preserve">” </w:t>
      </w:r>
      <w:r>
        <w:rPr>
          <w:rFonts w:ascii="Times New Roman" w:hAnsi="Times New Roman"/>
          <w:color w:val="000000"/>
          <w:sz w:val="24"/>
        </w:rPr>
        <w:t>means a Qualifying CIC Termination that occurs after a letter of intent (“</w:t>
      </w:r>
      <w:r>
        <w:rPr>
          <w:rFonts w:ascii="Times New Roman" w:hAnsi="Times New Roman"/>
          <w:b/>
          <w:color w:val="000000"/>
          <w:sz w:val="24"/>
        </w:rPr>
        <w:t>LOI</w:t>
      </w:r>
      <w:r>
        <w:rPr>
          <w:color w:val="000000"/>
        </w:rPr>
        <w:t>”</w:t>
      </w:r>
      <w:r>
        <w:rPr>
          <w:rFonts w:ascii="Times New Roman" w:hAnsi="Times New Roman"/>
          <w:color w:val="000000"/>
          <w:sz w:val="24"/>
        </w:rPr>
        <w:t>) or similar agreement is made between the Company and an acquiror, but prior to the date of the Change in Control.</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color w:val="000000"/>
        </w:rPr>
        <w:t>“</w:t>
      </w:r>
      <w:r>
        <w:rPr>
          <w:rFonts w:ascii="Times New Roman" w:hAnsi="Times New Roman"/>
          <w:b/>
          <w:color w:val="000000"/>
          <w:sz w:val="24"/>
        </w:rPr>
        <w:t>Qualifying Termination</w:t>
      </w:r>
      <w:r>
        <w:rPr>
          <w:color w:val="000000"/>
        </w:rPr>
        <w:t xml:space="preserve">” </w:t>
      </w:r>
      <w:r>
        <w:rPr>
          <w:rFonts w:ascii="Times New Roman" w:hAnsi="Times New Roman"/>
          <w:color w:val="000000"/>
          <w:sz w:val="24"/>
        </w:rPr>
        <w:t>means a termination of the Executive’s employment either (i) by a Company Group member without Cause and other than by reason of the Executive’s death or Disability, or (ii) by the Executive for Good Reason, in either case, during the Change in Control Period (a “</w:t>
      </w:r>
      <w:r>
        <w:rPr>
          <w:rFonts w:ascii="Times New Roman" w:hAnsi="Times New Roman"/>
          <w:b/>
          <w:color w:val="000000"/>
          <w:sz w:val="24"/>
        </w:rPr>
        <w:t>Qualifying CIC Termination</w:t>
      </w:r>
      <w:r>
        <w:rPr>
          <w:color w:val="000000"/>
        </w:rPr>
        <w:t>”</w:t>
      </w:r>
      <w:r>
        <w:rPr>
          <w:rFonts w:ascii="Times New Roman" w:hAnsi="Times New Roman"/>
          <w:color w:val="000000"/>
          <w:sz w:val="24"/>
        </w:rPr>
        <w:t>) or outside of the Change in Control Period (a “</w:t>
      </w:r>
      <w:r>
        <w:rPr>
          <w:rFonts w:ascii="Times New Roman" w:hAnsi="Times New Roman"/>
          <w:b/>
          <w:color w:val="000000"/>
          <w:sz w:val="24"/>
        </w:rPr>
        <w:t>Qualifying Non-CIC Termination</w:t>
      </w:r>
      <w:r>
        <w:rPr>
          <w:color w:val="000000"/>
        </w:rPr>
        <w:t>”</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color w:val="000000"/>
        </w:rPr>
        <w:t>“</w:t>
      </w:r>
      <w:r>
        <w:rPr>
          <w:rFonts w:ascii="Times New Roman" w:hAnsi="Times New Roman"/>
          <w:b/>
          <w:color w:val="000000"/>
          <w:sz w:val="24"/>
        </w:rPr>
        <w:t>Retention Bonuses</w:t>
      </w:r>
      <w:r>
        <w:rPr>
          <w:color w:val="000000"/>
        </w:rPr>
        <w:t xml:space="preserve">” </w:t>
      </w:r>
      <w:r>
        <w:rPr>
          <w:rFonts w:ascii="Times New Roman" w:hAnsi="Times New Roman"/>
          <w:color w:val="000000"/>
          <w:sz w:val="24"/>
        </w:rPr>
        <w:t>has the same meaning as used in the Transition Employment Letter.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color w:val="000000"/>
        </w:rPr>
        <w:t>“</w:t>
      </w:r>
      <w:r>
        <w:rPr>
          <w:rFonts w:ascii="Times New Roman" w:hAnsi="Times New Roman"/>
          <w:b/>
          <w:color w:val="000000"/>
          <w:sz w:val="24"/>
        </w:rPr>
        <w:t>RSU Award</w:t>
      </w:r>
      <w:r>
        <w:rPr>
          <w:color w:val="000000"/>
        </w:rPr>
        <w:t xml:space="preserve">” </w:t>
      </w:r>
      <w:r>
        <w:rPr>
          <w:rFonts w:ascii="Times New Roman" w:hAnsi="Times New Roman"/>
          <w:color w:val="000000"/>
          <w:sz w:val="24"/>
        </w:rPr>
        <w:t>has the same meaning as used in the Transition Employment Letter.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color w:val="000000"/>
        </w:rPr>
        <w:t>“</w:t>
      </w:r>
      <w:r>
        <w:rPr>
          <w:rFonts w:ascii="Times New Roman" w:hAnsi="Times New Roman"/>
          <w:b/>
          <w:color w:val="000000"/>
          <w:sz w:val="24"/>
        </w:rPr>
        <w:t>RSU Grant Date</w:t>
      </w:r>
      <w:r>
        <w:rPr>
          <w:color w:val="000000"/>
        </w:rPr>
        <w:t xml:space="preserve">” </w:t>
      </w:r>
      <w:r>
        <w:rPr>
          <w:rFonts w:ascii="Times New Roman" w:hAnsi="Times New Roman"/>
          <w:color w:val="000000"/>
          <w:sz w:val="24"/>
        </w:rPr>
        <w:t>has the same meaning as used in the Transition Employment Letter.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pPr>
      <w:r>
        <w:rPr>
          <w:color w:val="000000"/>
        </w:rPr>
        <w:t>“</w:t>
      </w:r>
      <w:r>
        <w:rPr>
          <w:rFonts w:ascii="Times New Roman" w:hAnsi="Times New Roman"/>
          <w:b/>
          <w:color w:val="000000"/>
          <w:sz w:val="24"/>
        </w:rPr>
        <w:t>Salary</w:t>
      </w:r>
      <w:r>
        <w:rPr>
          <w:color w:val="000000"/>
        </w:rPr>
        <w:t xml:space="preserve">” </w:t>
      </w:r>
      <w:r>
        <w:rPr>
          <w:rFonts w:ascii="Times New Roman" w:hAnsi="Times New Roman"/>
          <w:color w:val="000000"/>
          <w:sz w:val="24"/>
        </w:rPr>
        <w:t xml:space="preserve">means the Executive’s rate of base salary as in effect immediately prior to the Executive’s Qualifying Termination (or if the termination is due to a resignation for Good Reason based on a material reduction in base salary, then the Executive’s rate of base salary in effect immediately prior to the reduction) or, if the Executive’s Qualifying Termination is a Qualifying CIC Termination and the amount is greater, at the level in effect immediately prior to the Change in Control.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pPr>
      <w:r>
        <w:rPr>
          <w:color w:val="000000"/>
        </w:rPr>
        <w:t>“</w:t>
      </w:r>
      <w:r>
        <w:rPr>
          <w:rFonts w:ascii="Times New Roman" w:hAnsi="Times New Roman"/>
          <w:b/>
          <w:color w:val="000000"/>
          <w:sz w:val="24"/>
        </w:rPr>
        <w:t>Transition Employment Letter</w:t>
      </w:r>
      <w:r>
        <w:rPr>
          <w:color w:val="000000"/>
        </w:rPr>
        <w:t xml:space="preserve">” </w:t>
      </w:r>
      <w:r>
        <w:rPr>
          <w:rFonts w:ascii="Times New Roman" w:hAnsi="Times New Roman"/>
          <w:color w:val="000000"/>
          <w:sz w:val="24"/>
        </w:rPr>
        <w:t>means the Transition Employment Letter by and between the Company and the Executive effective July 20, 2026.</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 This Agreement will be binding upon and inure to the benefit of (a) 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the Executive to receive any form of compensation payable pursuant to this Agreement may be assigned or transferred except by will or the laws of descent and distribution. Any other attempted assignment, transfer, conveyance, or other disposition of the Executive’s right to compensation or other benefits will be null and void.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Notice</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All notices and other communications required or permitted under this Agreement will be in writing and will be effectively given (i) upon actual delivery to the party to be notified; (ii) upon transmission by email; (iii) twenty</w:t>
        <w:noBreakHyphen/>
        <w:t>four (24) hours after confirmed facsimile transmission; (iv) one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will have most recently furnished to the Company in writing, (B) if to the Company, at the following address:</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RxSight, Inc.</w:t>
      </w:r>
    </w:p>
    <w:p>
      <w:pPr>
        <w:pStyle w:val="TextBody"/>
        <w:bidi w:val="0"/>
        <w:ind w:left="0" w:right="0" w:firstLine="2160"/>
        <w:jc w:val="both"/>
        <w:rPr>
          <w:rFonts w:ascii="Times New Roman" w:hAnsi="Times New Roman"/>
          <w:color w:val="222222"/>
          <w:sz w:val="24"/>
        </w:rPr>
      </w:pPr>
      <w:r>
        <w:rPr>
          <w:rFonts w:ascii="Times New Roman" w:hAnsi="Times New Roman"/>
          <w:color w:val="222222"/>
          <w:sz w:val="24"/>
        </w:rPr>
        <w:t>100 Columbia</w:t>
      </w:r>
    </w:p>
    <w:p>
      <w:pPr>
        <w:pStyle w:val="TextBody"/>
        <w:bidi w:val="0"/>
        <w:ind w:left="0" w:right="0" w:firstLine="2160"/>
        <w:jc w:val="both"/>
        <w:rPr>
          <w:rFonts w:ascii="Times New Roman" w:hAnsi="Times New Roman"/>
          <w:color w:val="222222"/>
          <w:sz w:val="24"/>
        </w:rPr>
      </w:pPr>
      <w:r>
        <w:rPr>
          <w:rFonts w:ascii="Times New Roman" w:hAnsi="Times New Roman"/>
          <w:color w:val="222222"/>
          <w:sz w:val="24"/>
        </w:rPr>
        <w:t>Aliso Viejo, CA 92656</w:t>
      </w:r>
    </w:p>
    <w:p>
      <w:pPr>
        <w:pStyle w:val="TextBody"/>
        <w:bidi w:val="0"/>
        <w:ind w:left="0" w:right="0" w:firstLine="2160"/>
        <w:jc w:val="both"/>
        <w:rPr>
          <w:rFonts w:ascii="Times New Roman" w:hAnsi="Times New Roman"/>
          <w:color w:val="000000"/>
          <w:sz w:val="24"/>
        </w:rPr>
      </w:pPr>
      <w:r>
        <w:rPr>
          <w:rFonts w:ascii="Times New Roman" w:hAnsi="Times New Roman"/>
          <w:color w:val="000000"/>
          <w:sz w:val="24"/>
        </w:rPr>
        <w:t>Attention: Chief Executive Officer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Notice of Termination</w:t>
      </w:r>
      <w:r>
        <w:rPr>
          <w:rFonts w:ascii="Times New Roman" w:hAnsi="Times New Roman"/>
          <w:color w:val="000000"/>
          <w:sz w:val="24"/>
        </w:rPr>
        <w:t xml:space="preserve">. Any termination by a Company Group member for Cause will be communicated by a notice of termination to the Executive, and any termination by the Executive for Good Reason will be communicated by a notice of termination to the Company, in each case given in accordance with Section 10(a)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Resignation</w:t>
      </w:r>
      <w:r>
        <w:rPr>
          <w:rFonts w:ascii="Times New Roman" w:hAnsi="Times New Roman"/>
          <w:color w:val="000000"/>
          <w:sz w:val="24"/>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Duty to Mitigate</w:t>
      </w:r>
      <w:r>
        <w:rPr>
          <w:rFonts w:ascii="Times New Roman" w:hAnsi="Times New Roman"/>
          <w:color w:val="000000"/>
          <w:sz w:val="24"/>
        </w:rPr>
        <w:t>. 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Waiver; Amendment</w:t>
      </w:r>
      <w:r>
        <w:rPr>
          <w:rFonts w:ascii="Times New Roman" w:hAnsi="Times New Roman"/>
          <w:color w:val="000000"/>
          <w:sz w:val="24"/>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All captions and section headings used in this Agreement are for convenient reference only and do not form a part of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xml:space="preserve">. 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change in control severance agreement, severance policy or program, or Equity Award agreement.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Choice of Law</w:t>
      </w:r>
      <w:r>
        <w:rPr>
          <w:rFonts w:ascii="Times New Roman" w:hAnsi="Times New Roman"/>
          <w:color w:val="000000"/>
          <w:sz w:val="24"/>
        </w:rPr>
        <w:t>. This Agreement will be governed by the laws of the State of California without regard to California’s conflicts of law rules that may result in the application of the laws of any jurisdiction other than California. The Executive hereby expressly consents to the personal and exclusive jurisdiction and venue of the state and federal courts located in California for any lawsuit filed against the Executive by any member of the Company Group.</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each of which will be deemed an original, but all of which together will constitute one and the same instrument.</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By its signature below, each of the parties signifies its acceptance of the terms of this Agreement, in the case of the Company by its duly authorized officer.</w:t>
      </w:r>
    </w:p>
    <w:p>
      <w:pPr>
        <w:pStyle w:val="TextBody"/>
        <w:bidi w:val="0"/>
        <w:spacing w:before="240" w:after="283"/>
        <w:ind w:left="0" w:right="0" w:firstLine="720"/>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aps/>
          <w:color w:val="000000"/>
          <w:sz w:val="24"/>
        </w:rPr>
        <w:t>RXSIGHT, Inc.</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 Mark Wilterding</w:t>
      </w:r>
      <w:r>
        <w:rPr>
          <w:rFonts w:ascii="Times New Roman" w:hAnsi="Times New Roman"/>
          <w:color w:val="000000"/>
          <w:sz w:val="24"/>
        </w:rPr>
        <w:t>______________</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Mark Wilterding</w:t>
      </w:r>
      <w:r>
        <w:rPr>
          <w:rFonts w:ascii="Times New Roman" w:hAnsi="Times New Roman"/>
          <w:color w:val="000000"/>
          <w:sz w:val="20"/>
        </w:rPr>
        <w:t xml:space="preserve"> </w:t>
      </w:r>
    </w:p>
    <w:p>
      <w:pPr>
        <w:pStyle w:val="TextBody"/>
        <w:bidi w:val="0"/>
        <w:spacing w:before="240" w:after="283"/>
        <w:ind w:left="2160" w:right="0" w:hanging="0"/>
        <w:jc w:val="both"/>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Chief Financial Officer</w:t>
      </w:r>
    </w:p>
    <w:p>
      <w:pPr>
        <w:pStyle w:val="TextBody"/>
        <w:bidi w:val="0"/>
        <w:spacing w:before="240" w:after="283"/>
        <w:ind w:left="2160" w:right="0" w:hanging="0"/>
        <w:jc w:val="both"/>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July 13, 2026</w:t>
      </w:r>
    </w:p>
    <w:p>
      <w:pPr>
        <w:pStyle w:val="TextBody"/>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EXECUTIVE </w:t>
      </w:r>
      <w:r>
        <w:rPr>
          <w:rFonts w:ascii="Times New Roman" w:hAnsi="Times New Roman"/>
          <w:color w:val="000000"/>
          <w:sz w:val="24"/>
          <w:u w:val="single"/>
        </w:rPr>
        <w:t xml:space="preserve">/s/ Ron Kurtz </w:t>
      </w:r>
    </w:p>
    <w:p>
      <w:pPr>
        <w:pStyle w:val="TextBody"/>
        <w:bidi w:val="0"/>
        <w:ind w:left="2160" w:right="0" w:hanging="0"/>
        <w:jc w:val="both"/>
        <w:rPr>
          <w:rFonts w:ascii="Times New Roman" w:hAnsi="Times New Roman"/>
          <w:sz w:val="20"/>
        </w:rPr>
      </w:pPr>
      <w:r>
        <w:rPr>
          <w:rFonts w:ascii="Times New Roman" w:hAnsi="Times New Roman"/>
          <w:color w:val="000000"/>
          <w:sz w:val="24"/>
        </w:rPr>
        <w:t>By: Ron Kurtz</w:t>
      </w:r>
      <w:r>
        <w:rPr>
          <w:rFonts w:ascii="Times New Roman" w:hAnsi="Times New Roman"/>
          <w:color w:val="000000"/>
          <w:sz w:val="20"/>
        </w:rPr>
        <w:t xml:space="preserve"> </w:t>
      </w:r>
    </w:p>
    <w:p>
      <w:pPr>
        <w:pStyle w:val="TextBody"/>
        <w:bidi w:val="0"/>
        <w:spacing w:before="240" w:after="283"/>
        <w:ind w:left="1440" w:right="0" w:firstLine="720"/>
        <w:jc w:val="both"/>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July 13, 2026</w:t>
      </w:r>
    </w:p>
    <w:p>
      <w:pPr>
        <w:pStyle w:val="TextBody"/>
        <w:bidi w:val="0"/>
        <w:ind w:left="5040" w:right="0" w:hanging="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ind w:left="0" w:right="0" w:firstLine="720"/>
        <w:jc w:val="both"/>
        <w:rPr/>
      </w:pPr>
      <w:r>
        <w:rPr/>
        <w:t> </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to Amended and Restated Change in Control Severance Agreement]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bookmarkStart w:id="44" w:name="rxst-ex31_1.htm"/>
      <w:bookmarkStart w:id="45" w:name="ksrxstex31_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Aziz Mottiwala,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Aziz Mottiwala,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Aziz Mottiwala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rxst-ex31_2.htm"/>
      <w:bookmarkStart w:id="47" w:name="ksrxstex31_2"/>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Mark Wilterding,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ableContents"/>
              <w:bidi w:val="0"/>
              <w:spacing w:before="0" w:after="283"/>
              <w:jc w:val="left"/>
              <w:rPr/>
            </w:pPr>
            <w:r>
              <w:rPr/>
              <w:t> </w:t>
            </w:r>
          </w:p>
        </w:tc>
      </w:tr>
    </w:tbl>
    <w:p>
      <w:pPr>
        <w:pStyle w:val="TextBody"/>
        <w:bidi w:val="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Wilterding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Wilterding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rxst-ex32_1.htm"/>
      <w:bookmarkStart w:id="49" w:name="ksrxstex32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RxSight, Inc. (the “Company”) on Form 10-Q for the quarterly period ended June 30, 2026, as filed with the Securities and Exchange Commission on the date hereof (the “Report”), I, Aziz Mottiwala, Chief Executive Officer of the Company, certify, pursuant to 18 U.S.C. §1350, as adopted pursuant to §906 of the Sarbanes-Oxley Act of 2002, that, to my knowledge:</w:t>
      </w:r>
    </w:p>
    <w:p>
      <w:pPr>
        <w:pStyle w:val="TextBody"/>
        <w:bidi w:val="0"/>
        <w:jc w:val="left"/>
        <w:rPr/>
      </w:pPr>
      <w:r>
        <w:rPr/>
        <w:t> </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Aziz Mottiwala,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Aziz Mottiwala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rxst-ex32_2.htm"/>
      <w:bookmarkStart w:id="51" w:name="ksrxstex32_2"/>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RxSight, Inc. (the “Company”) on Form 10-Q for the quarterly period ended June 30, 2026, as filed with the Securities and Exchange Commission on the date hereof (the “Report”), I, Mark Wilterding, Chief Financial Officer of the Company, certify, pursuant to 18 U.S.C. §1350, as adopted pursuant to §906 of the Sarbanes-Oxley Act of 2002, that, to my knowledge:</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pBdr/>
        <w:bidi w:val="0"/>
        <w:ind w:left="0" w:right="0" w:hanging="49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Witlerding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Wilterding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Montserrat">
    <w:altName w:val="Montserrat Medium"/>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1485/000119312526314252/d135524dex42.htm" TargetMode="External"/><Relationship Id="rId3" Type="http://schemas.openxmlformats.org/officeDocument/2006/relationships/hyperlink" Target="https://www.sec.gov/Archives/edgar/data/1111485/000119312526314252/d135524dex43.htm" TargetMode="External"/><Relationship Id="rId4" Type="http://schemas.openxmlformats.org/officeDocument/2006/relationships/hyperlink" Target="https://www.sec.gov/Archives/edgar/data/1111485/000119312526314252/d135524dex44.htm" TargetMode="External"/><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3.gif"/><Relationship Id="rId8" Type="http://schemas.openxmlformats.org/officeDocument/2006/relationships/image" Target="media/image4.gif"/><Relationship Id="rId9" Type="http://schemas.openxmlformats.org/officeDocument/2006/relationships/image" Target="media/image1.gif"/><Relationship Id="rId10" Type="http://schemas.openxmlformats.org/officeDocument/2006/relationships/image" Target="media/image2.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138971</Words>
  <Characters>769540</Characters>
  <CharactersWithSpaces>907852</CharactersWithSpaces>
  <Paragraphs>9467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