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xst-20241107.htm"/>
      <w:bookmarkStart w:id="1" w:name="ksrxst202411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07,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RxSight,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94-3268801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Columbia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Aliso Viejo,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521-7830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7, 2024, RxSight, Inc. (the “Company”) issued a press release announcing its results of operations and financial condition for the three and nine months ended September 30, 2024. A copy of the press release is attached hereto as Exhibit 99.1 and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furnished in this Current Report on Form 8-K under Item 2.02 and the exhibit attached hereto shall not be deemed “filed” for purposes of Section 18 of the Securities Exchange Act of 1934, as amended (the “Exchange Act”), or incorporated by reference in any filing under the Securities Act of 1933, as amended, or in any filing under the Exchange Act, except as shall be expressly set forth by specific reference in such a filing.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The following exhibit is furnished as part of this report:</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1456"/>
        <w:gridCol w:w="146"/>
        <w:gridCol w:w="664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rxst-ex99_1.htm">
              <w:r>
                <w:rPr>
                  <w:rStyle w:val="InternetLink"/>
                  <w:rFonts w:ascii="Times New Roman" w:hAnsi="Times New Roman"/>
                  <w:color w:val="0000FF"/>
                  <w:sz w:val="20"/>
                  <w:u w:val="single"/>
                </w:rPr>
                <w:t>Press Release dated November 7, 2024.</w:t>
              </w:r>
            </w:hyperlink>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7"/>
        <w:jc w:val="left"/>
        <w:rPr/>
      </w:pPr>
      <w:r>
        <w:rPr/>
        <w:t> </w:t>
      </w:r>
    </w:p>
    <w:tbl>
      <w:tblPr>
        <w:tblW w:w="6559" w:type="dxa"/>
        <w:jc w:val="left"/>
        <w:tblInd w:w="0" w:type="dxa"/>
        <w:tblLayout w:type="fixed"/>
        <w:tblCellMar>
          <w:top w:w="28" w:type="dxa"/>
          <w:left w:w="28" w:type="dxa"/>
          <w:bottom w:w="28" w:type="dxa"/>
          <w:right w:w="28" w:type="dxa"/>
        </w:tblCellMar>
      </w:tblPr>
      <w:tblGrid>
        <w:gridCol w:w="556"/>
        <w:gridCol w:w="1606"/>
        <w:gridCol w:w="451"/>
        <w:gridCol w:w="394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RxSight,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7,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Shelley Thunen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Shelley Thunen</w:t>
              <w:br/>
              <w:t>Title: Co-President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xst-ex99_1.htm"/>
      <w:bookmarkStart w:id="3" w:name="ksrxstex99_1"/>
      <w:bookmarkEnd w:id="2"/>
      <w:bookmarkEnd w:id="3"/>
      <w:r>
        <w:rPr/>
        <w:t> </w:t>
      </w:r>
      <w:r>
        <w:br w:type="page"/>
      </w:r>
    </w:p>
    <w:p>
      <w:pPr>
        <w:pStyle w:val="TextBody"/>
        <w:bidi w:val="0"/>
        <w:jc w:val="right"/>
        <w:rPr/>
      </w:pPr>
      <w:r>
        <w:rPr/>
        <w:drawing>
          <wp:inline distT="0" distB="0" distL="0" distR="0">
            <wp:extent cx="14573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447675"/>
                    </a:xfrm>
                    <a:prstGeom prst="rect">
                      <a:avLst/>
                    </a:prstGeom>
                  </pic:spPr>
                </pic:pic>
              </a:graphicData>
            </a:graphic>
          </wp:inline>
        </w:drawing>
      </w:r>
    </w:p>
    <w:p>
      <w:pPr>
        <w:pStyle w:val="TextBody"/>
        <w:bidi w:val="0"/>
        <w:jc w:val="right"/>
        <w:rPr>
          <w:rFonts w:ascii="Calibri;sans-serif" w:hAnsi="Calibri;sans-serif"/>
          <w:b/>
          <w:color w:val="000000"/>
          <w:sz w:val="22"/>
        </w:rPr>
      </w:pPr>
      <w:r>
        <w:rPr>
          <w:rFonts w:ascii="Calibri;sans-serif" w:hAnsi="Calibri;sans-serif"/>
          <w:b/>
          <w:color w:val="000000"/>
          <w:sz w:val="22"/>
        </w:rPr>
        <w:t>Exhibit 99.1</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rFonts w:ascii="Calibri;sans-serif" w:hAnsi="Calibri;sans-serif"/>
          <w:b/>
          <w:color w:val="000000"/>
          <w:sz w:val="24"/>
        </w:rPr>
      </w:pPr>
      <w:r>
        <w:rPr>
          <w:rFonts w:ascii="Calibri;sans-serif" w:hAnsi="Calibri;sans-serif"/>
          <w:b/>
          <w:color w:val="000000"/>
          <w:sz w:val="24"/>
        </w:rPr>
        <w:t>RXSIGHT, INC. REPORTS THIRD QUARTER 2024 FINANCIAL RESULTS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Aliso Viejo, Calif. (NASDAQ: RXST) – November 7, 2024</w:t>
      </w:r>
      <w:r>
        <w:rPr>
          <w:rFonts w:ascii="Times New Roman" w:hAnsi="Times New Roman"/>
          <w:color w:val="000000"/>
          <w:sz w:val="20"/>
        </w:rPr>
        <w:t xml:space="preserve"> – </w:t>
      </w:r>
      <w:r>
        <w:rPr>
          <w:rFonts w:ascii="Calibri;sans-serif" w:hAnsi="Calibri;sans-serif"/>
          <w:color w:val="000000"/>
          <w:sz w:val="22"/>
        </w:rPr>
        <w:t>RxSight, Inc., an ophthalmic medical device company dedicated to providing high-quality customized vision to patients following cataract surgery, today reported financial results for the three months ended September 30, 2024.</w:t>
      </w:r>
    </w:p>
    <w:p>
      <w:pPr>
        <w:pStyle w:val="TextBody"/>
        <w:bidi w:val="0"/>
        <w:spacing w:before="120" w:after="160"/>
        <w:jc w:val="left"/>
        <w:rPr>
          <w:rFonts w:ascii="Times New Roman" w:hAnsi="Times New Roman"/>
          <w:sz w:val="20"/>
        </w:rPr>
      </w:pPr>
      <w:r>
        <w:rPr>
          <w:rFonts w:ascii="Calibri;sans-serif" w:hAnsi="Calibri;sans-serif"/>
          <w:b/>
          <w:color w:val="000000"/>
          <w:sz w:val="22"/>
        </w:rPr>
        <w:t>Key Quarterly Highlights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Reported third quarter 2024 revenue of $35.3 million, an increase of 59% compared to the third quarter of 2023, reflecting: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The sale of 24,554 Light Adjustable Lenses (LAL/LAL+), representing an 80% increase in procedure volume compared to the third quarter of 2023;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The sale of 78 Light Delivery Devices (LDDs), representing a 18% increase in unit sales compared to the third quarter of 2023 and expanding the installed base to 888 LDDs at the end of the quarter, representing a 51% increase compared to the end of the third quarter of 2023.</w:t>
      </w:r>
    </w:p>
    <w:p>
      <w:pPr>
        <w:pStyle w:val="TextBody"/>
        <w:bidi w:val="0"/>
        <w:spacing w:before="120" w:after="120"/>
        <w:ind w:left="489" w:right="0" w:hanging="0"/>
        <w:jc w:val="left"/>
        <w:rPr>
          <w:color w:val="000000"/>
        </w:rPr>
      </w:pPr>
      <w:r>
        <w:rPr>
          <w:color w:val="000000"/>
        </w:rPr>
        <w:t>•</w:t>
      </w:r>
    </w:p>
    <w:p>
      <w:pPr>
        <w:pStyle w:val="TextBody"/>
        <w:bidi w:val="0"/>
        <w:spacing w:before="120" w:after="120"/>
        <w:jc w:val="left"/>
        <w:rPr>
          <w:rFonts w:ascii="Calibri;sans-serif" w:hAnsi="Calibri;sans-serif"/>
          <w:color w:val="000000"/>
          <w:sz w:val="22"/>
        </w:rPr>
      </w:pPr>
      <w:r>
        <w:rPr>
          <w:rFonts w:ascii="Calibri;sans-serif" w:hAnsi="Calibri;sans-serif"/>
          <w:color w:val="000000"/>
          <w:sz w:val="22"/>
        </w:rPr>
        <w:t>The company raised its 2024 full-year revenue guidance to the top of its previous guidance range, increased its gross margin guidance and lowered its operating expense guidance.</w:t>
      </w:r>
    </w:p>
    <w:p>
      <w:pPr>
        <w:pStyle w:val="TextBody"/>
        <w:bidi w:val="0"/>
        <w:spacing w:before="120" w:after="120"/>
        <w:jc w:val="left"/>
        <w:rPr/>
      </w:pPr>
      <w:r>
        <w:rPr>
          <w:color w:val="000000"/>
        </w:rPr>
        <w:t>“</w:t>
      </w:r>
      <w:r>
        <w:rPr>
          <w:rFonts w:ascii="Calibri;sans-serif" w:hAnsi="Calibri;sans-serif"/>
          <w:color w:val="000000"/>
          <w:sz w:val="22"/>
        </w:rPr>
        <w:t>We are pleased to report another strong quarter driven by ongoing demand and enthusiasm for the RxSight system,” said Dr. Ron Kurtz, Chief Executive Officer and President. “With 78 LDDs sold this quarter and sustained growth in LAL sales, we continue to see recognition of the transformative power of adjustability and the significant value it provides to both patients and doctors. We believe our third-quarter results position us for a strong finish to 2024 and for continued success in the years to come.</w:t>
      </w:r>
      <w:r>
        <w:rPr>
          <w:rFonts w:ascii="Times New Roman" w:hAnsi="Times New Roman"/>
          <w:color w:val="000000"/>
          <w:sz w:val="20"/>
        </w:rPr>
        <w:t>”</w:t>
      </w:r>
    </w:p>
    <w:p>
      <w:pPr>
        <w:pStyle w:val="TextBody"/>
        <w:bidi w:val="0"/>
        <w:jc w:val="left"/>
        <w:rPr>
          <w:rFonts w:ascii="Calibri;sans-serif" w:hAnsi="Calibri;sans-serif"/>
          <w:b/>
          <w:color w:val="000000"/>
          <w:sz w:val="22"/>
        </w:rPr>
      </w:pPr>
      <w:r>
        <w:rPr>
          <w:rFonts w:ascii="Calibri;sans-serif" w:hAnsi="Calibri;sans-serif"/>
          <w:b/>
          <w:color w:val="000000"/>
          <w:sz w:val="22"/>
        </w:rPr>
        <w:t>Third Quarter Financial Results</w:t>
      </w:r>
    </w:p>
    <w:p>
      <w:pPr>
        <w:pStyle w:val="TextBody"/>
        <w:bidi w:val="0"/>
        <w:spacing w:before="120" w:after="120"/>
        <w:jc w:val="left"/>
        <w:rPr>
          <w:rFonts w:ascii="Times New Roman" w:hAnsi="Times New Roman"/>
          <w:sz w:val="20"/>
        </w:rPr>
      </w:pPr>
      <w:r>
        <w:rPr>
          <w:rFonts w:ascii="Calibri;sans-serif" w:hAnsi="Calibri;sans-serif"/>
          <w:color w:val="000000"/>
          <w:sz w:val="22"/>
        </w:rPr>
        <w:t>In the third quarter of 2024, total revenue was $35.3 million, an increase of 59% compared to $22.2 million in the third quarter of 2023. Revenue growth was driven by a 79% increase in LAL revenue and a 28% increase in LDD revenue, compared to the third quarter of 2023.</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Gross profit for the third quarter of 2024 was $25.2 million or 71.4% of revenue, an increase of $11.5 million or 84% compared to gross profit of $13.7 million or 61.9% of revenue for the third quarter of 2023. The year over year increase in gross profit was driven by continued growth in the percentage of LAL sales as a proportion of total sales, lower cost of sales for both the LDD and LAL, and sustained pricing stability for company’s capital equipment.</w:t>
      </w:r>
    </w:p>
    <w:p>
      <w:pPr>
        <w:pStyle w:val="TextBody"/>
        <w:bidi w:val="0"/>
        <w:spacing w:before="120" w:after="120"/>
        <w:jc w:val="left"/>
        <w:rPr>
          <w:rFonts w:ascii="Calibri;sans-serif" w:hAnsi="Calibri;sans-serif"/>
          <w:color w:val="000000"/>
          <w:sz w:val="22"/>
        </w:rPr>
      </w:pPr>
      <w:r>
        <w:rPr>
          <w:rFonts w:ascii="Calibri;sans-serif" w:hAnsi="Calibri;sans-serif"/>
          <w:color w:val="000000"/>
          <w:sz w:val="22"/>
        </w:rPr>
        <w:t>Total operating expenses for the third quarter of 2024 were $34.4 million, a 31% increase from $26.2 million in the third quarter of 2023, on an increase in revenue of 59%, reflecting the company’s ongoing investments to grow its LDD installed base and support increased LAL sales volume while managing its operating expenses.</w:t>
      </w:r>
    </w:p>
    <w:p>
      <w:pPr>
        <w:pStyle w:val="TextBody"/>
        <w:bidi w:val="0"/>
        <w:spacing w:before="0" w:after="120"/>
        <w:jc w:val="left"/>
        <w:rPr>
          <w:rFonts w:ascii="Times New Roman" w:hAnsi="Times New Roman"/>
          <w:sz w:val="20"/>
        </w:rPr>
      </w:pPr>
      <w:r>
        <w:rPr>
          <w:rFonts w:ascii="Calibri;sans-serif" w:hAnsi="Calibri;sans-serif"/>
          <w:color w:val="000000"/>
          <w:sz w:val="22"/>
        </w:rPr>
        <w:t>In the third quarter of 2024, the company reported a net loss of $(6.3) million, or $(0.16) per basic and diluted share, compared to a net loss of $(12.4) million, or $(0.35) per basic and diluted share in the third quarter of 2023. Adjusted net earnings in the third quarter of 2024 were $214 thousand, or $0.00</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57325" cy="447675"/>
                    </a:xfrm>
                    <a:prstGeom prst="rect">
                      <a:avLst/>
                    </a:prstGeom>
                  </pic:spPr>
                </pic:pic>
              </a:graphicData>
            </a:graphic>
          </wp:inline>
        </w:drawing>
      </w:r>
    </w:p>
    <w:p>
      <w:pPr>
        <w:pStyle w:val="TextBody"/>
        <w:bidi w:val="0"/>
        <w:spacing w:before="0" w:after="120"/>
        <w:jc w:val="left"/>
        <w:rPr>
          <w:rFonts w:ascii="Calibri;sans-serif" w:hAnsi="Calibri;sans-serif"/>
          <w:color w:val="000000"/>
          <w:sz w:val="22"/>
        </w:rPr>
      </w:pPr>
      <w:r>
        <w:rPr>
          <w:rFonts w:ascii="Calibri;sans-serif" w:hAnsi="Calibri;sans-serif"/>
          <w:color w:val="000000"/>
          <w:sz w:val="22"/>
        </w:rPr>
        <w:t>per diluted share, compared to an adjusted net loss of $(6.9) million, or $(0.19) per basic and diluted share in the third quarter of 2023.</w:t>
      </w:r>
    </w:p>
    <w:p>
      <w:pPr>
        <w:pStyle w:val="TextBody"/>
        <w:bidi w:val="0"/>
        <w:spacing w:before="0" w:after="120"/>
        <w:jc w:val="left"/>
        <w:rPr>
          <w:rFonts w:ascii="Calibri;sans-serif" w:hAnsi="Calibri;sans-serif"/>
          <w:color w:val="000000"/>
          <w:sz w:val="22"/>
        </w:rPr>
      </w:pPr>
      <w:r>
        <w:rPr>
          <w:rFonts w:ascii="Calibri;sans-serif" w:hAnsi="Calibri;sans-serif"/>
          <w:color w:val="000000"/>
          <w:sz w:val="22"/>
        </w:rPr>
        <w:t>Cash, cash equivalents and short-term investments as of September 30, 2024, were $237.1 million compared to $233.3 million on June 30, 2024.</w:t>
      </w:r>
    </w:p>
    <w:p>
      <w:pPr>
        <w:pStyle w:val="TextBody"/>
        <w:bidi w:val="0"/>
        <w:spacing w:before="0" w:after="120"/>
        <w:jc w:val="left"/>
        <w:rPr>
          <w:rFonts w:ascii="Times New Roman" w:hAnsi="Times New Roman"/>
          <w:sz w:val="20"/>
        </w:rPr>
      </w:pPr>
      <w:r>
        <w:rPr>
          <w:rFonts w:ascii="Calibri;sans-serif" w:hAnsi="Calibri;sans-serif"/>
          <w:b/>
          <w:color w:val="000000"/>
          <w:sz w:val="22"/>
        </w:rPr>
        <w:t>2024 Guidance</w:t>
      </w:r>
      <w:r>
        <w:rPr>
          <w:rFonts w:ascii="Times New Roman" w:hAnsi="Times New Roman"/>
          <w:color w:val="000000"/>
          <w:sz w:val="20"/>
        </w:rPr>
        <w:t xml:space="preserve"> </w:t>
      </w:r>
    </w:p>
    <w:p>
      <w:pPr>
        <w:pStyle w:val="TextBody"/>
        <w:bidi w:val="0"/>
        <w:spacing w:before="0" w:after="120"/>
        <w:jc w:val="left"/>
        <w:rPr>
          <w:rFonts w:ascii="Calibri;sans-serif" w:hAnsi="Calibri;sans-serif"/>
          <w:color w:val="000000"/>
          <w:sz w:val="22"/>
        </w:rPr>
      </w:pPr>
      <w:r>
        <w:rPr>
          <w:rFonts w:ascii="Calibri;sans-serif" w:hAnsi="Calibri;sans-serif"/>
          <w:color w:val="000000"/>
          <w:sz w:val="22"/>
        </w:rPr>
        <w:t>The company revised its 2024 full-year revenue, gross margin and operating expense guidance as follows: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Revenue at the top of previously provided guidance range of $139.0 million to $140.0 million, representing implied growth of approximately 57% compared to 2023;</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Gross margin in the range of 70% to 71%, up from previous guidance range of 68% to 70%;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Operating expenses at the low end of its previously provided guidance range of $135.0 to $136.0 million, including non-cash stock-based compensation expense, now also expected at the lower end of the previous guidance range of $29.0 to $30.0 million.</w:t>
      </w:r>
    </w:p>
    <w:p>
      <w:pPr>
        <w:pStyle w:val="TextBody"/>
        <w:bidi w:val="0"/>
        <w:spacing w:before="120" w:after="160"/>
        <w:jc w:val="left"/>
        <w:rPr>
          <w:rFonts w:ascii="Calibri;sans-serif" w:hAnsi="Calibri;sans-serif"/>
          <w:b/>
          <w:color w:val="000000"/>
          <w:sz w:val="22"/>
        </w:rPr>
      </w:pPr>
      <w:r>
        <w:rPr>
          <w:rFonts w:ascii="Calibri;sans-serif" w:hAnsi="Calibri;sans-serif"/>
          <w:b/>
          <w:color w:val="000000"/>
          <w:sz w:val="22"/>
        </w:rPr>
        <w:t>Conference Call</w:t>
      </w:r>
    </w:p>
    <w:p>
      <w:pPr>
        <w:pStyle w:val="TextBody"/>
        <w:bidi w:val="0"/>
        <w:jc w:val="left"/>
        <w:rPr>
          <w:rFonts w:ascii="Times New Roman" w:hAnsi="Times New Roman"/>
          <w:sz w:val="20"/>
        </w:rPr>
      </w:pPr>
      <w:r>
        <w:rPr>
          <w:rFonts w:ascii="Calibri;sans-serif" w:hAnsi="Calibri;sans-serif"/>
          <w:color w:val="000000"/>
          <w:sz w:val="22"/>
        </w:rPr>
        <w:t>On Thursday, November 7, 2024, at 1:30 p.m. Pacific Time, the company will host a conference call to discuss its third quarter 2024 financial results. To participate in the conference call, please dial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2"/>
        </w:rPr>
        <w:t xml:space="preserve">(888) 596-4144 or (646) 968-2525 and enter the conference code: 7406253. The call will also be broadcast live in listen-only mode via a link on the company’s investor relations website at </w:t>
      </w:r>
      <w:r>
        <w:rPr>
          <w:rFonts w:ascii="Calibri;sans-serif" w:hAnsi="Calibri;sans-serif"/>
          <w:color w:val="0000FF"/>
          <w:sz w:val="22"/>
          <w:u w:val="single"/>
        </w:rPr>
        <w:t>https://investors.rxsight.com/</w:t>
      </w:r>
      <w:r>
        <w:rPr>
          <w:rFonts w:ascii="Calibri;sans-serif" w:hAnsi="Calibri;sans-serif"/>
          <w:color w:val="000000"/>
          <w:sz w:val="22"/>
        </w:rPr>
        <w:t>. An archived recording of the call will be available through the same link shortly after its completion.</w:t>
      </w:r>
    </w:p>
    <w:p>
      <w:pPr>
        <w:pStyle w:val="TextBody"/>
        <w:bidi w:val="0"/>
        <w:spacing w:before="120" w:after="160"/>
        <w:jc w:val="left"/>
        <w:rPr>
          <w:rFonts w:ascii="Calibri;sans-serif" w:hAnsi="Calibri;sans-serif"/>
          <w:b/>
          <w:color w:val="000000"/>
          <w:sz w:val="22"/>
        </w:rPr>
      </w:pPr>
      <w:r>
        <w:rPr>
          <w:rFonts w:ascii="Calibri;sans-serif" w:hAnsi="Calibri;sans-serif"/>
          <w:b/>
          <w:color w:val="000000"/>
          <w:sz w:val="22"/>
        </w:rPr>
        <w:t>About RxSight, Inc.</w:t>
      </w:r>
    </w:p>
    <w:p>
      <w:pPr>
        <w:pStyle w:val="TextBody"/>
        <w:bidi w:val="0"/>
        <w:jc w:val="left"/>
        <w:rPr>
          <w:rFonts w:ascii="Calibri;sans-serif" w:hAnsi="Calibri;sans-serif"/>
          <w:color w:val="000000"/>
          <w:sz w:val="22"/>
        </w:rPr>
      </w:pPr>
      <w:r>
        <w:rPr>
          <w:rFonts w:ascii="Calibri;sans-serif" w:hAnsi="Calibri;sans-serif"/>
          <w:color w:val="000000"/>
          <w:sz w:val="22"/>
        </w:rPr>
        <w:t>RxSight, Inc. is an ophthalmic medical device company dedicated to providing high-quality customized vision to patients following cataract surgery. The RxSight® Light Adjustable Lens system, comprised of the RxSight Light Adjustable Lens® (LAL/LAL+,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www.rxsight.com.</w:t>
      </w:r>
    </w:p>
    <w:p>
      <w:pPr>
        <w:pStyle w:val="TextBody"/>
        <w:bidi w:val="0"/>
        <w:spacing w:before="120" w:after="16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jc w:val="left"/>
        <w:rPr>
          <w:rFonts w:ascii="Times New Roman" w:hAnsi="Times New Roman"/>
          <w:sz w:val="20"/>
        </w:rPr>
      </w:pPr>
      <w:r>
        <w:rPr>
          <w:rFonts w:ascii="Calibri;sans-serif" w:hAnsi="Calibri;sans-serif"/>
          <w:color w:val="000000"/>
          <w:sz w:val="22"/>
        </w:rPr>
        <w:t xml:space="preserve">This press release contains forward-looking statements, including: management’s views regarding the transformative power of adjustability and the significant value it provides to both patients and doctors; management’s belief that RxSight is positioned for a strong finish to 2024 and for continued success in the years to come; and RxSight’s revised projected revenue, gross margin, and operating expenses for 2024. Such statements relate to future events or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implied or inferred by these forward-looking statements, and among other things, our ability to maintain cash balances and successfully commercialize or partner our product candidates currently under development. In some cases, you can identify forward-looking statements by terminology such as </w:t>
      </w:r>
      <w:r>
        <w:rPr>
          <w:rFonts w:ascii="Times New Roman" w:hAnsi="Times New Roman"/>
          <w:color w:val="000000"/>
          <w:sz w:val="20"/>
        </w:rPr>
        <w:t>“</w:t>
      </w:r>
      <w:r>
        <w:rPr>
          <w:rFonts w:ascii="Calibri;sans-serif" w:hAnsi="Calibri;sans-serif"/>
          <w:color w:val="000000"/>
          <w:sz w:val="22"/>
        </w:rPr>
        <w:t>may,</w:t>
      </w:r>
      <w:r>
        <w:rPr>
          <w:rFonts w:ascii="Times New Roman" w:hAnsi="Times New Roman"/>
          <w:color w:val="000000"/>
          <w:sz w:val="20"/>
        </w:rPr>
        <w:t>” “</w:t>
      </w:r>
      <w:r>
        <w:rPr>
          <w:rFonts w:ascii="Calibri;sans-serif" w:hAnsi="Calibri;sans-serif"/>
          <w:color w:val="000000"/>
          <w:sz w:val="22"/>
        </w:rPr>
        <w:t>will,</w:t>
      </w:r>
      <w:r>
        <w:rPr>
          <w:rFonts w:ascii="Times New Roman" w:hAnsi="Times New Roman"/>
          <w:color w:val="000000"/>
          <w:sz w:val="20"/>
        </w:rPr>
        <w:t>” “</w:t>
      </w:r>
      <w:r>
        <w:rPr>
          <w:rFonts w:ascii="Calibri;sans-serif" w:hAnsi="Calibri;sans-serif"/>
          <w:color w:val="000000"/>
          <w:sz w:val="22"/>
        </w:rPr>
        <w:t>should,</w:t>
      </w:r>
      <w:r>
        <w:rPr>
          <w:rFonts w:ascii="Times New Roman" w:hAnsi="Times New Roman"/>
          <w:color w:val="000000"/>
          <w:sz w:val="20"/>
        </w:rPr>
        <w:t>” “</w:t>
      </w:r>
      <w:r>
        <w:rPr>
          <w:rFonts w:ascii="Calibri;sans-serif" w:hAnsi="Calibri;sans-serif"/>
          <w:color w:val="000000"/>
          <w:sz w:val="22"/>
        </w:rPr>
        <w:t>could,</w:t>
      </w:r>
      <w:r>
        <w:rPr>
          <w:rFonts w:ascii="Times New Roman" w:hAnsi="Times New Roman"/>
          <w:color w:val="000000"/>
          <w:sz w:val="20"/>
        </w:rPr>
        <w:t>” “</w:t>
      </w:r>
      <w:r>
        <w:rPr>
          <w:rFonts w:ascii="Calibri;sans-serif" w:hAnsi="Calibri;sans-serif"/>
          <w:color w:val="000000"/>
          <w:sz w:val="22"/>
        </w:rPr>
        <w:t>would,</w:t>
      </w:r>
      <w:r>
        <w:rPr>
          <w:rFonts w:ascii="Times New Roman" w:hAnsi="Times New Roman"/>
          <w:color w:val="000000"/>
          <w:sz w:val="20"/>
        </w:rPr>
        <w:t>” “</w:t>
      </w:r>
      <w:r>
        <w:rPr>
          <w:rFonts w:ascii="Calibri;sans-serif" w:hAnsi="Calibri;sans-serif"/>
          <w:color w:val="000000"/>
          <w:sz w:val="22"/>
        </w:rPr>
        <w:t>expects,</w:t>
      </w:r>
      <w:r>
        <w:rPr>
          <w:rFonts w:ascii="Times New Roman" w:hAnsi="Times New Roman"/>
          <w:color w:val="000000"/>
          <w:sz w:val="20"/>
        </w:rPr>
        <w:t>” “</w:t>
      </w:r>
      <w:r>
        <w:rPr>
          <w:rFonts w:ascii="Calibri;sans-serif" w:hAnsi="Calibri;sans-serif"/>
          <w:color w:val="000000"/>
          <w:sz w:val="22"/>
        </w:rPr>
        <w:t>plans,</w:t>
      </w:r>
      <w:r>
        <w:rPr>
          <w:rFonts w:ascii="Times New Roman" w:hAnsi="Times New Roman"/>
          <w:color w:val="000000"/>
          <w:sz w:val="20"/>
        </w:rPr>
        <w:t>” “</w:t>
      </w:r>
      <w:r>
        <w:rPr>
          <w:rFonts w:ascii="Calibri;sans-serif" w:hAnsi="Calibri;sans-serif"/>
          <w:color w:val="000000"/>
          <w:sz w:val="22"/>
        </w:rPr>
        <w:t>intends,</w:t>
      </w:r>
      <w:r>
        <w:rPr>
          <w:rFonts w:ascii="Times New Roman" w:hAnsi="Times New Roman"/>
          <w:color w:val="000000"/>
          <w:sz w:val="20"/>
        </w:rPr>
        <w:t>” “</w:t>
      </w:r>
      <w:r>
        <w:rPr>
          <w:rFonts w:ascii="Calibri;sans-serif" w:hAnsi="Calibri;sans-serif"/>
          <w:color w:val="000000"/>
          <w:sz w:val="22"/>
        </w:rPr>
        <w:t>anticipates,</w:t>
      </w:r>
      <w:r>
        <w:rPr>
          <w:rFonts w:ascii="Times New Roman" w:hAnsi="Times New Roman"/>
          <w:color w:val="000000"/>
          <w:sz w:val="20"/>
        </w:rPr>
        <w:t>” “</w:t>
      </w:r>
      <w:r>
        <w:rPr>
          <w:rFonts w:ascii="Calibri;sans-serif" w:hAnsi="Calibri;sans-serif"/>
          <w:color w:val="000000"/>
          <w:sz w:val="22"/>
        </w:rPr>
        <w:t>believes,</w:t>
      </w:r>
      <w:r>
        <w:rPr>
          <w:rFonts w:ascii="Times New Roman" w:hAnsi="Times New Roman"/>
          <w:color w:val="000000"/>
          <w:sz w:val="20"/>
        </w:rPr>
        <w:t>” “</w:t>
      </w:r>
      <w:r>
        <w:rPr>
          <w:rFonts w:ascii="Calibri;sans-serif" w:hAnsi="Calibri;sans-serif"/>
          <w:color w:val="000000"/>
          <w:sz w:val="22"/>
        </w:rPr>
        <w:t>estimates,</w:t>
      </w:r>
      <w:r>
        <w:rPr>
          <w:rFonts w:ascii="Times New Roman" w:hAnsi="Times New Roman"/>
          <w:color w:val="000000"/>
          <w:sz w:val="20"/>
        </w:rPr>
        <w:t>” “</w:t>
      </w:r>
      <w:r>
        <w:rPr>
          <w:rFonts w:ascii="Calibri;sans-serif" w:hAnsi="Calibri;sans-serif"/>
          <w:color w:val="000000"/>
          <w:sz w:val="22"/>
        </w:rPr>
        <w:t>predicts,</w:t>
      </w:r>
      <w:r>
        <w:rPr>
          <w:rFonts w:ascii="Times New Roman" w:hAnsi="Times New Roman"/>
          <w:color w:val="000000"/>
          <w:sz w:val="20"/>
        </w:rPr>
        <w:t>” “</w:t>
      </w:r>
      <w:r>
        <w:rPr>
          <w:rFonts w:ascii="Calibri;sans-serif" w:hAnsi="Calibri;sans-serif"/>
          <w:color w:val="000000"/>
          <w:sz w:val="22"/>
        </w:rPr>
        <w:t>projects,</w:t>
      </w:r>
      <w:r>
        <w:rPr>
          <w:rFonts w:ascii="Times New Roman" w:hAnsi="Times New Roman"/>
          <w:color w:val="000000"/>
          <w:sz w:val="20"/>
        </w:rPr>
        <w:t>” “</w:t>
      </w:r>
      <w:r>
        <w:rPr>
          <w:rFonts w:ascii="Calibri;sans-serif" w:hAnsi="Calibri;sans-serif"/>
          <w:color w:val="000000"/>
          <w:sz w:val="22"/>
        </w:rPr>
        <w:t>potential,</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7325" cy="447675"/>
                    </a:xfrm>
                    <a:prstGeom prst="rect">
                      <a:avLst/>
                    </a:prstGeom>
                  </pic:spPr>
                </pic:pic>
              </a:graphicData>
            </a:graphic>
          </wp:inline>
        </w:drawing>
      </w:r>
    </w:p>
    <w:p>
      <w:pPr>
        <w:pStyle w:val="TextBody"/>
        <w:bidi w:val="0"/>
        <w:jc w:val="left"/>
        <w:rPr>
          <w:rFonts w:ascii="Times New Roman" w:hAnsi="Times New Roman"/>
          <w:sz w:val="20"/>
        </w:rPr>
      </w:pPr>
      <w:r>
        <w:rPr>
          <w:rFonts w:ascii="Calibri;sans-serif" w:hAnsi="Calibri;sans-serif"/>
          <w:color w:val="000000"/>
          <w:sz w:val="22"/>
        </w:rPr>
        <w:t xml:space="preserve">or </w:t>
      </w:r>
      <w:r>
        <w:rPr>
          <w:rFonts w:ascii="Times New Roman" w:hAnsi="Times New Roman"/>
          <w:color w:val="000000"/>
          <w:sz w:val="20"/>
        </w:rPr>
        <w:t>“</w:t>
      </w:r>
      <w:r>
        <w:rPr>
          <w:rFonts w:ascii="Calibri;sans-serif" w:hAnsi="Calibri;sans-serif"/>
          <w:color w:val="000000"/>
          <w:sz w:val="22"/>
        </w:rPr>
        <w:t>continue</w:t>
      </w:r>
      <w:r>
        <w:rPr>
          <w:rFonts w:ascii="Times New Roman" w:hAnsi="Times New Roman"/>
          <w:color w:val="000000"/>
          <w:sz w:val="20"/>
        </w:rPr>
        <w:t xml:space="preserve">” </w:t>
      </w:r>
      <w:r>
        <w:rPr>
          <w:rFonts w:ascii="Calibri;sans-serif" w:hAnsi="Calibri;sans-serif"/>
          <w:color w:val="000000"/>
          <w:sz w:val="22"/>
        </w:rPr>
        <w:t>or the negative of such terms and other same terminology. These statements are only predictions based on our current expectations and projections about future events. You should not place undue reliance on these statements. Actual events or results may differ materially. In evaluating these statements, you should specifically consider various factors, including the risk factors that may be found in the section entitled Part II, Item 1A (Risk Factors) in the Quarterly Report on Form 10-Q for the three months ended September 30, 2024, filed with the Securities and Exchange Commission (SEC) on or about the date hereof, and the other documents that RxSight may file from time to time with the SEC. These and other factors may cause our actual results to differ materially from any forward-looking statement. We undertake no obligation to update any of the forward-looking statements after the date of this press release to conform those statements to reflect the occurrence of unanticipated events, except as required by applicable law.</w:t>
      </w:r>
    </w:p>
    <w:p>
      <w:pPr>
        <w:pStyle w:val="TextBody"/>
        <w:bidi w:val="0"/>
        <w:jc w:val="left"/>
        <w:rPr/>
      </w:pPr>
      <w:r>
        <w:rPr/>
        <w:t>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Company Contact:</w:t>
      </w:r>
    </w:p>
    <w:p>
      <w:pPr>
        <w:pStyle w:val="TextBody"/>
        <w:bidi w:val="0"/>
        <w:jc w:val="left"/>
        <w:rPr>
          <w:rFonts w:ascii="Calibri;sans-serif" w:hAnsi="Calibri;sans-serif"/>
          <w:color w:val="000000"/>
          <w:sz w:val="22"/>
        </w:rPr>
      </w:pPr>
      <w:r>
        <w:rPr>
          <w:rFonts w:ascii="Calibri;sans-serif" w:hAnsi="Calibri;sans-serif"/>
          <w:color w:val="000000"/>
          <w:sz w:val="22"/>
        </w:rPr>
        <w:t>Shelley B. Thunen</w:t>
      </w:r>
    </w:p>
    <w:p>
      <w:pPr>
        <w:pStyle w:val="TextBody"/>
        <w:bidi w:val="0"/>
        <w:jc w:val="left"/>
        <w:rPr>
          <w:rFonts w:ascii="Calibri;sans-serif" w:hAnsi="Calibri;sans-serif"/>
          <w:color w:val="000000"/>
          <w:sz w:val="22"/>
        </w:rPr>
      </w:pPr>
      <w:r>
        <w:rPr>
          <w:rFonts w:ascii="Calibri;sans-serif" w:hAnsi="Calibri;sans-serif"/>
          <w:color w:val="000000"/>
          <w:sz w:val="22"/>
        </w:rPr>
        <w:t>Chief Financial Officer</w:t>
      </w:r>
    </w:p>
    <w:p>
      <w:pPr>
        <w:pStyle w:val="TextBody"/>
        <w:bidi w:val="0"/>
        <w:jc w:val="left"/>
        <w:rPr>
          <w:rFonts w:ascii="Calibri;sans-serif" w:hAnsi="Calibri;sans-serif"/>
          <w:sz w:val="22"/>
        </w:rPr>
      </w:pPr>
      <w:r>
        <w:rPr>
          <w:rFonts w:ascii="Calibri;sans-serif" w:hAnsi="Calibri;sans-serif"/>
          <w:sz w:val="22"/>
        </w:rPr>
        <w:t>sthunen@rxsight.com</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Investor Relations Contact:</w:t>
      </w:r>
    </w:p>
    <w:p>
      <w:pPr>
        <w:pStyle w:val="TextBody"/>
        <w:bidi w:val="0"/>
        <w:jc w:val="left"/>
        <w:rPr>
          <w:rFonts w:ascii="Calibri;sans-serif" w:hAnsi="Calibri;sans-serif"/>
          <w:color w:val="000000"/>
          <w:sz w:val="22"/>
        </w:rPr>
      </w:pPr>
      <w:r>
        <w:rPr>
          <w:rFonts w:ascii="Calibri;sans-serif" w:hAnsi="Calibri;sans-serif"/>
          <w:color w:val="000000"/>
          <w:sz w:val="22"/>
        </w:rPr>
        <w:t>Oliver Moravcevic</w:t>
      </w:r>
    </w:p>
    <w:p>
      <w:pPr>
        <w:pStyle w:val="TextBody"/>
        <w:bidi w:val="0"/>
        <w:jc w:val="left"/>
        <w:rPr>
          <w:rFonts w:ascii="Calibri;sans-serif" w:hAnsi="Calibri;sans-serif"/>
          <w:color w:val="000000"/>
          <w:sz w:val="22"/>
        </w:rPr>
      </w:pPr>
      <w:r>
        <w:rPr>
          <w:rFonts w:ascii="Calibri;sans-serif" w:hAnsi="Calibri;sans-serif"/>
          <w:color w:val="000000"/>
          <w:sz w:val="22"/>
        </w:rPr>
        <w:t>VP, Investor Relations</w:t>
      </w:r>
    </w:p>
    <w:p>
      <w:pPr>
        <w:pStyle w:val="TextBody"/>
        <w:bidi w:val="0"/>
        <w:jc w:val="left"/>
        <w:rPr>
          <w:rFonts w:ascii="Calibri;sans-serif" w:hAnsi="Calibri;sans-serif"/>
          <w:sz w:val="22"/>
        </w:rPr>
      </w:pPr>
      <w:r>
        <w:rPr>
          <w:rFonts w:ascii="Calibri;sans-serif" w:hAnsi="Calibri;sans-serif"/>
          <w:sz w:val="22"/>
        </w:rPr>
        <w:t>omoravcevic@rxsight.com</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4476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LOSS (UNAUDITED)</w:t>
      </w:r>
    </w:p>
    <w:p>
      <w:pPr>
        <w:pStyle w:val="TextBody"/>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bidi w:val="0"/>
        <w:jc w:val="center"/>
        <w:rPr/>
      </w:pPr>
      <w:r>
        <w:rPr/>
        <w:t> </w:t>
      </w:r>
    </w:p>
    <w:p>
      <w:pPr>
        <w:pStyle w:val="TextBody"/>
        <w:bidi w:val="0"/>
        <w:jc w:val="center"/>
        <w:rPr/>
      </w:pPr>
      <w:r>
        <w:rPr/>
        <w:t> </w:t>
      </w:r>
    </w:p>
    <w:p>
      <w:pPr>
        <w:pStyle w:val="TextBody"/>
        <w:pBdr>
          <w:bottom w:val="single" w:sz="12"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8"/>
        <w:gridCol w:w="746"/>
        <w:gridCol w:w="201"/>
        <w:gridCol w:w="944"/>
        <w:gridCol w:w="170"/>
        <w:gridCol w:w="150"/>
        <w:gridCol w:w="201"/>
        <w:gridCol w:w="944"/>
        <w:gridCol w:w="166"/>
        <w:gridCol w:w="146"/>
        <w:gridCol w:w="198"/>
        <w:gridCol w:w="926"/>
        <w:gridCol w:w="167"/>
        <w:gridCol w:w="147"/>
        <w:gridCol w:w="198"/>
        <w:gridCol w:w="926"/>
        <w:gridCol w:w="797"/>
      </w:tblGrid>
      <w:tr>
        <w:trPr/>
        <w:tc>
          <w:tcPr>
            <w:tcW w:w="317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4" w:type="dxa"/>
            <w:gridSpan w:val="2"/>
            <w:tcBorders/>
            <w:shd w:fill="FFFFFF" w:val="cle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center"/>
              <w:rPr/>
            </w:pPr>
            <w:r>
              <w:rPr/>
              <w:t> </w:t>
            </w:r>
          </w:p>
        </w:tc>
        <w:tc>
          <w:tcPr>
            <w:tcW w:w="797" w:type="dxa"/>
            <w:tcBorders/>
            <w:shd w:fill="FFFFFF" w:val="cle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35,314</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99,713</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60,497</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sales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Gross profit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70,155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36,111</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Selling, general and administrative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25,608</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73,225</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53,634</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Research and development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8"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operating expenses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34,446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98,385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75,344</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8"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Loss from operations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(9,226</w:t>
            </w:r>
          </w:p>
        </w:tc>
        <w:tc>
          <w:tcPr>
            <w:tcW w:w="1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(28,230</w:t>
            </w:r>
          </w:p>
        </w:tc>
        <w:tc>
          <w:tcPr>
            <w:tcW w:w="1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(39,233</w:t>
            </w:r>
          </w:p>
        </w:tc>
        <w:tc>
          <w:tcPr>
            <w:tcW w:w="797"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expense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797"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other income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term loan</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(6,325</w:t>
            </w:r>
          </w:p>
        </w:tc>
        <w:tc>
          <w:tcPr>
            <w:tcW w:w="1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(21,479</w:t>
            </w:r>
          </w:p>
        </w:tc>
        <w:tc>
          <w:tcPr>
            <w:tcW w:w="1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(39,393</w:t>
            </w:r>
          </w:p>
        </w:tc>
        <w:tc>
          <w:tcPr>
            <w:tcW w:w="797"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600"/>
              <w:jc w:val="left"/>
              <w:rPr/>
            </w:pPr>
            <w:r>
              <w:rPr/>
              <w:t> </w:t>
            </w:r>
          </w:p>
        </w:tc>
      </w:tr>
      <w:tr>
        <w:trPr/>
        <w:tc>
          <w:tcPr>
            <w:tcW w:w="3178"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income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gain on short-term investments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Foreign currency translation gain (loss)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comprehensive income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Comprehensive loss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(5,699</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(39,396</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per share: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Basic &amp; diluted</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1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797"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Weighted-average shares used in computing net loss per share: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Attributable to common stock, basic &amp; diluted</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39,788,621</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35,662,397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38,367,759</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33,947,331</w:t>
            </w:r>
          </w:p>
        </w:tc>
        <w:tc>
          <w:tcPr>
            <w:tcW w:w="797"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57325" cy="4476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bidi w:val="0"/>
        <w:jc w:val="center"/>
        <w:rPr/>
      </w:pPr>
      <w:r>
        <w:rPr/>
        <w:t> </w:t>
      </w:r>
    </w:p>
    <w:p>
      <w:pPr>
        <w:pStyle w:val="TextBody"/>
        <w:pBdr>
          <w:bottom w:val="single" w:sz="12" w:space="1" w:color="000000"/>
        </w:pBdr>
        <w:bidi w:val="0"/>
        <w:jc w:val="center"/>
        <w:rPr/>
      </w:pPr>
      <w:r>
        <w:rPr/>
        <w:t> </w:t>
      </w:r>
    </w:p>
    <w:tbl>
      <w:tblPr>
        <w:tblW w:w="9385" w:type="dxa"/>
        <w:jc w:val="left"/>
        <w:tblInd w:w="0" w:type="dxa"/>
        <w:tblLayout w:type="fixed"/>
        <w:tblCellMar>
          <w:top w:w="28" w:type="dxa"/>
          <w:left w:w="28" w:type="dxa"/>
          <w:bottom w:w="28" w:type="dxa"/>
          <w:right w:w="28" w:type="dxa"/>
        </w:tblCellMar>
      </w:tblPr>
      <w:tblGrid>
        <w:gridCol w:w="6081"/>
        <w:gridCol w:w="146"/>
        <w:gridCol w:w="236"/>
        <w:gridCol w:w="904"/>
        <w:gridCol w:w="166"/>
        <w:gridCol w:w="146"/>
        <w:gridCol w:w="226"/>
        <w:gridCol w:w="869"/>
        <w:gridCol w:w="611"/>
      </w:tblGrid>
      <w:tr>
        <w:trPr/>
        <w:tc>
          <w:tcPr>
            <w:tcW w:w="6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and other current assets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168,407</w:t>
            </w:r>
          </w:p>
        </w:tc>
        <w:tc>
          <w:tcPr>
            <w:tcW w:w="611" w:type="dxa"/>
            <w:tcBorders/>
            <w:shd w:fill="FFFFFF" w:val="cle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10,841</w:t>
            </w:r>
          </w:p>
        </w:tc>
        <w:tc>
          <w:tcPr>
            <w:tcW w:w="611" w:type="dxa"/>
            <w:tcBorders/>
            <w:shd w:fill="CFF0FC" w:val="cle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leases right-of-use assets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w:t>
            </w:r>
          </w:p>
        </w:tc>
        <w:tc>
          <w:tcPr>
            <w:tcW w:w="611" w:type="dxa"/>
            <w:tcBorders/>
            <w:shd w:fill="FFFFFF" w:val="cle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611" w:type="dxa"/>
            <w:tcBorders/>
            <w:shd w:fill="CFF0FC" w:val="cle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20,903</w:t>
            </w:r>
          </w:p>
        </w:tc>
        <w:tc>
          <w:tcPr>
            <w:tcW w:w="611" w:type="dxa"/>
            <w:tcBorders/>
            <w:shd w:fill="CFF0FC" w:val="cle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lease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611" w:type="dxa"/>
            <w:tcBorders/>
            <w:shd w:fill="FFFFFF" w:val="cle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Common stock, $0.001 par value, 900,000,000 shares authorized,</w:t>
              <w:br/>
              <w:t>  40,254,105 shares issued and outstanding as of September 30, 2024 and</w:t>
              <w:br/>
              <w:t>  36,139,513 shares issued and outstanding as of December 31, 2023</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Preferred stock, $0.001 par value, 100,000,000 shares authorized, no shares issued</w:t>
              <w:br/>
              <w:t>  and outstanding</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892,857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754,971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(594,640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57325" cy="447675"/>
                    </a:xfrm>
                    <a:prstGeom prst="rect">
                      <a:avLst/>
                    </a:prstGeom>
                  </pic:spPr>
                </pic:pic>
              </a:graphicData>
            </a:graphic>
          </wp:inline>
        </w:drawing>
      </w:r>
    </w:p>
    <w:p>
      <w:pPr>
        <w:pStyle w:val="TextBody"/>
        <w:bidi w:val="0"/>
        <w:spacing w:before="160" w:after="120"/>
        <w:jc w:val="left"/>
        <w:rPr>
          <w:rFonts w:ascii="Calibri;sans-serif" w:hAnsi="Calibri;sans-serif"/>
          <w:b/>
          <w:color w:val="000000"/>
          <w:sz w:val="22"/>
        </w:rPr>
      </w:pPr>
      <w:r>
        <w:rPr>
          <w:rFonts w:ascii="Calibri;sans-serif" w:hAnsi="Calibri;sans-serif"/>
          <w:b/>
          <w:color w:val="000000"/>
          <w:sz w:val="22"/>
        </w:rPr>
        <w:t>Non-GAAP Financial Measures</w:t>
      </w:r>
    </w:p>
    <w:p>
      <w:pPr>
        <w:pStyle w:val="TextBody"/>
        <w:bidi w:val="0"/>
        <w:jc w:val="left"/>
        <w:rPr>
          <w:rFonts w:ascii="Times New Roman" w:hAnsi="Times New Roman"/>
          <w:sz w:val="20"/>
        </w:rPr>
      </w:pPr>
      <w:r>
        <w:rPr>
          <w:rFonts w:ascii="Calibri;sans-serif" w:hAnsi="Calibri;sans-serif"/>
          <w:color w:val="000000"/>
          <w:sz w:val="22"/>
        </w:rPr>
        <w:t>To supplement our unaudited condensed consolidated financial statements presented under generally accepted accounting principles in the United States (</w:t>
      </w:r>
      <w:r>
        <w:rPr>
          <w:rFonts w:ascii="Times New Roman" w:hAnsi="Times New Roman"/>
          <w:color w:val="000000"/>
          <w:sz w:val="20"/>
        </w:rPr>
        <w:t>“</w:t>
      </w:r>
      <w:r>
        <w:rPr>
          <w:rFonts w:ascii="Calibri;sans-serif" w:hAnsi="Calibri;sans-serif"/>
          <w:color w:val="000000"/>
          <w:sz w:val="22"/>
        </w:rPr>
        <w:t>GAAP</w:t>
      </w:r>
      <w:r>
        <w:rPr>
          <w:rFonts w:ascii="Times New Roman" w:hAnsi="Times New Roman"/>
          <w:color w:val="000000"/>
          <w:sz w:val="20"/>
        </w:rPr>
        <w:t>”</w:t>
      </w:r>
      <w:r>
        <w:rPr>
          <w:rFonts w:ascii="Calibri;sans-serif" w:hAnsi="Calibri;sans-serif"/>
          <w:color w:val="000000"/>
          <w:sz w:val="22"/>
        </w:rPr>
        <w:t>), we believe certain non-GAAP measures, including adjusted net earnings (loss), and adjusted net earnings (loss) per share, basic and diluted, provide useful information to investors and are useful in evaluating our operating performance. For example, we exclude stock-based compensation expense and loss on extinguishment of debt because these expenses are non-cash in nature and we believe excluding these items provides meaningful supplemental information regarding our operational performance and allows investors the ability to make more meaningful comparisons between our operating results and those of other companies.</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160" w:after="120"/>
        <w:jc w:val="left"/>
        <w:rPr>
          <w:rFonts w:ascii="Calibri;sans-serif" w:hAnsi="Calibri;sans-serif"/>
          <w:b/>
          <w:color w:val="000000"/>
          <w:sz w:val="22"/>
        </w:rPr>
      </w:pPr>
      <w:r>
        <w:rPr>
          <w:rFonts w:ascii="Calibri;sans-serif" w:hAnsi="Calibri;sans-serif"/>
          <w:b/>
          <w:color w:val="000000"/>
          <w:sz w:val="22"/>
        </w:rPr>
        <w:t>Adjusted Net Earnings (Loss) and Adjusted Net Earnings (Loss) Per Share</w:t>
      </w:r>
    </w:p>
    <w:p>
      <w:pPr>
        <w:pStyle w:val="TextBody"/>
        <w:bidi w:val="0"/>
        <w:jc w:val="left"/>
        <w:rPr>
          <w:rFonts w:ascii="Times New Roman" w:hAnsi="Times New Roman"/>
          <w:sz w:val="20"/>
        </w:rPr>
      </w:pPr>
      <w:r>
        <w:rPr>
          <w:rFonts w:ascii="Calibri;sans-serif" w:hAnsi="Calibri;sans-serif"/>
          <w:color w:val="000000"/>
          <w:sz w:val="22"/>
        </w:rPr>
        <w:t>Adjusted net earnings (loss) is a non-GAAP financial measure that we define as net earnings (loss) adjusted for (i) stock-based compensation and (ii) loss on extinguishment of term loan. We believe adjusted net earnings (loss) provides investors with useful information on period-to-period performance as evaluated by management and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45732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57325" cy="4476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Reconciliations of net earnings (loss) to adjusted net earnings (loss) and the presentation of adjusted net earnings (loss) per share, basic and diluted, are as follows: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RECONCILIATIONS (UNAUDITED)</w:t>
      </w:r>
    </w:p>
    <w:p>
      <w:pPr>
        <w:pStyle w:val="TextBody"/>
        <w:bidi w:val="0"/>
        <w:jc w:val="center"/>
        <w:rPr>
          <w:rFonts w:ascii="Times New Roman" w:hAnsi="Times New Roman"/>
          <w:color w:val="000000"/>
          <w:sz w:val="22"/>
        </w:rPr>
      </w:pPr>
      <w:r>
        <w:rPr>
          <w:rFonts w:ascii="Times New Roman" w:hAnsi="Times New Roman"/>
          <w:color w:val="000000"/>
          <w:sz w:val="22"/>
        </w:rPr>
        <w:t>(In thousands, except share and per share amounts)</w:t>
      </w:r>
    </w:p>
    <w:p>
      <w:pPr>
        <w:pStyle w:val="TextBody"/>
        <w:pBdr>
          <w:bottom w:val="single" w:sz="12"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08"/>
        <w:gridCol w:w="146"/>
        <w:gridCol w:w="217"/>
        <w:gridCol w:w="1067"/>
        <w:gridCol w:w="170"/>
        <w:gridCol w:w="150"/>
        <w:gridCol w:w="217"/>
        <w:gridCol w:w="1067"/>
        <w:gridCol w:w="166"/>
        <w:gridCol w:w="146"/>
        <w:gridCol w:w="229"/>
        <w:gridCol w:w="1129"/>
        <w:gridCol w:w="180"/>
        <w:gridCol w:w="158"/>
        <w:gridCol w:w="229"/>
        <w:gridCol w:w="1129"/>
        <w:gridCol w:w="397"/>
      </w:tblGrid>
      <w:tr>
        <w:trPr/>
        <w:tc>
          <w:tcPr>
            <w:tcW w:w="3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8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5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3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358" w:type="dxa"/>
            <w:gridSpan w:val="2"/>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r>
      <w:tr>
        <w:trPr/>
        <w:tc>
          <w:tcPr>
            <w:tcW w:w="3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40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available to stockholders, basic and diluted</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(39,431</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40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6,552</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3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 available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r>
      <w:tr>
        <w:trPr/>
        <w:tc>
          <w:tcPr>
            <w:tcW w:w="3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58" w:type="dxa"/>
            <w:gridSpan w:val="2"/>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340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outstanding, basic</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39,788,621</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35,662,397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38,367,759</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33,947,331</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3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outstanding, diluted</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45,748,177</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35,662,397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38,367,759</w:t>
            </w:r>
          </w:p>
        </w:tc>
        <w:tc>
          <w:tcPr>
            <w:tcW w:w="18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33,947,331</w:t>
            </w:r>
          </w:p>
        </w:tc>
        <w:tc>
          <w:tcPr>
            <w:tcW w:w="397" w:type="dxa"/>
            <w:tcBorders/>
            <w:shd w:fill="FFFFFF" w:val="clear"/>
            <w:vAlign w:val="center"/>
          </w:tcPr>
          <w:p>
            <w:pPr>
              <w:pStyle w:val="TableContents"/>
              <w:bidi w:val="0"/>
              <w:spacing w:before="0" w:after="283"/>
              <w:jc w:val="left"/>
              <w:rPr/>
            </w:pPr>
            <w:r>
              <w:rPr/>
              <w:t> </w:t>
            </w:r>
          </w:p>
        </w:tc>
      </w:tr>
      <w:tr>
        <w:trPr/>
        <w:tc>
          <w:tcPr>
            <w:tcW w:w="3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earnings (loss) per share, basic</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earnings (loss) per share, diluted</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2679</Words>
  <Characters>14842</Characters>
  <CharactersWithSpaces>17831</CharactersWithSpaces>
  <Paragraphs>1180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