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spacing w:after="0" w:line="228"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96520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ind w:left="480" w:hanging="459"/>
        <w:spacing w:after="0"/>
        <w:tabs>
          <w:tab w:leader="none" w:pos="48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2022</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8"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98" w:lineRule="exact"/>
        <w:rPr>
          <w:sz w:val="24"/>
          <w:szCs w:val="24"/>
          <w:color w:val="auto"/>
        </w:rPr>
      </w:pPr>
    </w:p>
    <w:p>
      <w:pPr>
        <w:ind w:left="4260"/>
        <w:spacing w:after="0"/>
        <w:tabs>
          <w:tab w:leader="none" w:pos="6780" w:val="left"/>
        </w:tabs>
        <w:rPr>
          <w:sz w:val="20"/>
          <w:szCs w:val="20"/>
          <w:color w:val="auto"/>
        </w:rPr>
      </w:pPr>
      <w:r>
        <w:rPr>
          <w:rFonts w:ascii="Times New Roman" w:cs="Times New Roman" w:eastAsia="Times New Roman" w:hAnsi="Times New Roman"/>
          <w:sz w:val="18"/>
          <w:szCs w:val="18"/>
          <w:b w:val="1"/>
          <w:bCs w:val="1"/>
          <w:color w:val="auto"/>
        </w:rPr>
        <w:t>For the transition period from</w:t>
        <w:tab/>
        <w:t>to</w:t>
      </w:r>
    </w:p>
    <w:p>
      <w:pPr>
        <w:spacing w:after="0" w:line="90"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001-40690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88265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RxSIGHT, INC.</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3" w:lineRule="exact"/>
        <w:rPr>
          <w:sz w:val="24"/>
          <w:szCs w:val="24"/>
          <w:color w:val="auto"/>
        </w:rPr>
      </w:pPr>
    </w:p>
    <w:tbl>
      <w:tblPr>
        <w:tblLayout w:type="fixed"/>
        <w:tblInd w:w="1620" w:type="dxa"/>
        <w:tblCellMar>
          <w:top w:w="0" w:type="dxa"/>
          <w:left w:w="0" w:type="dxa"/>
          <w:bottom w:w="0" w:type="dxa"/>
          <w:right w:w="0" w:type="dxa"/>
        </w:tblCellMar>
      </w:tblPr>
      <w:tr>
        <w:trPr>
          <w:trHeight w:val="176"/>
        </w:trPr>
        <w:tc>
          <w:tcPr>
            <w:tcW w:w="4320" w:type="dxa"/>
            <w:vAlign w:val="bottom"/>
          </w:tcPr>
          <w:p>
            <w:pPr>
              <w:jc w:val="center"/>
              <w:ind w:right="186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06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94-3268801</w:t>
            </w:r>
          </w:p>
        </w:tc>
      </w:tr>
      <w:tr>
        <w:trPr>
          <w:trHeight w:val="160"/>
        </w:trPr>
        <w:tc>
          <w:tcPr>
            <w:tcW w:w="4320" w:type="dxa"/>
            <w:vAlign w:val="bottom"/>
          </w:tcPr>
          <w:p>
            <w:pPr>
              <w:jc w:val="center"/>
              <w:ind w:right="1848"/>
              <w:spacing w:after="0" w:line="160"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60" w:type="dxa"/>
            <w:vAlign w:val="bottom"/>
          </w:tcPr>
          <w:p>
            <w:pPr>
              <w:jc w:val="center"/>
              <w:ind w:left="1868"/>
              <w:spacing w:after="0" w:line="160"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3"/>
        </w:trPr>
        <w:tc>
          <w:tcPr>
            <w:tcW w:w="4320" w:type="dxa"/>
            <w:vAlign w:val="bottom"/>
          </w:tcPr>
          <w:p>
            <w:pPr>
              <w:jc w:val="center"/>
              <w:ind w:right="184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60" w:type="dxa"/>
            <w:vAlign w:val="bottom"/>
          </w:tcPr>
          <w:p>
            <w:pPr>
              <w:jc w:val="center"/>
              <w:ind w:left="184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55"/>
        </w:trPr>
        <w:tc>
          <w:tcPr>
            <w:tcW w:w="4320" w:type="dxa"/>
            <w:vAlign w:val="bottom"/>
          </w:tcPr>
          <w:p>
            <w:pPr>
              <w:jc w:val="center"/>
              <w:ind w:right="1868"/>
              <w:spacing w:after="0"/>
              <w:rPr>
                <w:sz w:val="20"/>
                <w:szCs w:val="20"/>
                <w:color w:val="auto"/>
              </w:rPr>
            </w:pPr>
            <w:r>
              <w:rPr>
                <w:rFonts w:ascii="Times New Roman" w:cs="Times New Roman" w:eastAsia="Times New Roman" w:hAnsi="Times New Roman"/>
                <w:sz w:val="14"/>
                <w:szCs w:val="14"/>
                <w:b w:val="1"/>
                <w:bCs w:val="1"/>
                <w:color w:val="auto"/>
              </w:rPr>
              <w:t>100 Columbia</w:t>
            </w:r>
          </w:p>
        </w:tc>
        <w:tc>
          <w:tcPr>
            <w:tcW w:w="3060" w:type="dxa"/>
            <w:vAlign w:val="bottom"/>
          </w:tcPr>
          <w:p>
            <w:pPr>
              <w:spacing w:after="0"/>
              <w:rPr>
                <w:sz w:val="22"/>
                <w:szCs w:val="22"/>
                <w:color w:val="auto"/>
              </w:rPr>
            </w:pPr>
          </w:p>
        </w:tc>
      </w:tr>
      <w:tr>
        <w:trPr>
          <w:trHeight w:val="175"/>
        </w:trPr>
        <w:tc>
          <w:tcPr>
            <w:tcW w:w="4320" w:type="dxa"/>
            <w:vAlign w:val="bottom"/>
          </w:tcPr>
          <w:p>
            <w:pPr>
              <w:jc w:val="center"/>
              <w:ind w:right="1888"/>
              <w:spacing w:after="0"/>
              <w:rPr>
                <w:sz w:val="20"/>
                <w:szCs w:val="20"/>
                <w:color w:val="auto"/>
              </w:rPr>
            </w:pPr>
            <w:r>
              <w:rPr>
                <w:rFonts w:ascii="Times New Roman" w:cs="Times New Roman" w:eastAsia="Times New Roman" w:hAnsi="Times New Roman"/>
                <w:sz w:val="14"/>
                <w:szCs w:val="14"/>
                <w:b w:val="1"/>
                <w:bCs w:val="1"/>
                <w:color w:val="auto"/>
              </w:rPr>
              <w:t>Aliso Viejo, CA</w:t>
            </w:r>
          </w:p>
        </w:tc>
        <w:tc>
          <w:tcPr>
            <w:tcW w:w="30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92656</w:t>
            </w:r>
          </w:p>
        </w:tc>
      </w:tr>
      <w:tr>
        <w:trPr>
          <w:trHeight w:val="190"/>
        </w:trPr>
        <w:tc>
          <w:tcPr>
            <w:tcW w:w="4320" w:type="dxa"/>
            <w:vAlign w:val="bottom"/>
          </w:tcPr>
          <w:p>
            <w:pPr>
              <w:jc w:val="center"/>
              <w:ind w:right="186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60" w:type="dxa"/>
            <w:vAlign w:val="bottom"/>
          </w:tcPr>
          <w:p>
            <w:pPr>
              <w:jc w:val="center"/>
              <w:ind w:left="1848"/>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82"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(949) 521-7830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20" w:type="dxa"/>
            <w:vAlign w:val="bottom"/>
          </w:tcPr>
          <w:p>
            <w:pPr>
              <w:spacing w:after="0"/>
              <w:rPr>
                <w:sz w:val="14"/>
                <w:szCs w:val="14"/>
                <w:color w:val="auto"/>
              </w:rPr>
            </w:pP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5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44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12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RXST</w:t>
            </w:r>
          </w:p>
        </w:tc>
        <w:tc>
          <w:tcPr>
            <w:tcW w:w="120" w:type="dxa"/>
            <w:vAlign w:val="bottom"/>
          </w:tcPr>
          <w:p>
            <w:pPr>
              <w:spacing w:after="0"/>
              <w:rPr>
                <w:sz w:val="15"/>
                <w:szCs w:val="15"/>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bl>
    <w:p>
      <w:pPr>
        <w:spacing w:after="0" w:line="68" w:lineRule="exact"/>
        <w:rPr>
          <w:sz w:val="24"/>
          <w:szCs w:val="24"/>
          <w:color w:val="auto"/>
        </w:rPr>
      </w:pPr>
    </w:p>
    <w:p>
      <w:pPr>
        <w:ind w:firstLine="509"/>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0" w:lineRule="exact"/>
        <w:rPr>
          <w:sz w:val="24"/>
          <w:szCs w:val="24"/>
          <w:color w:val="auto"/>
        </w:rPr>
      </w:pPr>
    </w:p>
    <w:p>
      <w:pPr>
        <w:ind w:right="180" w:firstLine="509"/>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55" w:lineRule="exact"/>
        <w:rPr>
          <w:sz w:val="24"/>
          <w:szCs w:val="24"/>
          <w:color w:val="auto"/>
        </w:rPr>
      </w:pPr>
    </w:p>
    <w:p>
      <w:pPr>
        <w:jc w:val="both"/>
        <w:ind w:right="240" w:firstLine="509"/>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1"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18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2" w:lineRule="exact"/>
        <w:rPr>
          <w:sz w:val="24"/>
          <w:szCs w:val="24"/>
          <w:color w:val="auto"/>
        </w:rPr>
      </w:pPr>
    </w:p>
    <w:p>
      <w:pPr>
        <w:jc w:val="both"/>
        <w:ind w:right="80" w:firstLine="509"/>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4"/>
          <w:szCs w:val="24"/>
          <w:color w:val="auto"/>
        </w:rPr>
      </w:pPr>
    </w:p>
    <w:p>
      <w:pPr>
        <w:ind w:left="520" w:right="2100"/>
        <w:spacing w:after="0" w:line="26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April 26, 2022, the registrant had 27,505,143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auto"/>
              </w:rPr>
              <w:t>FINANCIAL INFORMATION</w:t>
            </w:r>
          </w:p>
        </w:tc>
        <w:tc>
          <w:tcPr>
            <w:tcW w:w="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4"/>
        </w:trPr>
        <w:tc>
          <w:tcPr>
            <w:tcW w:w="1160" w:type="dxa"/>
            <w:vAlign w:val="bottom"/>
            <w:gridSpan w:val="3"/>
            <w:vMerge w:val="continue"/>
          </w:tcPr>
          <w:p>
            <w:pPr>
              <w:spacing w:after="0"/>
              <w:rPr>
                <w:sz w:val="14"/>
                <w:szCs w:val="14"/>
                <w:color w:val="auto"/>
              </w:rPr>
            </w:pPr>
          </w:p>
        </w:tc>
        <w:tc>
          <w:tcPr>
            <w:tcW w:w="9300" w:type="dxa"/>
            <w:vAlign w:val="bottom"/>
            <w:gridSpan w:val="21"/>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16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20" w:type="dxa"/>
            <w:vAlign w:val="bottom"/>
            <w:tcBorders>
              <w:top w:val="single" w:sz="8" w:color="0000FF"/>
            </w:tcBorders>
            <w:gridSpan w:val="9"/>
          </w:tcPr>
          <w:p>
            <w:pPr>
              <w:spacing w:after="0" w:line="182" w:lineRule="exact"/>
              <w:rPr>
                <w:sz w:val="20"/>
                <w:szCs w:val="20"/>
                <w:color w:val="auto"/>
              </w:rPr>
            </w:pPr>
            <w:r>
              <w:rPr>
                <w:rFonts w:ascii="Times New Roman" w:cs="Times New Roman" w:eastAsia="Times New Roman" w:hAnsi="Times New Roman"/>
                <w:sz w:val="18"/>
                <w:szCs w:val="18"/>
                <w:color w:val="0000FF"/>
                <w:w w:val="99"/>
              </w:rPr>
              <w:t>Condensed Consolidated Balance</w:t>
            </w:r>
          </w:p>
        </w:tc>
        <w:tc>
          <w:tcPr>
            <w:tcW w:w="20" w:type="dxa"/>
            <w:vAlign w:val="bottom"/>
            <w:tcBorders>
              <w:top w:val="single" w:sz="8" w:color="0000EE"/>
            </w:tcBorders>
          </w:tcPr>
          <w:p>
            <w:pPr>
              <w:spacing w:after="0"/>
              <w:rPr>
                <w:sz w:val="15"/>
                <w:szCs w:val="15"/>
                <w:color w:val="auto"/>
              </w:rPr>
            </w:pPr>
          </w:p>
        </w:tc>
        <w:tc>
          <w:tcPr>
            <w:tcW w:w="6860" w:type="dxa"/>
            <w:vAlign w:val="bottom"/>
            <w:gridSpan w:val="11"/>
          </w:tcPr>
          <w:p>
            <w:pPr>
              <w:ind w:left="40"/>
              <w:spacing w:after="0" w:line="182" w:lineRule="exact"/>
              <w:rPr>
                <w:sz w:val="20"/>
                <w:szCs w:val="20"/>
                <w:color w:val="auto"/>
              </w:rPr>
            </w:pPr>
            <w:r>
              <w:rPr>
                <w:rFonts w:ascii="Times New Roman" w:cs="Times New Roman" w:eastAsia="Times New Roman" w:hAnsi="Times New Roman"/>
                <w:sz w:val="18"/>
                <w:szCs w:val="18"/>
                <w:color w:val="0000FF"/>
              </w:rPr>
              <w:t>Sheets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40" w:type="dxa"/>
            <w:vAlign w:val="bottom"/>
            <w:tcBorders>
              <w:top w:val="single" w:sz="8" w:color="0000FF"/>
            </w:tcBorders>
            <w:gridSpan w:val="11"/>
          </w:tcPr>
          <w:p>
            <w:pPr>
              <w:spacing w:after="0" w:line="182" w:lineRule="exact"/>
              <w:rPr>
                <w:sz w:val="20"/>
                <w:szCs w:val="20"/>
                <w:color w:val="auto"/>
              </w:rPr>
            </w:pPr>
            <w:r>
              <w:rPr>
                <w:rFonts w:ascii="Times New Roman" w:cs="Times New Roman" w:eastAsia="Times New Roman" w:hAnsi="Times New Roman"/>
                <w:sz w:val="18"/>
                <w:szCs w:val="18"/>
                <w:color w:val="0000FF"/>
              </w:rPr>
              <w:t>Condensed Consolidated Statements of</w:t>
            </w:r>
          </w:p>
        </w:tc>
        <w:tc>
          <w:tcPr>
            <w:tcW w:w="6360" w:type="dxa"/>
            <w:vAlign w:val="bottom"/>
            <w:gridSpan w:val="10"/>
          </w:tcPr>
          <w:p>
            <w:pPr>
              <w:spacing w:after="0" w:line="182" w:lineRule="exact"/>
              <w:rPr>
                <w:sz w:val="20"/>
                <w:szCs w:val="20"/>
                <w:color w:val="auto"/>
              </w:rPr>
            </w:pPr>
            <w:r>
              <w:rPr>
                <w:rFonts w:ascii="Times New Roman" w:cs="Times New Roman" w:eastAsia="Times New Roman" w:hAnsi="Times New Roman"/>
                <w:sz w:val="18"/>
                <w:szCs w:val="18"/>
                <w:color w:val="0000FF"/>
              </w:rPr>
              <w:t>Operations and Comprehensive Loss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360" w:type="dxa"/>
            <w:vAlign w:val="bottom"/>
            <w:tcBorders>
              <w:top w:val="single" w:sz="8" w:color="0000FF"/>
              <w:bottom w:val="single" w:sz="8" w:color="0000FF"/>
            </w:tcBorders>
            <w:gridSpan w:val="12"/>
          </w:tcPr>
          <w:p>
            <w:pPr>
              <w:spacing w:after="0" w:line="182" w:lineRule="exact"/>
              <w:rPr>
                <w:sz w:val="20"/>
                <w:szCs w:val="20"/>
                <w:color w:val="auto"/>
              </w:rPr>
            </w:pPr>
            <w:r>
              <w:rPr>
                <w:rFonts w:ascii="Times New Roman" w:cs="Times New Roman" w:eastAsia="Times New Roman" w:hAnsi="Times New Roman"/>
                <w:sz w:val="18"/>
                <w:szCs w:val="18"/>
                <w:color w:val="0000FF"/>
                <w:w w:val="99"/>
              </w:rPr>
              <w:t>Condensed Consolidated Statements of Equity</w:t>
            </w:r>
          </w:p>
        </w:tc>
        <w:tc>
          <w:tcPr>
            <w:tcW w:w="20" w:type="dxa"/>
            <w:vAlign w:val="bottom"/>
            <w:tcBorders>
              <w:top w:val="single" w:sz="8" w:color="0000FF"/>
              <w:bottom w:val="single" w:sz="8" w:color="0000EE"/>
            </w:tcBorders>
          </w:tcPr>
          <w:p>
            <w:pPr>
              <w:spacing w:after="0"/>
              <w:rPr>
                <w:sz w:val="15"/>
                <w:szCs w:val="15"/>
                <w:color w:val="auto"/>
              </w:rPr>
            </w:pPr>
          </w:p>
        </w:tc>
        <w:tc>
          <w:tcPr>
            <w:tcW w:w="2160" w:type="dxa"/>
            <w:vAlign w:val="bottom"/>
            <w:tcBorders>
              <w:top w:val="single" w:sz="8" w:color="0000FF"/>
            </w:tcBorders>
            <w:gridSpan w:val="6"/>
          </w:tcPr>
          <w:p>
            <w:pPr>
              <w:spacing w:after="0"/>
              <w:rPr>
                <w:sz w:val="15"/>
                <w:szCs w:val="15"/>
                <w:color w:val="auto"/>
              </w:rPr>
            </w:pPr>
          </w:p>
        </w:tc>
        <w:tc>
          <w:tcPr>
            <w:tcW w:w="9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380" w:type="dxa"/>
            <w:vAlign w:val="bottom"/>
            <w:gridSpan w:val="13"/>
          </w:tcPr>
          <w:p>
            <w:pPr>
              <w:spacing w:after="0" w:line="182" w:lineRule="exact"/>
              <w:rPr>
                <w:sz w:val="20"/>
                <w:szCs w:val="20"/>
                <w:color w:val="auto"/>
              </w:rPr>
            </w:pPr>
            <w:r>
              <w:rPr>
                <w:rFonts w:ascii="Times New Roman" w:cs="Times New Roman" w:eastAsia="Times New Roman" w:hAnsi="Times New Roman"/>
                <w:sz w:val="18"/>
                <w:szCs w:val="18"/>
                <w:color w:val="0000FF"/>
              </w:rPr>
              <w:t>Condensed Consolidated Statements of Cash</w:t>
            </w:r>
          </w:p>
        </w:tc>
        <w:tc>
          <w:tcPr>
            <w:tcW w:w="592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Flows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80" w:type="dxa"/>
            <w:vAlign w:val="bottom"/>
            <w:gridSpan w:val="6"/>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0" w:type="dxa"/>
            <w:vAlign w:val="bottom"/>
            <w:tcBorders>
              <w:bottom w:val="single" w:sz="8" w:color="0000FF"/>
            </w:tcBorders>
            <w:gridSpan w:val="17"/>
          </w:tcPr>
          <w:p>
            <w:pPr>
              <w:spacing w:after="0" w:line="182" w:lineRule="exact"/>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20" w:type="dxa"/>
            <w:vAlign w:val="bottom"/>
            <w:tcBorders>
              <w:bottom w:val="single" w:sz="8" w:color="0000EE"/>
            </w:tcBorders>
          </w:tcPr>
          <w:p>
            <w:pPr>
              <w:spacing w:after="0"/>
              <w:rPr>
                <w:sz w:val="15"/>
                <w:szCs w:val="15"/>
                <w:color w:val="auto"/>
              </w:rPr>
            </w:pPr>
          </w:p>
        </w:tc>
        <w:tc>
          <w:tcPr>
            <w:tcW w:w="4480" w:type="dxa"/>
            <w:vAlign w:val="bottom"/>
            <w:gridSpan w:val="3"/>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21"/>
          </w:tcPr>
          <w:p>
            <w:pPr>
              <w:spacing w:after="0" w:line="182"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FF"/>
            </w:tcBorders>
            <w:gridSpan w:val="20"/>
          </w:tcPr>
          <w:p>
            <w:pPr>
              <w:spacing w:after="0" w:line="18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top w:val="single" w:sz="8" w:color="0000FF"/>
              <w:bottom w:val="single" w:sz="8" w:color="0000EE"/>
            </w:tcBorders>
          </w:tcPr>
          <w:p>
            <w:pPr>
              <w:spacing w:after="0"/>
              <w:rPr>
                <w:sz w:val="15"/>
                <w:szCs w:val="15"/>
                <w:color w:val="auto"/>
              </w:rPr>
            </w:pPr>
          </w:p>
        </w:tc>
        <w:tc>
          <w:tcPr>
            <w:tcW w:w="2580" w:type="dxa"/>
            <w:vAlign w:val="bottom"/>
            <w:tcBorders>
              <w:top w:val="single" w:sz="8" w:color="0000FF"/>
            </w:tcBorders>
            <w:gridSpan w:val="9"/>
          </w:tcPr>
          <w:p>
            <w:pPr>
              <w:spacing w:after="0"/>
              <w:rPr>
                <w:sz w:val="15"/>
                <w:szCs w:val="15"/>
                <w:color w:val="auto"/>
              </w:rPr>
            </w:pPr>
          </w:p>
        </w:tc>
        <w:tc>
          <w:tcPr>
            <w:tcW w:w="4920" w:type="dxa"/>
            <w:vAlign w:val="bottom"/>
            <w:gridSpan w:val="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1"/>
        </w:trPr>
        <w:tc>
          <w:tcPr>
            <w:tcW w:w="116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8"/>
                <w:szCs w:val="18"/>
                <w:b w:val="1"/>
                <w:bCs w:val="1"/>
                <w:color w:val="auto"/>
              </w:rPr>
              <w:t>PART II.</w:t>
            </w:r>
          </w:p>
        </w:tc>
        <w:tc>
          <w:tcPr>
            <w:tcW w:w="1800" w:type="dxa"/>
            <w:vAlign w:val="bottom"/>
            <w:gridSpan w:val="7"/>
          </w:tcPr>
          <w:p>
            <w:pPr>
              <w:spacing w:after="0" w:line="191" w:lineRule="exact"/>
              <w:rPr>
                <w:sz w:val="20"/>
                <w:szCs w:val="20"/>
                <w:color w:val="auto"/>
              </w:rPr>
            </w:pPr>
            <w:r>
              <w:rPr>
                <w:rFonts w:ascii="Times New Roman" w:cs="Times New Roman" w:eastAsia="Times New Roman" w:hAnsi="Times New Roman"/>
                <w:sz w:val="18"/>
                <w:szCs w:val="18"/>
                <w:color w:val="auto"/>
                <w:w w:val="93"/>
              </w:rPr>
              <w:t>OTHER INFORMATION</w:t>
            </w:r>
          </w:p>
        </w:tc>
        <w:tc>
          <w:tcPr>
            <w:tcW w:w="540" w:type="dxa"/>
            <w:vAlign w:val="bottom"/>
          </w:tcPr>
          <w:p>
            <w:pPr>
              <w:spacing w:after="0"/>
              <w:rPr>
                <w:sz w:val="16"/>
                <w:szCs w:val="16"/>
                <w:color w:val="auto"/>
              </w:rPr>
            </w:pPr>
          </w:p>
        </w:tc>
        <w:tc>
          <w:tcPr>
            <w:tcW w:w="2020" w:type="dxa"/>
            <w:vAlign w:val="bottom"/>
            <w:gridSpan w:val="7"/>
          </w:tcPr>
          <w:p>
            <w:pPr>
              <w:spacing w:after="0"/>
              <w:rPr>
                <w:sz w:val="16"/>
                <w:szCs w:val="16"/>
                <w:color w:val="auto"/>
              </w:rPr>
            </w:pPr>
          </w:p>
        </w:tc>
        <w:tc>
          <w:tcPr>
            <w:tcW w:w="4940" w:type="dxa"/>
            <w:vAlign w:val="bottom"/>
            <w:gridSpan w:val="6"/>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6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top w:val="single" w:sz="8" w:color="0000FF"/>
              <w:bottom w:val="single" w:sz="8" w:color="0000EE"/>
            </w:tcBorders>
          </w:tcPr>
          <w:p>
            <w:pPr>
              <w:spacing w:after="0"/>
              <w:rPr>
                <w:sz w:val="15"/>
                <w:szCs w:val="15"/>
                <w:color w:val="auto"/>
              </w:rPr>
            </w:pPr>
          </w:p>
        </w:tc>
        <w:tc>
          <w:tcPr>
            <w:tcW w:w="400" w:type="dxa"/>
            <w:vAlign w:val="bottom"/>
            <w:tcBorders>
              <w:top w:val="single" w:sz="8" w:color="0000FF"/>
            </w:tcBorders>
            <w:gridSpan w:val="2"/>
          </w:tcPr>
          <w:p>
            <w:pPr>
              <w:spacing w:after="0"/>
              <w:rPr>
                <w:sz w:val="15"/>
                <w:szCs w:val="15"/>
                <w:color w:val="auto"/>
              </w:rPr>
            </w:pPr>
          </w:p>
        </w:tc>
        <w:tc>
          <w:tcPr>
            <w:tcW w:w="1000" w:type="dxa"/>
            <w:vAlign w:val="bottom"/>
            <w:gridSpan w:val="3"/>
          </w:tcPr>
          <w:p>
            <w:pPr>
              <w:spacing w:after="0"/>
              <w:rPr>
                <w:sz w:val="15"/>
                <w:szCs w:val="15"/>
                <w:color w:val="auto"/>
              </w:rPr>
            </w:pPr>
          </w:p>
        </w:tc>
        <w:tc>
          <w:tcPr>
            <w:tcW w:w="2020" w:type="dxa"/>
            <w:vAlign w:val="bottom"/>
            <w:gridSpan w:val="7"/>
          </w:tcPr>
          <w:p>
            <w:pPr>
              <w:spacing w:after="0"/>
              <w:rPr>
                <w:sz w:val="15"/>
                <w:szCs w:val="15"/>
                <w:color w:val="auto"/>
              </w:rPr>
            </w:pPr>
          </w:p>
        </w:tc>
        <w:tc>
          <w:tcPr>
            <w:tcW w:w="4940" w:type="dxa"/>
            <w:vAlign w:val="bottom"/>
            <w:gridSpan w:val="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94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8"/>
              </w:rPr>
              <w:t>Unregistered</w:t>
            </w:r>
          </w:p>
        </w:tc>
        <w:tc>
          <w:tcPr>
            <w:tcW w:w="8360" w:type="dxa"/>
            <w:vAlign w:val="bottom"/>
            <w:gridSpan w:val="18"/>
          </w:tcPr>
          <w:p>
            <w:pPr>
              <w:ind w:left="40"/>
              <w:spacing w:after="0" w:line="182" w:lineRule="exact"/>
              <w:rPr>
                <w:sz w:val="20"/>
                <w:szCs w:val="20"/>
                <w:color w:val="auto"/>
              </w:rPr>
            </w:pPr>
            <w:r>
              <w:rPr>
                <w:rFonts w:ascii="Times New Roman" w:cs="Times New Roman" w:eastAsia="Times New Roman" w:hAnsi="Times New Roman"/>
                <w:sz w:val="18"/>
                <w:szCs w:val="18"/>
                <w:color w:val="0000FF"/>
              </w:rPr>
              <w:t>Sales of Equity Securities and Use of Proceeds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tcBorders>
            <w:gridSpan w:val="15"/>
          </w:tcPr>
          <w:p>
            <w:pPr>
              <w:spacing w:after="0" w:line="18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940" w:type="dxa"/>
            <w:vAlign w:val="bottom"/>
            <w:gridSpan w:val="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4.</w:t>
            </w:r>
          </w:p>
        </w:tc>
        <w:tc>
          <w:tcPr>
            <w:tcW w:w="2340" w:type="dxa"/>
            <w:vAlign w:val="bottom"/>
            <w:tcBorders>
              <w:top w:val="single" w:sz="8" w:color="0000FF"/>
            </w:tcBorders>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Mine Safety Disclosures</w:t>
            </w:r>
          </w:p>
        </w:tc>
        <w:tc>
          <w:tcPr>
            <w:tcW w:w="6960" w:type="dxa"/>
            <w:vAlign w:val="bottom"/>
            <w:gridSpan w:val="13"/>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5.</w:t>
            </w:r>
          </w:p>
        </w:tc>
        <w:tc>
          <w:tcPr>
            <w:tcW w:w="1780" w:type="dxa"/>
            <w:vAlign w:val="bottom"/>
            <w:tcBorders>
              <w:top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rPr>
              <w:t>Other Information</w:t>
            </w:r>
          </w:p>
        </w:tc>
        <w:tc>
          <w:tcPr>
            <w:tcW w:w="7520" w:type="dxa"/>
            <w:vAlign w:val="bottom"/>
            <w:gridSpan w:val="1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FF"/>
              </w:rPr>
              <w:t>Exhibits</w:t>
            </w:r>
          </w:p>
        </w:tc>
        <w:tc>
          <w:tcPr>
            <w:tcW w:w="7980" w:type="dxa"/>
            <w:vAlign w:val="bottom"/>
            <w:gridSpan w:val="17"/>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716"/>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firstLine="374"/>
        <w:spacing w:after="0" w:line="246" w:lineRule="auto"/>
        <w:rPr>
          <w:sz w:val="20"/>
          <w:szCs w:val="20"/>
          <w:color w:val="auto"/>
        </w:rPr>
      </w:pPr>
      <w:r>
        <w:rPr>
          <w:rFonts w:ascii="Times New Roman" w:cs="Times New Roman" w:eastAsia="Times New Roman" w:hAnsi="Times New Roman"/>
          <w:sz w:val="18"/>
          <w:szCs w:val="18"/>
          <w:color w:val="auto"/>
        </w:rPr>
        <w:t>The following discussion and analysis should be read together with our condensed consolidated financial statements and the condensed notes to those statements included elsewhere in this Quarterly Report on Form 10-Q. This Quarterly Report on Form 10-Q contains forward-looking statements within the meaning of Section 27A of the Securities Act of 1933, as amended, or the Securities Act, and Section 21E of the Securities Exchange Act of 1934, as amended, or the Exchange Act, that are based on our management’s beliefs and assumptions and on information currently available to our management. In this quarterly Report on Form 10-Q, “we,” “us” and “our” refer to RxSight, Inc.</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Forward-looking statements include, but are not limited to, statements concerning the following:</w:t>
      </w:r>
    </w:p>
    <w:p>
      <w:pPr>
        <w:spacing w:after="0" w:line="117"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conduct further clinical trials and any expectations related to the timing or outcomes of such trials;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expected timelines related to our products, or developing new products, to address additional indications or otherwise;</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acceptance and use of our products by doctors;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and expand regulatory clearances for our products and any new products we create;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growth of our business and our organization;</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intentions regarding investment in our business as we pursue growth;</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uses of our existing resources;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expectations regarding government and third-party payer coverage and reimbursement;</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key personnel, including the continued development of a sales and marketing infrastructure;</w:t>
      </w:r>
    </w:p>
    <w:p>
      <w:pPr>
        <w:spacing w:after="0" w:line="10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 adequate supply of materials and components for our products from our third-party suppliers, including single- and sole-source suppliers;</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sufficient quantities of our products with appropriate quality;</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and enforce intellectual property protection for our products and protect our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business into new geographic markets;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applicable SEC rules and Nasdaq continued listing requirements;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existing and future government laws, rules and regulations both in the United States and internationally;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allocation of resources toward expenses associated with being a public company;</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estimates of our expenses, ongoing losses, future revenue, capital requirements and our need for, or ability to obtain, additional financing;</w:t>
      </w:r>
    </w:p>
    <w:p>
      <w:pPr>
        <w:spacing w:after="0" w:line="11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capital resources to fund our future operating expenses and capital expenditure requirements;</w:t>
      </w:r>
    </w:p>
    <w:p>
      <w:pPr>
        <w:spacing w:after="0" w:line="103"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time during which we will be an emerging growth company under the JOBS Act and a smaller reporting company under the Exchange Act;</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the trading price of our common stock;</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develop new and planned products and/or acquire new products;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3" w:name="page4"/>
    <w:bookmarkEnd w:id="3"/>
    <w:p>
      <w:pPr>
        <w:ind w:left="1020" w:right="4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projections relating to our competitors or our industry, including anticipated growth rates for the conventional and premium IOL markets;</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local, regional, national and international economic conditions and events;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including currently known and unknown coronavirus variants, on our business or personnel.</w:t>
      </w:r>
    </w:p>
    <w:p>
      <w:pPr>
        <w:spacing w:after="0" w:line="144"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Forward-looking statements include statements that are not historical facts and can be identified by terminology such as “may,” “will,” “should,” “could,” “would,” “expects,” “plans,” “intends,” “anticipates,” “believes,” “estimates,” “predicts,” “projects,” “potential,” or “continue,” or the negative of such terms and other same terminology.</w:t>
      </w:r>
    </w:p>
    <w:p>
      <w:pPr>
        <w:spacing w:after="0" w:line="102" w:lineRule="exact"/>
        <w:rPr>
          <w:sz w:val="20"/>
          <w:szCs w:val="20"/>
          <w:color w:val="auto"/>
        </w:rPr>
      </w:pPr>
    </w:p>
    <w:p>
      <w:pPr>
        <w:ind w:firstLine="374"/>
        <w:spacing w:after="0" w:line="243" w:lineRule="auto"/>
        <w:rPr>
          <w:sz w:val="20"/>
          <w:szCs w:val="20"/>
          <w:color w:val="auto"/>
        </w:rPr>
      </w:pPr>
      <w:r>
        <w:rPr>
          <w:rFonts w:ascii="Times New Roman" w:cs="Times New Roman" w:eastAsia="Times New Roman" w:hAnsi="Times New Roman"/>
          <w:sz w:val="18"/>
          <w:szCs w:val="18"/>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“Risk Factors,” elsewhere in this Quarterly Report on Form 10-Q. Given these uncertainties, you should not place undue reliance on these forward-looking statements.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spacing w:after="0" w:line="119" w:lineRule="exact"/>
        <w:rPr>
          <w:sz w:val="20"/>
          <w:szCs w:val="20"/>
          <w:color w:val="auto"/>
        </w:rPr>
      </w:pPr>
    </w:p>
    <w:p>
      <w:pPr>
        <w:ind w:right="260" w:firstLine="374"/>
        <w:spacing w:after="0" w:line="258"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spacing w:after="0" w:line="9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DISCUSSION AND ANALYSIS OF OUR FINANCIAL CONDITION</w:t>
      </w:r>
    </w:p>
    <w:p>
      <w:pPr>
        <w:spacing w:after="0" w:line="148" w:lineRule="exact"/>
        <w:rPr>
          <w:sz w:val="20"/>
          <w:szCs w:val="20"/>
          <w:color w:val="auto"/>
        </w:rPr>
      </w:pPr>
    </w:p>
    <w:p>
      <w:pPr>
        <w:ind w:right="60" w:firstLine="374"/>
        <w:spacing w:after="0" w:line="242"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upon our Unaudited Condensed Consolidated Financial Statements, which have been prepared in accordance with generally accepted accounting principles in the United States, or (“GAAP”). The preparation of these financial statements requires us to make estimates and judgments that affect the reported amounts of assets, liabilities, revenues and expenses. On an ongoing basis, we evaluate our estimates including those related to revenue recognition; valuation of the Company’s warrants and other equity awards; estimated probability and timing of redemption of equity instruments, the realization of income tax assets and estimates of tax liabilities, and obsolete, excess and slow-moving inventory. We base our estimates on historical experience and on various other assumptions we believe to be reasonable under the circumstances, the results of which form the basis for making judgments about the carrying values of assets and liabilities not readily apparent from other sources. Actual results may differ materially from these estimates. Our critical accounting policies and estimates are discussed in in the Company’s Annual Report on Form 10-K filed with the SEC on March 8, 2022.</w:t>
      </w:r>
    </w:p>
    <w:p>
      <w:pPr>
        <w:spacing w:after="0" w:line="120" w:lineRule="exact"/>
        <w:rPr>
          <w:sz w:val="20"/>
          <w:szCs w:val="20"/>
          <w:color w:val="auto"/>
        </w:rPr>
      </w:pPr>
    </w:p>
    <w:p>
      <w:pPr>
        <w:ind w:right="120" w:firstLine="374"/>
        <w:spacing w:after="0" w:line="247" w:lineRule="auto"/>
        <w:rPr>
          <w:sz w:val="20"/>
          <w:szCs w:val="20"/>
          <w:color w:val="auto"/>
        </w:rPr>
      </w:pPr>
      <w:r>
        <w:rPr>
          <w:rFonts w:ascii="Times New Roman" w:cs="Times New Roman" w:eastAsia="Times New Roman" w:hAnsi="Times New Roman"/>
          <w:sz w:val="18"/>
          <w:szCs w:val="18"/>
          <w:color w:val="auto"/>
        </w:rPr>
        <w:t>This Quarterly Report on Form 10-Q also contains estimates, projections and other information concerning our industry, our business, and market opportunity, including data regarding the estimated size of the market.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0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TRADEMARKS, SERVICE MARKS AND TRADE NAMES</w:t>
      </w:r>
    </w:p>
    <w:p>
      <w:pPr>
        <w:spacing w:after="0" w:line="148" w:lineRule="exact"/>
        <w:rPr>
          <w:sz w:val="20"/>
          <w:szCs w:val="20"/>
          <w:color w:val="auto"/>
        </w:rPr>
      </w:pPr>
    </w:p>
    <w:p>
      <w:pPr>
        <w:ind w:right="400" w:firstLine="374"/>
        <w:spacing w:after="0" w:line="245" w:lineRule="auto"/>
        <w:rPr>
          <w:sz w:val="20"/>
          <w:szCs w:val="20"/>
          <w:color w:val="auto"/>
        </w:rPr>
      </w:pPr>
      <w:r>
        <w:rPr>
          <w:rFonts w:ascii="Times New Roman" w:cs="Times New Roman" w:eastAsia="Times New Roman" w:hAnsi="Times New Roman"/>
          <w:sz w:val="18"/>
          <w:szCs w:val="18"/>
          <w:color w:val="auto"/>
        </w:rPr>
        <w:t>This Quarterly Report on Form 10-Q contains references to trademarks and service marks belonging to other entities. Solely for convenience, trademarks and trade names referred to in this Quarterly Report on Form 10-Q may appear without the ® or TM symbols, but such references are not intended to indicate, in any way, that the applicable licensor will not assert, to the fullest extent under applicable law, its rights to these trademarks and trade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 w:name="page5"/>
    <w:bookmarkEnd w:id="4"/>
    <w:p>
      <w:pPr>
        <w:spacing w:after="0" w:line="266" w:lineRule="auto"/>
        <w:rPr>
          <w:sz w:val="20"/>
          <w:szCs w:val="20"/>
          <w:color w:val="auto"/>
        </w:rPr>
      </w:pPr>
      <w:r>
        <w:rPr>
          <w:rFonts w:ascii="Times New Roman" w:cs="Times New Roman" w:eastAsia="Times New Roman" w:hAnsi="Times New Roman"/>
          <w:sz w:val="18"/>
          <w:szCs w:val="18"/>
          <w:color w:val="auto"/>
        </w:rPr>
        <w:t>names. We do not intend our use or display of other companies’ trade names, trademarks or service marks to imply a relationship with, or endorsement or sponsorship of it by, any other companies.</w:t>
      </w:r>
    </w:p>
    <w:p>
      <w:pPr>
        <w:spacing w:after="0" w:line="17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472" w:right="5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Item 1: Financial Statements (Unaudited)</w:t>
      </w:r>
    </w:p>
    <w:p>
      <w:pPr>
        <w:spacing w:after="0" w:line="2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RxSIGHT,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jc w:val="center"/>
        <w:spacing w:after="0"/>
        <w:rPr>
          <w:sz w:val="20"/>
          <w:szCs w:val="20"/>
          <w:color w:val="auto"/>
        </w:rPr>
      </w:pPr>
      <w:r>
        <w:rPr>
          <w:rFonts w:ascii="Times New Roman" w:cs="Times New Roman" w:eastAsia="Times New Roman" w:hAnsi="Times New Roman"/>
          <w:sz w:val="20"/>
          <w:szCs w:val="20"/>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5"/>
                <w:szCs w:val="15"/>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7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(Unaudited)</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24,132</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24,361</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Short-term investments</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119,715</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134,971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Accounts receivable</w:t>
            </w:r>
          </w:p>
        </w:tc>
        <w:tc>
          <w:tcPr>
            <w:tcW w:w="26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5,626</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4,862</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8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Inventories</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8,490</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26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3,184</w:t>
            </w:r>
          </w:p>
        </w:tc>
        <w:tc>
          <w:tcPr>
            <w:tcW w:w="2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4,069</w:t>
            </w:r>
          </w:p>
        </w:tc>
        <w:tc>
          <w:tcPr>
            <w:tcW w:w="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8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current assets</w:t>
            </w: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161,147</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176,295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6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10,915</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11,217</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leases right-of-use assets</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4,057</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26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811</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811</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60" w:type="dxa"/>
            <w:vAlign w:val="bottom"/>
            <w:tcBorders>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177,062</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192,721</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82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6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Accounts payable</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2,587</w:t>
            </w:r>
          </w:p>
        </w:tc>
        <w:tc>
          <w:tcPr>
            <w:tcW w:w="24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6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6,409</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7,859</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8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Lease liabilities</w:t>
            </w: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1,663</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10,659</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11,077</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3,350</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Term loan, net</w:t>
            </w:r>
          </w:p>
        </w:tc>
        <w:tc>
          <w:tcPr>
            <w:tcW w:w="26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39,890</w:t>
            </w:r>
          </w:p>
        </w:tc>
        <w:tc>
          <w:tcPr>
            <w:tcW w:w="2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39,760</w:t>
            </w:r>
          </w:p>
        </w:tc>
        <w:tc>
          <w:tcPr>
            <w:tcW w:w="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82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53,899</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54,479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w:t>
            </w:r>
            <w:r>
              <w:rPr>
                <w:rFonts w:ascii="Times New Roman" w:cs="Times New Roman" w:eastAsia="Times New Roman" w:hAnsi="Times New Roman"/>
                <w:sz w:val="14"/>
                <w:szCs w:val="14"/>
                <w:i w:val="1"/>
                <w:iCs w:val="1"/>
                <w:color w:val="auto"/>
              </w:rPr>
              <w:t>Note 10)</w:t>
            </w: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782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Common stock, $0.001 par value, 900,000,000 shares authorized, 27,485,685 shares issued and</w:t>
            </w:r>
          </w:p>
        </w:tc>
        <w:tc>
          <w:tcPr>
            <w:tcW w:w="26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outstanding as of March 31, 2022 and 27,366,746 shares issued and</w:t>
            </w: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8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outstanding as of December 31, 2021</w:t>
            </w:r>
          </w:p>
        </w:tc>
        <w:tc>
          <w:tcPr>
            <w:tcW w:w="2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82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Preferred stock, $0.001 par value, 100,000,000 shares authorized, no shares issued</w:t>
            </w:r>
          </w:p>
        </w:tc>
        <w:tc>
          <w:tcPr>
            <w:tcW w:w="260" w:type="dxa"/>
            <w:vAlign w:val="bottom"/>
          </w:tcPr>
          <w:p>
            <w:pPr>
              <w:spacing w:after="0"/>
              <w:rPr>
                <w:sz w:val="12"/>
                <w:szCs w:val="12"/>
                <w:color w:val="auto"/>
              </w:rPr>
            </w:pPr>
          </w:p>
        </w:tc>
        <w:tc>
          <w:tcPr>
            <w:tcW w:w="15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78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and outstanding as of March 31, 2022 and December 31, 2021</w:t>
            </w:r>
          </w:p>
        </w:tc>
        <w:tc>
          <w:tcPr>
            <w:tcW w:w="26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6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620,106</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617,511</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60" w:type="dxa"/>
            <w:vAlign w:val="bottom"/>
          </w:tcPr>
          <w:p>
            <w:pPr>
              <w:spacing w:after="0"/>
              <w:rPr>
                <w:sz w:val="15"/>
                <w:szCs w:val="15"/>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(98 )</w:t>
            </w:r>
          </w:p>
        </w:tc>
        <w:tc>
          <w:tcPr>
            <w:tcW w:w="220" w:type="dxa"/>
            <w:vAlign w:val="bottom"/>
          </w:tcPr>
          <w:p>
            <w:pPr>
              <w:spacing w:after="0"/>
              <w:rPr>
                <w:sz w:val="15"/>
                <w:szCs w:val="15"/>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(20 )</w:t>
            </w:r>
          </w:p>
        </w:tc>
        <w:tc>
          <w:tcPr>
            <w:tcW w:w="0" w:type="dxa"/>
            <w:vAlign w:val="bottom"/>
          </w:tcPr>
          <w:p>
            <w:pPr>
              <w:spacing w:after="0"/>
              <w:rPr>
                <w:sz w:val="1"/>
                <w:szCs w:val="1"/>
                <w:color w:val="auto"/>
              </w:rPr>
            </w:pPr>
          </w:p>
        </w:tc>
      </w:tr>
      <w:tr>
        <w:trPr>
          <w:trHeight w:val="175"/>
        </w:trPr>
        <w:tc>
          <w:tcPr>
            <w:tcW w:w="7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Accumulated deficit</w:t>
            </w:r>
          </w:p>
        </w:tc>
        <w:tc>
          <w:tcPr>
            <w:tcW w:w="26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(496,872 )</w:t>
            </w:r>
          </w:p>
        </w:tc>
        <w:tc>
          <w:tcPr>
            <w:tcW w:w="22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(479,276 )</w:t>
            </w:r>
          </w:p>
        </w:tc>
        <w:tc>
          <w:tcPr>
            <w:tcW w:w="0" w:type="dxa"/>
            <w:vAlign w:val="bottom"/>
          </w:tcPr>
          <w:p>
            <w:pPr>
              <w:spacing w:after="0"/>
              <w:rPr>
                <w:sz w:val="1"/>
                <w:szCs w:val="1"/>
                <w:color w:val="auto"/>
              </w:rPr>
            </w:pPr>
          </w:p>
        </w:tc>
      </w:tr>
      <w:tr>
        <w:trPr>
          <w:trHeight w:val="169"/>
        </w:trPr>
        <w:tc>
          <w:tcPr>
            <w:tcW w:w="782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6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123,163</w:t>
            </w:r>
          </w:p>
        </w:tc>
        <w:tc>
          <w:tcPr>
            <w:tcW w:w="240" w:type="dxa"/>
            <w:vAlign w:val="bottom"/>
            <w:tcBorders>
              <w:top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138,242</w:t>
            </w:r>
          </w:p>
        </w:tc>
        <w:tc>
          <w:tcPr>
            <w:tcW w:w="8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260" w:type="dxa"/>
            <w:vAlign w:val="bottom"/>
            <w:tcBorders>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177,062</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192,721</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-3076575</wp:posOffset>
            </wp:positionV>
            <wp:extent cx="514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-3076575</wp:posOffset>
            </wp:positionV>
            <wp:extent cx="514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-2390775</wp:posOffset>
            </wp:positionV>
            <wp:extent cx="514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-2373630</wp:posOffset>
            </wp:positionV>
            <wp:extent cx="514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-2390775</wp:posOffset>
            </wp:positionV>
            <wp:extent cx="514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-2373630</wp:posOffset>
            </wp:positionV>
            <wp:extent cx="514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-1464945</wp:posOffset>
            </wp:positionV>
            <wp:extent cx="514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-1464945</wp:posOffset>
            </wp:positionV>
            <wp:extent cx="514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-264795</wp:posOffset>
            </wp:positionV>
            <wp:extent cx="514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-264795</wp:posOffset>
            </wp:positionV>
            <wp:extent cx="514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-24765</wp:posOffset>
            </wp:positionV>
            <wp:extent cx="514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514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6" w:name="page7"/>
    <w:bookmarkEnd w:id="6"/>
    <w:p>
      <w:pPr>
        <w:ind w:left="5000"/>
        <w:spacing w:after="0"/>
        <w:rPr>
          <w:sz w:val="20"/>
          <w:szCs w:val="20"/>
          <w:color w:val="auto"/>
        </w:rPr>
      </w:pPr>
      <w:r>
        <w:rPr>
          <w:rFonts w:ascii="Times New Roman" w:cs="Times New Roman" w:eastAsia="Times New Roman" w:hAnsi="Times New Roman"/>
          <w:sz w:val="18"/>
          <w:szCs w:val="18"/>
          <w:b w:val="1"/>
          <w:bCs w:val="1"/>
          <w:color w:val="auto"/>
        </w:rPr>
        <w:t>RxSIGHT, INC.</w:t>
      </w:r>
    </w:p>
    <w:p>
      <w:pPr>
        <w:spacing w:after="0" w:line="3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COMPREHENSIVE LOSS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6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r>
      <w:tr>
        <w:trPr>
          <w:trHeight w:val="169"/>
        </w:trPr>
        <w:tc>
          <w:tcPr>
            <w:tcW w:w="68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320" w:type="dxa"/>
            <w:vAlign w:val="bottom"/>
          </w:tcPr>
          <w:p>
            <w:pPr>
              <w:spacing w:after="0"/>
              <w:rPr>
                <w:sz w:val="14"/>
                <w:szCs w:val="14"/>
                <w:color w:val="auto"/>
              </w:rPr>
            </w:pPr>
          </w:p>
        </w:tc>
      </w:tr>
      <w:tr>
        <w:trPr>
          <w:trHeight w:val="169"/>
        </w:trPr>
        <w:tc>
          <w:tcPr>
            <w:tcW w:w="6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Sales</w:t>
            </w:r>
          </w:p>
        </w:tc>
        <w:tc>
          <w:tcPr>
            <w:tcW w:w="440" w:type="dxa"/>
            <w:vAlign w:val="bottom"/>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8,942</w:t>
            </w:r>
          </w:p>
        </w:tc>
        <w:tc>
          <w:tcPr>
            <w:tcW w:w="36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3,484</w:t>
            </w:r>
          </w:p>
        </w:tc>
        <w:tc>
          <w:tcPr>
            <w:tcW w:w="320" w:type="dxa"/>
            <w:vAlign w:val="bottom"/>
            <w:shd w:val="clear" w:color="auto" w:fill="CFF0FC"/>
          </w:tcPr>
          <w:p>
            <w:pPr>
              <w:spacing w:after="0"/>
              <w:rPr>
                <w:sz w:val="14"/>
                <w:szCs w:val="14"/>
                <w:color w:val="auto"/>
              </w:rPr>
            </w:pPr>
          </w:p>
        </w:tc>
      </w:tr>
      <w:tr>
        <w:trPr>
          <w:trHeight w:val="176"/>
        </w:trPr>
        <w:tc>
          <w:tcPr>
            <w:tcW w:w="68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Cost of sales</w:t>
            </w:r>
          </w:p>
        </w:tc>
        <w:tc>
          <w:tcPr>
            <w:tcW w:w="4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5,181</w:t>
            </w:r>
          </w:p>
        </w:tc>
        <w:tc>
          <w:tcPr>
            <w:tcW w:w="3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2,365</w:t>
            </w:r>
          </w:p>
        </w:tc>
        <w:tc>
          <w:tcPr>
            <w:tcW w:w="320" w:type="dxa"/>
            <w:vAlign w:val="bottom"/>
          </w:tcPr>
          <w:p>
            <w:pPr>
              <w:spacing w:after="0"/>
              <w:rPr>
                <w:sz w:val="15"/>
                <w:szCs w:val="15"/>
                <w:color w:val="auto"/>
              </w:rPr>
            </w:pPr>
          </w:p>
        </w:tc>
      </w:tr>
      <w:tr>
        <w:trPr>
          <w:trHeight w:val="169"/>
        </w:trPr>
        <w:tc>
          <w:tcPr>
            <w:tcW w:w="6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Gross profit</w:t>
            </w:r>
          </w:p>
        </w:tc>
        <w:tc>
          <w:tcPr>
            <w:tcW w:w="440" w:type="dxa"/>
            <w:vAlign w:val="bottom"/>
            <w:tcBorders>
              <w:bottom w:val="single" w:sz="8" w:color="auto"/>
            </w:tcBorders>
            <w:shd w:val="clear" w:color="auto" w:fill="CFF0FC"/>
          </w:tcPr>
          <w:p>
            <w:pPr>
              <w:spacing w:after="0"/>
              <w:rPr>
                <w:sz w:val="14"/>
                <w:szCs w:val="14"/>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3,761</w:t>
            </w:r>
          </w:p>
        </w:tc>
        <w:tc>
          <w:tcPr>
            <w:tcW w:w="36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1,119</w:t>
            </w:r>
          </w:p>
        </w:tc>
        <w:tc>
          <w:tcPr>
            <w:tcW w:w="320" w:type="dxa"/>
            <w:vAlign w:val="bottom"/>
            <w:tcBorders>
              <w:bottom w:val="single" w:sz="8" w:color="CFF0FC"/>
            </w:tcBorders>
            <w:shd w:val="clear" w:color="auto" w:fill="CFF0FC"/>
          </w:tcPr>
          <w:p>
            <w:pPr>
              <w:spacing w:after="0"/>
              <w:rPr>
                <w:sz w:val="14"/>
                <w:szCs w:val="14"/>
                <w:color w:val="auto"/>
              </w:rPr>
            </w:pPr>
          </w:p>
        </w:tc>
      </w:tr>
      <w:tr>
        <w:trPr>
          <w:trHeight w:val="169"/>
        </w:trPr>
        <w:tc>
          <w:tcPr>
            <w:tcW w:w="68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Operating expenses:</w:t>
            </w:r>
          </w:p>
        </w:tc>
        <w:tc>
          <w:tcPr>
            <w:tcW w:w="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76"/>
        </w:trPr>
        <w:tc>
          <w:tcPr>
            <w:tcW w:w="6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4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13,620</w:t>
            </w:r>
          </w:p>
        </w:tc>
        <w:tc>
          <w:tcPr>
            <w:tcW w:w="3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5,611</w:t>
            </w:r>
          </w:p>
        </w:tc>
        <w:tc>
          <w:tcPr>
            <w:tcW w:w="320" w:type="dxa"/>
            <w:vAlign w:val="bottom"/>
            <w:shd w:val="clear" w:color="auto" w:fill="CFF0FC"/>
          </w:tcPr>
          <w:p>
            <w:pPr>
              <w:spacing w:after="0"/>
              <w:rPr>
                <w:sz w:val="15"/>
                <w:szCs w:val="15"/>
                <w:color w:val="auto"/>
              </w:rPr>
            </w:pPr>
          </w:p>
        </w:tc>
      </w:tr>
      <w:tr>
        <w:trPr>
          <w:trHeight w:val="176"/>
        </w:trPr>
        <w:tc>
          <w:tcPr>
            <w:tcW w:w="68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Research and development</w:t>
            </w:r>
          </w:p>
        </w:tc>
        <w:tc>
          <w:tcPr>
            <w:tcW w:w="4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6,719</w:t>
            </w:r>
          </w:p>
        </w:tc>
        <w:tc>
          <w:tcPr>
            <w:tcW w:w="3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6,643</w:t>
            </w:r>
          </w:p>
        </w:tc>
        <w:tc>
          <w:tcPr>
            <w:tcW w:w="320" w:type="dxa"/>
            <w:vAlign w:val="bottom"/>
          </w:tcPr>
          <w:p>
            <w:pPr>
              <w:spacing w:after="0"/>
              <w:rPr>
                <w:sz w:val="15"/>
                <w:szCs w:val="15"/>
                <w:color w:val="auto"/>
              </w:rPr>
            </w:pPr>
          </w:p>
        </w:tc>
      </w:tr>
      <w:tr>
        <w:trPr>
          <w:trHeight w:val="169"/>
        </w:trPr>
        <w:tc>
          <w:tcPr>
            <w:tcW w:w="68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440" w:type="dxa"/>
            <w:vAlign w:val="bottom"/>
            <w:tcBorders>
              <w:bottom w:val="single" w:sz="8" w:color="auto"/>
            </w:tcBorders>
            <w:shd w:val="clear" w:color="auto" w:fill="CFF0FC"/>
          </w:tcPr>
          <w:p>
            <w:pPr>
              <w:spacing w:after="0"/>
              <w:rPr>
                <w:sz w:val="14"/>
                <w:szCs w:val="14"/>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20,339</w:t>
            </w:r>
          </w:p>
        </w:tc>
        <w:tc>
          <w:tcPr>
            <w:tcW w:w="36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12,254</w:t>
            </w:r>
          </w:p>
        </w:tc>
        <w:tc>
          <w:tcPr>
            <w:tcW w:w="320" w:type="dxa"/>
            <w:vAlign w:val="bottom"/>
            <w:tcBorders>
              <w:bottom w:val="single" w:sz="8" w:color="CFF0FC"/>
            </w:tcBorders>
            <w:shd w:val="clear" w:color="auto" w:fill="CFF0FC"/>
          </w:tcPr>
          <w:p>
            <w:pPr>
              <w:spacing w:after="0"/>
              <w:rPr>
                <w:sz w:val="14"/>
                <w:szCs w:val="14"/>
                <w:color w:val="auto"/>
              </w:rPr>
            </w:pPr>
          </w:p>
        </w:tc>
      </w:tr>
      <w:tr>
        <w:trPr>
          <w:trHeight w:val="169"/>
        </w:trPr>
        <w:tc>
          <w:tcPr>
            <w:tcW w:w="68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Loss from operations</w:t>
            </w:r>
          </w:p>
        </w:tc>
        <w:tc>
          <w:tcPr>
            <w:tcW w:w="440" w:type="dxa"/>
            <w:vAlign w:val="bottom"/>
          </w:tcPr>
          <w:p>
            <w:pPr>
              <w:spacing w:after="0"/>
              <w:rPr>
                <w:sz w:val="14"/>
                <w:szCs w:val="14"/>
                <w:color w:val="auto"/>
              </w:rPr>
            </w:pPr>
          </w:p>
        </w:tc>
        <w:tc>
          <w:tcPr>
            <w:tcW w:w="184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(16,578 )</w:t>
            </w:r>
          </w:p>
        </w:tc>
        <w:tc>
          <w:tcPr>
            <w:tcW w:w="760" w:type="dxa"/>
            <w:vAlign w:val="bottom"/>
          </w:tcPr>
          <w:p>
            <w:pPr>
              <w:spacing w:after="0"/>
              <w:rPr>
                <w:sz w:val="14"/>
                <w:szCs w:val="14"/>
                <w:color w:val="auto"/>
              </w:rPr>
            </w:pPr>
          </w:p>
        </w:tc>
        <w:tc>
          <w:tcPr>
            <w:tcW w:w="13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(11,135 )</w:t>
            </w:r>
          </w:p>
        </w:tc>
      </w:tr>
      <w:tr>
        <w:trPr>
          <w:trHeight w:val="176"/>
        </w:trPr>
        <w:tc>
          <w:tcPr>
            <w:tcW w:w="6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income (expense), net:</w:t>
            </w:r>
          </w:p>
        </w:tc>
        <w:tc>
          <w:tcPr>
            <w:tcW w:w="4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r>
      <w:tr>
        <w:trPr>
          <w:trHeight w:val="175"/>
        </w:trPr>
        <w:tc>
          <w:tcPr>
            <w:tcW w:w="68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Expiration of warrant</w:t>
            </w:r>
          </w:p>
        </w:tc>
        <w:tc>
          <w:tcPr>
            <w:tcW w:w="440" w:type="dxa"/>
            <w:vAlign w:val="bottom"/>
          </w:tcPr>
          <w:p>
            <w:pPr>
              <w:spacing w:after="0"/>
              <w:rPr>
                <w:sz w:val="15"/>
                <w:szCs w:val="15"/>
                <w:color w:val="auto"/>
              </w:rPr>
            </w:pPr>
          </w:p>
        </w:tc>
        <w:tc>
          <w:tcPr>
            <w:tcW w:w="1840" w:type="dxa"/>
            <w:vAlign w:val="bottom"/>
            <w:gridSpan w:val="2"/>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5,018</w:t>
            </w:r>
          </w:p>
        </w:tc>
        <w:tc>
          <w:tcPr>
            <w:tcW w:w="320" w:type="dxa"/>
            <w:vAlign w:val="bottom"/>
          </w:tcPr>
          <w:p>
            <w:pPr>
              <w:spacing w:after="0"/>
              <w:rPr>
                <w:sz w:val="15"/>
                <w:szCs w:val="15"/>
                <w:color w:val="auto"/>
              </w:rPr>
            </w:pPr>
          </w:p>
        </w:tc>
      </w:tr>
      <w:tr>
        <w:trPr>
          <w:trHeight w:val="176"/>
        </w:trPr>
        <w:tc>
          <w:tcPr>
            <w:tcW w:w="6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Interest expense</w:t>
            </w:r>
          </w:p>
        </w:tc>
        <w:tc>
          <w:tcPr>
            <w:tcW w:w="440" w:type="dxa"/>
            <w:vAlign w:val="bottom"/>
            <w:shd w:val="clear" w:color="auto" w:fill="CFF0FC"/>
          </w:tcPr>
          <w:p>
            <w:pPr>
              <w:spacing w:after="0"/>
              <w:rPr>
                <w:sz w:val="15"/>
                <w:szCs w:val="15"/>
                <w:color w:val="auto"/>
              </w:rPr>
            </w:pPr>
          </w:p>
        </w:tc>
        <w:tc>
          <w:tcPr>
            <w:tcW w:w="184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(1,060 )</w:t>
            </w:r>
          </w:p>
        </w:tc>
        <w:tc>
          <w:tcPr>
            <w:tcW w:w="76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(698 )</w:t>
            </w:r>
          </w:p>
        </w:tc>
      </w:tr>
      <w:tr>
        <w:trPr>
          <w:trHeight w:val="176"/>
        </w:trPr>
        <w:tc>
          <w:tcPr>
            <w:tcW w:w="68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Interest and other income</w:t>
            </w:r>
          </w:p>
        </w:tc>
        <w:tc>
          <w:tcPr>
            <w:tcW w:w="4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3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320" w:type="dxa"/>
            <w:vAlign w:val="bottom"/>
          </w:tcPr>
          <w:p>
            <w:pPr>
              <w:spacing w:after="0"/>
              <w:rPr>
                <w:sz w:val="15"/>
                <w:szCs w:val="15"/>
                <w:color w:val="auto"/>
              </w:rPr>
            </w:pPr>
          </w:p>
        </w:tc>
      </w:tr>
      <w:tr>
        <w:trPr>
          <w:trHeight w:val="169"/>
        </w:trPr>
        <w:tc>
          <w:tcPr>
            <w:tcW w:w="6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Loss before income taxes</w:t>
            </w:r>
          </w:p>
        </w:tc>
        <w:tc>
          <w:tcPr>
            <w:tcW w:w="44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(17,592</w:t>
            </w:r>
          </w:p>
        </w:tc>
        <w:tc>
          <w:tcPr>
            <w:tcW w:w="360" w:type="dxa"/>
            <w:vAlign w:val="bottom"/>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w w:val="84"/>
              </w:rPr>
              <w:t>)</w:t>
            </w:r>
          </w:p>
        </w:tc>
        <w:tc>
          <w:tcPr>
            <w:tcW w:w="76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(6,798</w:t>
            </w:r>
          </w:p>
        </w:tc>
        <w:tc>
          <w:tcPr>
            <w:tcW w:w="32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w w:val="84"/>
              </w:rPr>
              <w:t>)</w:t>
            </w:r>
          </w:p>
        </w:tc>
      </w:tr>
      <w:tr>
        <w:trPr>
          <w:trHeight w:val="176"/>
        </w:trPr>
        <w:tc>
          <w:tcPr>
            <w:tcW w:w="68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Income tax expense</w:t>
            </w:r>
          </w:p>
        </w:tc>
        <w:tc>
          <w:tcPr>
            <w:tcW w:w="4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3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320" w:type="dxa"/>
            <w:vAlign w:val="bottom"/>
          </w:tcPr>
          <w:p>
            <w:pPr>
              <w:spacing w:after="0"/>
              <w:rPr>
                <w:sz w:val="15"/>
                <w:szCs w:val="15"/>
                <w:color w:val="auto"/>
              </w:rPr>
            </w:pPr>
          </w:p>
        </w:tc>
      </w:tr>
      <w:tr>
        <w:trPr>
          <w:trHeight w:val="209"/>
        </w:trPr>
        <w:tc>
          <w:tcPr>
            <w:tcW w:w="6820" w:type="dxa"/>
            <w:vAlign w:val="bottom"/>
            <w:tcBorders>
              <w:bottom w:val="single" w:sz="8" w:color="CFF0FC"/>
            </w:tcBorders>
            <w:shd w:val="clear" w:color="auto" w:fill="CFF0FC"/>
          </w:tcPr>
          <w:p>
            <w:pPr>
              <w:ind w:left="560"/>
              <w:spacing w:after="0" w:line="155" w:lineRule="exact"/>
              <w:rPr>
                <w:sz w:val="20"/>
                <w:szCs w:val="20"/>
                <w:color w:val="auto"/>
              </w:rPr>
            </w:pPr>
            <w:r>
              <w:rPr>
                <w:rFonts w:ascii="Times New Roman" w:cs="Times New Roman" w:eastAsia="Times New Roman" w:hAnsi="Times New Roman"/>
                <w:sz w:val="14"/>
                <w:szCs w:val="14"/>
                <w:color w:val="auto"/>
              </w:rPr>
              <w:t>Net loss</w:t>
            </w:r>
          </w:p>
        </w:tc>
        <w:tc>
          <w:tcPr>
            <w:tcW w:w="440" w:type="dxa"/>
            <w:vAlign w:val="bottom"/>
            <w:tcBorders>
              <w:bottom w:val="single" w:sz="8" w:color="auto"/>
            </w:tcBorders>
            <w:shd w:val="clear" w:color="auto" w:fill="CFF0FC"/>
          </w:tcPr>
          <w:p>
            <w:pPr>
              <w:jc w:val="right"/>
              <w:ind w:right="2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(17,596</w:t>
            </w:r>
          </w:p>
        </w:tc>
        <w:tc>
          <w:tcPr>
            <w:tcW w:w="360" w:type="dxa"/>
            <w:vAlign w:val="bottom"/>
            <w:tcBorders>
              <w:bottom w:val="single" w:sz="8" w:color="CFF0FC"/>
            </w:tcBorders>
            <w:shd w:val="clear" w:color="auto" w:fill="CFF0FC"/>
          </w:tcPr>
          <w:p>
            <w:pPr>
              <w:jc w:val="right"/>
              <w:ind w:right="22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760" w:type="dxa"/>
            <w:vAlign w:val="bottom"/>
            <w:tcBorders>
              <w:bottom w:val="single" w:sz="8" w:color="auto"/>
            </w:tcBorders>
            <w:shd w:val="clear" w:color="auto" w:fill="CFF0FC"/>
          </w:tcPr>
          <w:p>
            <w:pPr>
              <w:jc w:val="right"/>
              <w:ind w:right="5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(6,805</w:t>
            </w:r>
          </w:p>
        </w:tc>
        <w:tc>
          <w:tcPr>
            <w:tcW w:w="320" w:type="dxa"/>
            <w:vAlign w:val="bottom"/>
            <w:tcBorders>
              <w:bottom w:val="single" w:sz="8" w:color="CFF0FC"/>
            </w:tcBorders>
            <w:shd w:val="clear" w:color="auto" w:fill="CFF0FC"/>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w w:val="84"/>
              </w:rPr>
              <w:t>)</w:t>
            </w:r>
          </w:p>
        </w:tc>
      </w:tr>
      <w:tr>
        <w:trPr>
          <w:trHeight w:val="156"/>
        </w:trPr>
        <w:tc>
          <w:tcPr>
            <w:tcW w:w="6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175"/>
        </w:trPr>
        <w:tc>
          <w:tcPr>
            <w:tcW w:w="6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4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r>
      <w:tr>
        <w:trPr>
          <w:trHeight w:val="176"/>
        </w:trPr>
        <w:tc>
          <w:tcPr>
            <w:tcW w:w="68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Unrealized (loss) income on short-term investments</w:t>
            </w:r>
          </w:p>
        </w:tc>
        <w:tc>
          <w:tcPr>
            <w:tcW w:w="440" w:type="dxa"/>
            <w:vAlign w:val="bottom"/>
          </w:tcPr>
          <w:p>
            <w:pPr>
              <w:spacing w:after="0"/>
              <w:rPr>
                <w:sz w:val="15"/>
                <w:szCs w:val="15"/>
                <w:color w:val="auto"/>
              </w:rPr>
            </w:pPr>
          </w:p>
        </w:tc>
        <w:tc>
          <w:tcPr>
            <w:tcW w:w="184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(74 )</w:t>
            </w:r>
          </w:p>
        </w:tc>
        <w:tc>
          <w:tcPr>
            <w:tcW w:w="7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320" w:type="dxa"/>
            <w:vAlign w:val="bottom"/>
          </w:tcPr>
          <w:p>
            <w:pPr>
              <w:spacing w:after="0"/>
              <w:rPr>
                <w:sz w:val="15"/>
                <w:szCs w:val="15"/>
                <w:color w:val="auto"/>
              </w:rPr>
            </w:pPr>
          </w:p>
        </w:tc>
      </w:tr>
      <w:tr>
        <w:trPr>
          <w:trHeight w:val="176"/>
        </w:trPr>
        <w:tc>
          <w:tcPr>
            <w:tcW w:w="6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Foreign currency translation loss</w:t>
            </w:r>
          </w:p>
        </w:tc>
        <w:tc>
          <w:tcPr>
            <w:tcW w:w="440" w:type="dxa"/>
            <w:vAlign w:val="bottom"/>
            <w:shd w:val="clear" w:color="auto" w:fill="CFF0FC"/>
          </w:tcPr>
          <w:p>
            <w:pPr>
              <w:spacing w:after="0"/>
              <w:rPr>
                <w:sz w:val="15"/>
                <w:szCs w:val="15"/>
                <w:color w:val="auto"/>
              </w:rPr>
            </w:pPr>
          </w:p>
        </w:tc>
        <w:tc>
          <w:tcPr>
            <w:tcW w:w="184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(4 )</w:t>
            </w:r>
          </w:p>
        </w:tc>
        <w:tc>
          <w:tcPr>
            <w:tcW w:w="76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(4 )</w:t>
            </w:r>
          </w:p>
        </w:tc>
      </w:tr>
      <w:tr>
        <w:trPr>
          <w:trHeight w:val="20"/>
        </w:trPr>
        <w:tc>
          <w:tcPr>
            <w:tcW w:w="68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r>
      <w:tr>
        <w:trPr>
          <w:trHeight w:val="169"/>
        </w:trPr>
        <w:tc>
          <w:tcPr>
            <w:tcW w:w="68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other comprehensive (loss) income</w:t>
            </w:r>
          </w:p>
        </w:tc>
        <w:tc>
          <w:tcPr>
            <w:tcW w:w="440" w:type="dxa"/>
            <w:vAlign w:val="bottom"/>
          </w:tcPr>
          <w:p>
            <w:pPr>
              <w:spacing w:after="0"/>
              <w:rPr>
                <w:sz w:val="14"/>
                <w:szCs w:val="14"/>
                <w:color w:val="auto"/>
              </w:rPr>
            </w:pPr>
          </w:p>
        </w:tc>
        <w:tc>
          <w:tcPr>
            <w:tcW w:w="184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(78 )</w:t>
            </w:r>
          </w:p>
        </w:tc>
        <w:tc>
          <w:tcPr>
            <w:tcW w:w="7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320" w:type="dxa"/>
            <w:vAlign w:val="bottom"/>
          </w:tcPr>
          <w:p>
            <w:pPr>
              <w:spacing w:after="0"/>
              <w:rPr>
                <w:sz w:val="14"/>
                <w:szCs w:val="14"/>
                <w:color w:val="auto"/>
              </w:rPr>
            </w:pPr>
          </w:p>
        </w:tc>
      </w:tr>
      <w:tr>
        <w:trPr>
          <w:trHeight w:val="216"/>
        </w:trPr>
        <w:tc>
          <w:tcPr>
            <w:tcW w:w="6820" w:type="dxa"/>
            <w:vAlign w:val="bottom"/>
            <w:shd w:val="clear" w:color="auto" w:fill="CFF0FC"/>
          </w:tcPr>
          <w:p>
            <w:pPr>
              <w:ind w:left="200"/>
              <w:spacing w:after="0" w:line="155" w:lineRule="exact"/>
              <w:rPr>
                <w:sz w:val="20"/>
                <w:szCs w:val="20"/>
                <w:color w:val="auto"/>
              </w:rPr>
            </w:pPr>
            <w:r>
              <w:rPr>
                <w:rFonts w:ascii="Times New Roman" w:cs="Times New Roman" w:eastAsia="Times New Roman" w:hAnsi="Times New Roman"/>
                <w:sz w:val="14"/>
                <w:szCs w:val="14"/>
                <w:color w:val="auto"/>
              </w:rPr>
              <w:t>Comprehensive loss</w:t>
            </w:r>
          </w:p>
        </w:tc>
        <w:tc>
          <w:tcPr>
            <w:tcW w:w="440" w:type="dxa"/>
            <w:vAlign w:val="bottom"/>
            <w:shd w:val="clear" w:color="auto" w:fill="CFF0FC"/>
          </w:tcPr>
          <w:p>
            <w:pPr>
              <w:jc w:val="right"/>
              <w:ind w:right="2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gridSpan w:val="2"/>
            <w:shd w:val="clear" w:color="auto" w:fill="CFF0FC"/>
          </w:tcPr>
          <w:p>
            <w:pPr>
              <w:jc w:val="right"/>
              <w:ind w:right="228"/>
              <w:spacing w:after="0" w:line="155" w:lineRule="exact"/>
              <w:rPr>
                <w:sz w:val="20"/>
                <w:szCs w:val="20"/>
                <w:color w:val="auto"/>
              </w:rPr>
            </w:pPr>
            <w:r>
              <w:rPr>
                <w:rFonts w:ascii="Times New Roman" w:cs="Times New Roman" w:eastAsia="Times New Roman" w:hAnsi="Times New Roman"/>
                <w:sz w:val="14"/>
                <w:szCs w:val="14"/>
                <w:color w:val="auto"/>
              </w:rPr>
              <w:t>(17,674 )</w:t>
            </w:r>
          </w:p>
        </w:tc>
        <w:tc>
          <w:tcPr>
            <w:tcW w:w="760" w:type="dxa"/>
            <w:vAlign w:val="bottom"/>
            <w:shd w:val="clear" w:color="auto" w:fill="CFF0FC"/>
          </w:tcPr>
          <w:p>
            <w:pPr>
              <w:jc w:val="right"/>
              <w:ind w:right="5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FF0FC"/>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rPr>
              <w:t>(6,802 )</w:t>
            </w:r>
          </w:p>
        </w:tc>
      </w:tr>
      <w:tr>
        <w:trPr>
          <w:trHeight w:val="156"/>
        </w:trPr>
        <w:tc>
          <w:tcPr>
            <w:tcW w:w="6820" w:type="dxa"/>
            <w:vAlign w:val="bottom"/>
            <w:tcBorders>
              <w:top w:val="single" w:sz="8" w:color="CFF0FC"/>
            </w:tcBorders>
          </w:tcPr>
          <w:p>
            <w:pPr>
              <w:ind w:left="200"/>
              <w:spacing w:after="0" w:line="156" w:lineRule="exact"/>
              <w:rPr>
                <w:sz w:val="20"/>
                <w:szCs w:val="20"/>
                <w:color w:val="auto"/>
              </w:rPr>
            </w:pPr>
            <w:r>
              <w:rPr>
                <w:rFonts w:ascii="Times New Roman" w:cs="Times New Roman" w:eastAsia="Times New Roman" w:hAnsi="Times New Roman"/>
                <w:sz w:val="14"/>
                <w:szCs w:val="14"/>
                <w:color w:val="auto"/>
              </w:rPr>
              <w:t>Net loss per share:</w:t>
            </w:r>
          </w:p>
        </w:tc>
        <w:tc>
          <w:tcPr>
            <w:tcW w:w="44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360" w:type="dxa"/>
            <w:vAlign w:val="bottom"/>
            <w:tcBorders>
              <w:top w:val="single" w:sz="8" w:color="CFF0FC"/>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320" w:type="dxa"/>
            <w:vAlign w:val="bottom"/>
            <w:tcBorders>
              <w:top w:val="single" w:sz="8" w:color="CFF0FC"/>
            </w:tcBorders>
          </w:tcPr>
          <w:p>
            <w:pPr>
              <w:spacing w:after="0"/>
              <w:rPr>
                <w:sz w:val="13"/>
                <w:szCs w:val="13"/>
                <w:color w:val="auto"/>
              </w:rPr>
            </w:pPr>
          </w:p>
        </w:tc>
      </w:tr>
      <w:tr>
        <w:trPr>
          <w:trHeight w:val="176"/>
        </w:trPr>
        <w:tc>
          <w:tcPr>
            <w:tcW w:w="6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Attributable to Series G common stock, basic and diluted</w:t>
            </w:r>
          </w:p>
        </w:tc>
        <w:tc>
          <w:tcPr>
            <w:tcW w:w="440" w:type="dxa"/>
            <w:vAlign w:val="bottom"/>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(0.16 )</w:t>
            </w:r>
          </w:p>
        </w:tc>
      </w:tr>
      <w:tr>
        <w:trPr>
          <w:trHeight w:val="175"/>
        </w:trPr>
        <w:tc>
          <w:tcPr>
            <w:tcW w:w="68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Attributable to common stock, basic and diluted</w:t>
            </w:r>
          </w:p>
        </w:tc>
        <w:tc>
          <w:tcPr>
            <w:tcW w:w="4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(0.64 )</w:t>
            </w:r>
          </w:p>
        </w:tc>
        <w:tc>
          <w:tcPr>
            <w:tcW w:w="76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(1.70 )</w:t>
            </w:r>
          </w:p>
        </w:tc>
      </w:tr>
      <w:tr>
        <w:trPr>
          <w:trHeight w:val="176"/>
        </w:trPr>
        <w:tc>
          <w:tcPr>
            <w:tcW w:w="6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Weighted-average shares used in computing net loss per share:</w:t>
            </w:r>
          </w:p>
        </w:tc>
        <w:tc>
          <w:tcPr>
            <w:tcW w:w="4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r>
      <w:tr>
        <w:trPr>
          <w:trHeight w:val="175"/>
        </w:trPr>
        <w:tc>
          <w:tcPr>
            <w:tcW w:w="68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Attributable to Series G common stock, basic and diluted</w:t>
            </w:r>
          </w:p>
        </w:tc>
        <w:tc>
          <w:tcPr>
            <w:tcW w:w="440" w:type="dxa"/>
            <w:vAlign w:val="bottom"/>
          </w:tcPr>
          <w:p>
            <w:pPr>
              <w:spacing w:after="0"/>
              <w:rPr>
                <w:sz w:val="15"/>
                <w:szCs w:val="15"/>
                <w:color w:val="auto"/>
              </w:rPr>
            </w:pPr>
          </w:p>
        </w:tc>
        <w:tc>
          <w:tcPr>
            <w:tcW w:w="1840" w:type="dxa"/>
            <w:vAlign w:val="bottom"/>
            <w:gridSpan w:val="2"/>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tcPr>
          <w:p>
            <w:pPr>
              <w:spacing w:after="0"/>
              <w:rPr>
                <w:sz w:val="15"/>
                <w:szCs w:val="15"/>
                <w:color w:val="auto"/>
              </w:rPr>
            </w:pPr>
          </w:p>
        </w:tc>
      </w:tr>
      <w:tr>
        <w:trPr>
          <w:trHeight w:val="176"/>
        </w:trPr>
        <w:tc>
          <w:tcPr>
            <w:tcW w:w="6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Attributable to common stock, basic and diluted</w:t>
            </w:r>
          </w:p>
        </w:tc>
        <w:tc>
          <w:tcPr>
            <w:tcW w:w="4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27,425,610</w:t>
            </w:r>
          </w:p>
        </w:tc>
        <w:tc>
          <w:tcPr>
            <w:tcW w:w="3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3,996,173</w:t>
            </w:r>
          </w:p>
        </w:tc>
        <w:tc>
          <w:tcPr>
            <w:tcW w:w="320" w:type="dxa"/>
            <w:vAlign w:val="bottom"/>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-2776855</wp:posOffset>
            </wp:positionV>
            <wp:extent cx="514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-2776855</wp:posOffset>
            </wp:positionV>
            <wp:extent cx="514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-2313940</wp:posOffset>
            </wp:positionV>
            <wp:extent cx="514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-2313940</wp:posOffset>
            </wp:positionV>
            <wp:extent cx="514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-1396365</wp:posOffset>
            </wp:positionV>
            <wp:extent cx="514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-1379220</wp:posOffset>
            </wp:positionV>
            <wp:extent cx="514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-1396365</wp:posOffset>
            </wp:positionV>
            <wp:extent cx="514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-1379220</wp:posOffset>
            </wp:positionV>
            <wp:extent cx="514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-925195</wp:posOffset>
            </wp:positionV>
            <wp:extent cx="514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-925195</wp:posOffset>
            </wp:positionV>
            <wp:extent cx="514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-693420</wp:posOffset>
            </wp:positionV>
            <wp:extent cx="514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-676910</wp:posOffset>
            </wp:positionV>
            <wp:extent cx="514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-693420</wp:posOffset>
            </wp:positionV>
            <wp:extent cx="514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-676910</wp:posOffset>
            </wp:positionV>
            <wp:extent cx="514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t>RxSIGHT,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STOCKHOLDERS’ EQUITY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35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Balance at December 31, 2021</w:t>
      </w:r>
    </w:p>
    <w:p>
      <w:pPr>
        <w:spacing w:after="0" w:line="27" w:lineRule="exact"/>
        <w:rPr>
          <w:sz w:val="20"/>
          <w:szCs w:val="20"/>
          <w:color w:val="auto"/>
        </w:rPr>
      </w:pPr>
    </w:p>
    <w:p>
      <w:pPr>
        <w:ind w:left="40" w:right="120" w:hanging="35"/>
        <w:spacing w:after="0" w:line="243" w:lineRule="auto"/>
        <w:rPr>
          <w:sz w:val="20"/>
          <w:szCs w:val="20"/>
          <w:color w:val="auto"/>
        </w:rPr>
      </w:pPr>
      <w:r>
        <w:rPr>
          <w:rFonts w:ascii="Times New Roman" w:cs="Times New Roman" w:eastAsia="Times New Roman" w:hAnsi="Times New Roman"/>
          <w:sz w:val="14"/>
          <w:szCs w:val="14"/>
          <w:color w:val="auto"/>
        </w:rPr>
        <w:t>Shares issued for the exercise of stock options and vesting of restricted stock units</w:t>
      </w:r>
    </w:p>
    <w:p>
      <w:pPr>
        <w:spacing w:after="0" w:line="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Shares redeemed for employee tax withholdings Stock-based compensation expense</w:t>
      </w:r>
    </w:p>
    <w:p>
      <w:pPr>
        <w:ind w:right="340"/>
        <w:spacing w:after="0" w:line="248" w:lineRule="auto"/>
        <w:rPr>
          <w:sz w:val="20"/>
          <w:szCs w:val="20"/>
          <w:color w:val="auto"/>
        </w:rPr>
      </w:pPr>
      <w:r>
        <w:rPr>
          <w:rFonts w:ascii="Times New Roman" w:cs="Times New Roman" w:eastAsia="Times New Roman" w:hAnsi="Times New Roman"/>
          <w:sz w:val="14"/>
          <w:szCs w:val="14"/>
          <w:color w:val="auto"/>
        </w:rPr>
        <w:t>Unrealized loss on short-term investments and cash equivalents, net of tax Foreign currency translation adjustment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loss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Balance at March 31, 2022</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2"/>
          <w:szCs w:val="12"/>
          <w:b w:val="1"/>
          <w:bCs w:val="1"/>
          <w:color w:val="auto"/>
        </w:rPr>
        <w:t>Three Months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492061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920615" cy="8890"/>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3"/>
          </w:tcPr>
          <w:p>
            <w:pPr>
              <w:jc w:val="center"/>
              <w:ind w:right="168"/>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220" w:type="dxa"/>
            <w:vAlign w:val="bottom"/>
          </w:tcPr>
          <w:p>
            <w:pPr>
              <w:spacing w:after="0"/>
              <w:rPr>
                <w:sz w:val="18"/>
                <w:szCs w:val="18"/>
                <w:color w:val="auto"/>
              </w:rPr>
            </w:pPr>
          </w:p>
        </w:tc>
        <w:tc>
          <w:tcPr>
            <w:tcW w:w="1040" w:type="dxa"/>
            <w:vAlign w:val="bottom"/>
            <w:gridSpan w:val="2"/>
          </w:tcPr>
          <w:p>
            <w:pPr>
              <w:jc w:val="center"/>
              <w:ind w:right="348"/>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52"/>
        </w:trPr>
        <w:tc>
          <w:tcPr>
            <w:tcW w:w="2260" w:type="dxa"/>
            <w:vAlign w:val="bottom"/>
            <w:gridSpan w:val="4"/>
            <w:vMerge w:val="restart"/>
          </w:tcPr>
          <w:p>
            <w:pPr>
              <w:jc w:val="right"/>
              <w:ind w:right="527"/>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260" w:type="dxa"/>
            <w:vAlign w:val="bottom"/>
            <w:gridSpan w:val="3"/>
            <w:vMerge w:val="restart"/>
          </w:tcPr>
          <w:p>
            <w:pPr>
              <w:jc w:val="center"/>
              <w:ind w:right="128"/>
              <w:spacing w:after="0"/>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40" w:type="dxa"/>
            <w:vAlign w:val="bottom"/>
          </w:tcPr>
          <w:p>
            <w:pPr>
              <w:spacing w:after="0"/>
              <w:rPr>
                <w:sz w:val="13"/>
                <w:szCs w:val="13"/>
                <w:color w:val="auto"/>
              </w:rPr>
            </w:pPr>
          </w:p>
        </w:tc>
        <w:tc>
          <w:tcPr>
            <w:tcW w:w="138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260" w:type="dxa"/>
            <w:vAlign w:val="bottom"/>
            <w:tcBorders>
              <w:bottom w:val="single" w:sz="8" w:color="auto"/>
            </w:tcBorders>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paid-in</w:t>
            </w:r>
          </w:p>
        </w:tc>
        <w:tc>
          <w:tcPr>
            <w:tcW w:w="12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196"/>
        </w:trPr>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7"/>
                <w:szCs w:val="17"/>
                <w:color w:val="auto"/>
              </w:rPr>
            </w:pPr>
          </w:p>
        </w:tc>
        <w:tc>
          <w:tcPr>
            <w:tcW w:w="760" w:type="dxa"/>
            <w:vAlign w:val="bottom"/>
          </w:tcPr>
          <w:p>
            <w:pPr>
              <w:jc w:val="right"/>
              <w:ind w:right="87"/>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tcPr>
          <w:p>
            <w:pPr>
              <w:spacing w:after="0"/>
              <w:rPr>
                <w:sz w:val="17"/>
                <w:szCs w:val="17"/>
                <w:color w:val="auto"/>
              </w:rPr>
            </w:pPr>
          </w:p>
        </w:tc>
        <w:tc>
          <w:tcPr>
            <w:tcW w:w="1040" w:type="dxa"/>
            <w:vAlign w:val="bottom"/>
            <w:gridSpan w:val="2"/>
          </w:tcPr>
          <w:p>
            <w:pPr>
              <w:jc w:val="center"/>
              <w:ind w:right="348"/>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7"/>
                <w:szCs w:val="17"/>
                <w:color w:val="auto"/>
              </w:rPr>
            </w:pPr>
          </w:p>
        </w:tc>
        <w:tc>
          <w:tcPr>
            <w:tcW w:w="1380" w:type="dxa"/>
            <w:vAlign w:val="bottom"/>
            <w:gridSpan w:val="3"/>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17"/>
                <w:szCs w:val="17"/>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182"/>
        </w:trPr>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27,366,746</w:t>
            </w:r>
          </w:p>
        </w:tc>
        <w:tc>
          <w:tcPr>
            <w:tcW w:w="2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617,511</w:t>
            </w:r>
          </w:p>
        </w:tc>
        <w:tc>
          <w:tcPr>
            <w:tcW w:w="220" w:type="dxa"/>
            <w:vAlign w:val="bottom"/>
          </w:tcPr>
          <w:p>
            <w:pPr>
              <w:spacing w:after="0"/>
              <w:rPr>
                <w:sz w:val="15"/>
                <w:szCs w:val="15"/>
                <w:color w:val="auto"/>
              </w:rPr>
            </w:pPr>
          </w:p>
        </w:tc>
        <w:tc>
          <w:tcPr>
            <w:tcW w:w="220" w:type="dxa"/>
            <w:vAlign w:val="bottom"/>
            <w:tcBorders>
              <w:top w:val="single" w:sz="8" w:color="auto"/>
            </w:tcBorders>
          </w:tcPr>
          <w:p>
            <w:pPr>
              <w:jc w:val="right"/>
              <w:ind w:right="64"/>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(479,276</w:t>
            </w:r>
          </w:p>
        </w:tc>
        <w:tc>
          <w:tcPr>
            <w:tcW w:w="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138,242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2"/>
        </w:trPr>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145,922</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(26,983 )</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(362 )</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(362 )</w:t>
            </w:r>
          </w:p>
        </w:tc>
        <w:tc>
          <w:tcPr>
            <w:tcW w:w="0" w:type="dxa"/>
            <w:vAlign w:val="bottom"/>
          </w:tcPr>
          <w:p>
            <w:pPr>
              <w:spacing w:after="0"/>
              <w:rPr>
                <w:sz w:val="1"/>
                <w:szCs w:val="1"/>
                <w:color w:val="auto"/>
              </w:rPr>
            </w:pPr>
          </w:p>
        </w:tc>
      </w:tr>
      <w:tr>
        <w:trPr>
          <w:trHeight w:val="188"/>
        </w:trPr>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2,649</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1"/>
        </w:trPr>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(74 )</w:t>
            </w:r>
          </w:p>
        </w:tc>
        <w:tc>
          <w:tcPr>
            <w:tcW w:w="1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(74 )</w:t>
            </w:r>
          </w:p>
        </w:tc>
        <w:tc>
          <w:tcPr>
            <w:tcW w:w="0" w:type="dxa"/>
            <w:vAlign w:val="bottom"/>
          </w:tcPr>
          <w:p>
            <w:pPr>
              <w:spacing w:after="0"/>
              <w:rPr>
                <w:sz w:val="1"/>
                <w:szCs w:val="1"/>
                <w:color w:val="auto"/>
              </w:rPr>
            </w:pPr>
          </w:p>
        </w:tc>
      </w:tr>
      <w:tr>
        <w:trPr>
          <w:trHeight w:val="176"/>
        </w:trPr>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(4 )</w:t>
            </w:r>
          </w:p>
        </w:tc>
        <w:tc>
          <w:tcPr>
            <w:tcW w:w="1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0" w:type="dxa"/>
            <w:vAlign w:val="bottom"/>
          </w:tcPr>
          <w:p>
            <w:pPr>
              <w:spacing w:after="0"/>
              <w:rPr>
                <w:sz w:val="1"/>
                <w:szCs w:val="1"/>
                <w:color w:val="auto"/>
              </w:rPr>
            </w:pPr>
          </w:p>
        </w:tc>
      </w:tr>
      <w:tr>
        <w:trPr>
          <w:trHeight w:val="185"/>
        </w:trPr>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(17,596 )</w:t>
            </w:r>
          </w:p>
        </w:tc>
        <w:tc>
          <w:tcPr>
            <w:tcW w:w="10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(17,596 )</w:t>
            </w: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27,485,685</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620,106</w:t>
            </w:r>
          </w:p>
        </w:tc>
        <w:tc>
          <w:tcPr>
            <w:tcW w:w="220" w:type="dxa"/>
            <w:vAlign w:val="bottom"/>
          </w:tcPr>
          <w:p>
            <w:pPr>
              <w:spacing w:after="0"/>
              <w:rPr>
                <w:sz w:val="14"/>
                <w:szCs w:val="14"/>
                <w:color w:val="auto"/>
              </w:rPr>
            </w:pP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(98 )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(496,872 )</w:t>
            </w:r>
          </w:p>
        </w:tc>
        <w:tc>
          <w:tcPr>
            <w:tcW w:w="1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123,163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-1122045</wp:posOffset>
            </wp:positionV>
            <wp:extent cx="7132320" cy="1111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-805180</wp:posOffset>
            </wp:positionV>
            <wp:extent cx="7132320" cy="1117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-582295</wp:posOffset>
            </wp:positionV>
            <wp:extent cx="7132320" cy="2057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-264795</wp:posOffset>
            </wp:positionV>
            <wp:extent cx="7132320" cy="1200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 w:lineRule="exact"/>
        <w:rPr>
          <w:sz w:val="20"/>
          <w:szCs w:val="20"/>
          <w:color w:val="auto"/>
        </w:rPr>
      </w:pPr>
    </w:p>
    <w:p>
      <w:pPr>
        <w:sectPr>
          <w:pgSz w:w="11900" w:h="16838" w:orient="portrait"/>
          <w:cols w:equalWidth="0" w:num="2">
            <w:col w:w="2780" w:space="640"/>
            <w:col w:w="7800"/>
          </w:cols>
          <w:pgMar w:left="340" w:top="358" w:right="3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99060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58" w:right="339" w:bottom="1440" w:gutter="0" w:footer="0" w:header="0"/>
          <w:type w:val="continuous"/>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RXSIGHT, INC.</w:t>
      </w:r>
    </w:p>
    <w:p>
      <w:pPr>
        <w:spacing w:after="0" w:line="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REDEEMABLE COMMON STOCK, STOCK OPTIONS, CONVERTIBLE PREFERRED STOCK AND STOCKHOLDERS’</w:t>
      </w:r>
    </w:p>
    <w:p>
      <w:pPr>
        <w:spacing w:after="0" w:line="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4"/>
          <w:szCs w:val="14"/>
          <w:b w:val="1"/>
          <w:bCs w:val="1"/>
          <w:color w:val="auto"/>
        </w:rPr>
        <w:t>EQUITY (DEFICIT) (UNAUDITED)</w:t>
      </w:r>
    </w:p>
    <w:p>
      <w:pPr>
        <w:spacing w:after="0" w:line="1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4"/>
          <w:szCs w:val="14"/>
          <w:color w:val="auto"/>
        </w:rPr>
        <w:t>(In thousands, except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2"/>
          <w:szCs w:val="12"/>
          <w:b w:val="1"/>
          <w:bCs w:val="1"/>
          <w:color w:val="auto"/>
        </w:rPr>
        <w:t>Three Months Ended March 31, 2021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3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center"/>
              <w:ind w:left="166"/>
              <w:spacing w:after="0" w:line="120" w:lineRule="exact"/>
              <w:rPr>
                <w:sz w:val="20"/>
                <w:szCs w:val="20"/>
                <w:color w:val="auto"/>
              </w:rPr>
            </w:pPr>
            <w:r>
              <w:rPr>
                <w:rFonts w:ascii="Times New Roman" w:cs="Times New Roman" w:eastAsia="Times New Roman" w:hAnsi="Times New Roman"/>
                <w:sz w:val="11"/>
                <w:szCs w:val="11"/>
                <w:b w:val="1"/>
                <w:bCs w:val="1"/>
                <w:color w:val="auto"/>
                <w:w w:val="98"/>
              </w:rPr>
              <w:t>Notes</w:t>
            </w:r>
          </w:p>
        </w:tc>
        <w:tc>
          <w:tcPr>
            <w:tcW w:w="2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right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1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4"/>
          </w:tcPr>
          <w:p>
            <w:pPr>
              <w:jc w:val="center"/>
              <w:ind w:right="86"/>
              <w:spacing w:after="0" w:line="111" w:lineRule="exact"/>
              <w:rPr>
                <w:sz w:val="20"/>
                <w:szCs w:val="20"/>
                <w:color w:val="auto"/>
              </w:rPr>
            </w:pPr>
            <w:r>
              <w:rPr>
                <w:rFonts w:ascii="Times New Roman" w:cs="Times New Roman" w:eastAsia="Times New Roman" w:hAnsi="Times New Roman"/>
                <w:sz w:val="11"/>
                <w:szCs w:val="11"/>
                <w:b w:val="1"/>
                <w:bCs w:val="1"/>
                <w:color w:val="auto"/>
                <w:w w:val="96"/>
              </w:rPr>
              <w:t>receivable</w:t>
            </w: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3"/>
            <w:vMerge w:val="restart"/>
          </w:tcPr>
          <w:p>
            <w:pPr>
              <w:jc w:val="center"/>
              <w:ind w:right="206"/>
              <w:spacing w:after="0"/>
              <w:rPr>
                <w:sz w:val="20"/>
                <w:szCs w:val="20"/>
                <w:color w:val="auto"/>
              </w:rPr>
            </w:pPr>
            <w:r>
              <w:rPr>
                <w:rFonts w:ascii="Times New Roman" w:cs="Times New Roman" w:eastAsia="Times New Roman" w:hAnsi="Times New Roman"/>
                <w:sz w:val="11"/>
                <w:szCs w:val="11"/>
                <w:b w:val="1"/>
                <w:bCs w:val="1"/>
                <w:color w:val="auto"/>
                <w:w w:val="98"/>
              </w:rPr>
              <w:t>Notes</w:t>
            </w: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center"/>
              <w:ind w:left="166"/>
              <w:spacing w:after="0" w:line="108" w:lineRule="exact"/>
              <w:rPr>
                <w:sz w:val="20"/>
                <w:szCs w:val="20"/>
                <w:color w:val="auto"/>
              </w:rPr>
            </w:pPr>
            <w:r>
              <w:rPr>
                <w:rFonts w:ascii="Times New Roman" w:cs="Times New Roman" w:eastAsia="Times New Roman" w:hAnsi="Times New Roman"/>
                <w:sz w:val="11"/>
                <w:szCs w:val="11"/>
                <w:b w:val="1"/>
                <w:bCs w:val="1"/>
                <w:color w:val="auto"/>
                <w:w w:val="99"/>
              </w:rPr>
              <w:t>for</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4"/>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w w:val="99"/>
              </w:rPr>
              <w:t>redeemable</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Borders>
              <w:right w:val="single" w:sz="8" w:color="auto"/>
            </w:tcBorders>
            <w:gridSpan w:val="4"/>
          </w:tcPr>
          <w:p>
            <w:pPr>
              <w:jc w:val="right"/>
              <w:ind w:right="406"/>
              <w:spacing w:after="0"/>
              <w:rPr>
                <w:sz w:val="20"/>
                <w:szCs w:val="20"/>
                <w:color w:val="auto"/>
              </w:rPr>
            </w:pPr>
            <w:r>
              <w:rPr>
                <w:rFonts w:ascii="Times New Roman" w:cs="Times New Roman" w:eastAsia="Times New Roman" w:hAnsi="Times New Roman"/>
                <w:sz w:val="11"/>
                <w:szCs w:val="11"/>
                <w:b w:val="1"/>
                <w:bCs w:val="1"/>
                <w:color w:val="auto"/>
              </w:rPr>
              <w:t>Convertible</w:t>
            </w: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166"/>
              <w:spacing w:after="0"/>
              <w:rPr>
                <w:sz w:val="20"/>
                <w:szCs w:val="20"/>
                <w:color w:val="auto"/>
              </w:rPr>
            </w:pPr>
            <w:r>
              <w:rPr>
                <w:rFonts w:ascii="Times New Roman" w:cs="Times New Roman" w:eastAsia="Times New Roman" w:hAnsi="Times New Roman"/>
                <w:sz w:val="11"/>
                <w:szCs w:val="11"/>
                <w:b w:val="1"/>
                <w:bCs w:val="1"/>
                <w:color w:val="auto"/>
                <w:w w:val="96"/>
              </w:rPr>
              <w:t>receivable</w:t>
            </w: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360" w:type="dxa"/>
            <w:vAlign w:val="bottom"/>
            <w:gridSpan w:val="5"/>
            <w:vMerge w:val="restart"/>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w w:val="97"/>
              </w:rPr>
              <w:t>Redeemable common stock</w:t>
            </w: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tcBorders>
              <w:right w:val="single" w:sz="8" w:color="auto"/>
            </w:tcBorders>
            <w:gridSpan w:val="4"/>
            <w:vMerge w:val="restart"/>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40" w:type="dxa"/>
            <w:vAlign w:val="bottom"/>
          </w:tcPr>
          <w:p>
            <w:pPr>
              <w:spacing w:after="0"/>
              <w:rPr>
                <w:sz w:val="10"/>
                <w:szCs w:val="10"/>
                <w:color w:val="auto"/>
              </w:rPr>
            </w:pPr>
          </w:p>
        </w:tc>
        <w:tc>
          <w:tcPr>
            <w:tcW w:w="1160" w:type="dxa"/>
            <w:vAlign w:val="bottom"/>
            <w:gridSpan w:val="3"/>
            <w:vMerge w:val="restart"/>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40" w:type="dxa"/>
            <w:vAlign w:val="bottom"/>
          </w:tcPr>
          <w:p>
            <w:pPr>
              <w:spacing w:after="0"/>
              <w:rPr>
                <w:sz w:val="10"/>
                <w:szCs w:val="10"/>
                <w:color w:val="auto"/>
              </w:rPr>
            </w:pPr>
          </w:p>
        </w:tc>
        <w:tc>
          <w:tcPr>
            <w:tcW w:w="820" w:type="dxa"/>
            <w:vAlign w:val="bottom"/>
            <w:gridSpan w:val="4"/>
          </w:tcPr>
          <w:p>
            <w:pPr>
              <w:jc w:val="center"/>
              <w:ind w:right="86"/>
              <w:spacing w:after="0" w:line="122" w:lineRule="exact"/>
              <w:rPr>
                <w:sz w:val="20"/>
                <w:szCs w:val="20"/>
                <w:color w:val="auto"/>
              </w:rPr>
            </w:pPr>
            <w:r>
              <w:rPr>
                <w:rFonts w:ascii="Times New Roman" w:cs="Times New Roman" w:eastAsia="Times New Roman" w:hAnsi="Times New Roman"/>
                <w:sz w:val="11"/>
                <w:szCs w:val="11"/>
                <w:b w:val="1"/>
                <w:bCs w:val="1"/>
                <w:color w:val="auto"/>
                <w:w w:val="97"/>
              </w:rPr>
              <w:t>for common</w:t>
            </w: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102"/>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37"/>
        </w:trPr>
        <w:tc>
          <w:tcPr>
            <w:tcW w:w="1340" w:type="dxa"/>
            <w:vAlign w:val="bottom"/>
          </w:tcPr>
          <w:p>
            <w:pPr>
              <w:spacing w:after="0"/>
              <w:rPr>
                <w:sz w:val="11"/>
                <w:szCs w:val="11"/>
                <w:color w:val="auto"/>
              </w:rPr>
            </w:pPr>
          </w:p>
        </w:tc>
        <w:tc>
          <w:tcPr>
            <w:tcW w:w="1360" w:type="dxa"/>
            <w:vAlign w:val="bottom"/>
            <w:gridSpan w:val="5"/>
            <w:vMerge w:val="continue"/>
          </w:tcPr>
          <w:p>
            <w:pPr>
              <w:spacing w:after="0"/>
              <w:rPr>
                <w:sz w:val="11"/>
                <w:szCs w:val="11"/>
                <w:color w:val="auto"/>
              </w:rPr>
            </w:pPr>
          </w:p>
        </w:tc>
        <w:tc>
          <w:tcPr>
            <w:tcW w:w="840" w:type="dxa"/>
            <w:vAlign w:val="bottom"/>
            <w:gridSpan w:val="4"/>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w w:val="97"/>
              </w:rPr>
              <w:t>common stock</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w w:val="97"/>
              </w:rPr>
              <w:t>Redeemable</w:t>
            </w:r>
          </w:p>
        </w:tc>
        <w:tc>
          <w:tcPr>
            <w:tcW w:w="1380" w:type="dxa"/>
            <w:vAlign w:val="bottom"/>
            <w:tcBorders>
              <w:right w:val="single" w:sz="8" w:color="auto"/>
            </w:tcBorders>
            <w:gridSpan w:val="4"/>
            <w:vMerge w:val="continue"/>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5"/>
              </w:rPr>
              <w:t>paid-in</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3"/>
          </w:tcPr>
          <w:p>
            <w:pPr>
              <w:jc w:val="center"/>
              <w:ind w:right="186"/>
              <w:spacing w:after="0"/>
              <w:rPr>
                <w:sz w:val="20"/>
                <w:szCs w:val="20"/>
                <w:color w:val="auto"/>
              </w:rPr>
            </w:pPr>
            <w:r>
              <w:rPr>
                <w:rFonts w:ascii="Times New Roman" w:cs="Times New Roman" w:eastAsia="Times New Roman" w:hAnsi="Times New Roman"/>
                <w:sz w:val="11"/>
                <w:szCs w:val="11"/>
                <w:b w:val="1"/>
                <w:bCs w:val="1"/>
                <w:color w:val="auto"/>
                <w:w w:val="97"/>
              </w:rPr>
              <w:t>stock</w:t>
            </w: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other comprehensive</w:t>
            </w:r>
          </w:p>
        </w:tc>
        <w:tc>
          <w:tcPr>
            <w:tcW w:w="860" w:type="dxa"/>
            <w:vAlign w:val="bottom"/>
            <w:gridSpan w:val="4"/>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780" w:type="dxa"/>
            <w:vAlign w:val="bottom"/>
            <w:gridSpan w:val="2"/>
          </w:tcPr>
          <w:p>
            <w:pPr>
              <w:jc w:val="center"/>
              <w:ind w:right="82"/>
              <w:spacing w:after="0"/>
              <w:rPr>
                <w:sz w:val="20"/>
                <w:szCs w:val="20"/>
                <w:color w:val="auto"/>
              </w:rPr>
            </w:pPr>
            <w:r>
              <w:rPr>
                <w:rFonts w:ascii="Times New Roman" w:cs="Times New Roman" w:eastAsia="Times New Roman" w:hAnsi="Times New Roman"/>
                <w:sz w:val="11"/>
                <w:szCs w:val="11"/>
                <w:b w:val="1"/>
                <w:bCs w:val="1"/>
                <w:color w:val="auto"/>
                <w:w w:val="99"/>
              </w:rPr>
              <w:t>stockholders'</w:t>
            </w:r>
          </w:p>
        </w:tc>
        <w:tc>
          <w:tcPr>
            <w:tcW w:w="0" w:type="dxa"/>
            <w:vAlign w:val="bottom"/>
          </w:tcPr>
          <w:p>
            <w:pPr>
              <w:spacing w:after="0"/>
              <w:rPr>
                <w:sz w:val="1"/>
                <w:szCs w:val="1"/>
                <w:color w:val="auto"/>
              </w:rPr>
            </w:pPr>
          </w:p>
        </w:tc>
      </w:tr>
      <w:tr>
        <w:trPr>
          <w:trHeight w:val="129"/>
        </w:trPr>
        <w:tc>
          <w:tcPr>
            <w:tcW w:w="1340" w:type="dxa"/>
            <w:vAlign w:val="bottom"/>
          </w:tcPr>
          <w:p>
            <w:pPr>
              <w:spacing w:after="0"/>
              <w:rPr>
                <w:sz w:val="11"/>
                <w:szCs w:val="11"/>
                <w:color w:val="auto"/>
              </w:rPr>
            </w:pPr>
          </w:p>
        </w:tc>
        <w:tc>
          <w:tcPr>
            <w:tcW w:w="66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80" w:type="dxa"/>
            <w:vAlign w:val="bottom"/>
          </w:tcPr>
          <w:p>
            <w:pPr>
              <w:spacing w:after="0"/>
              <w:rPr>
                <w:sz w:val="11"/>
                <w:szCs w:val="11"/>
                <w:color w:val="auto"/>
              </w:rPr>
            </w:pPr>
          </w:p>
        </w:tc>
        <w:tc>
          <w:tcPr>
            <w:tcW w:w="480" w:type="dxa"/>
            <w:vAlign w:val="bottom"/>
          </w:tcPr>
          <w:p>
            <w:pPr>
              <w:jc w:val="center"/>
              <w:ind w:left="146"/>
              <w:spacing w:after="0" w:line="122" w:lineRule="exact"/>
              <w:rPr>
                <w:sz w:val="20"/>
                <w:szCs w:val="20"/>
                <w:color w:val="auto"/>
              </w:rPr>
            </w:pPr>
            <w:r>
              <w:rPr>
                <w:rFonts w:ascii="Times New Roman" w:cs="Times New Roman" w:eastAsia="Times New Roman" w:hAnsi="Times New Roman"/>
                <w:sz w:val="11"/>
                <w:szCs w:val="11"/>
                <w:b w:val="1"/>
                <w:bCs w:val="1"/>
                <w:color w:val="auto"/>
                <w:w w:val="97"/>
              </w:rPr>
              <w:t>issued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b w:val="1"/>
                <w:bCs w:val="1"/>
                <w:color w:val="auto"/>
              </w:rPr>
              <w:t>stock options</w:t>
            </w:r>
          </w:p>
        </w:tc>
        <w:tc>
          <w:tcPr>
            <w:tcW w:w="600" w:type="dxa"/>
            <w:vAlign w:val="bottom"/>
            <w:tcBorders>
              <w:top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right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40" w:type="dxa"/>
            <w:vAlign w:val="bottom"/>
          </w:tcPr>
          <w:p>
            <w:pPr>
              <w:spacing w:after="0"/>
              <w:rPr>
                <w:sz w:val="11"/>
                <w:szCs w:val="11"/>
                <w:color w:val="auto"/>
              </w:rPr>
            </w:pPr>
          </w:p>
        </w:tc>
        <w:tc>
          <w:tcPr>
            <w:tcW w:w="600" w:type="dxa"/>
            <w:vAlign w:val="bottom"/>
            <w:tcBorders>
              <w:top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rPr>
              <w:t>capital</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3"/>
          </w:tcPr>
          <w:p>
            <w:pPr>
              <w:jc w:val="center"/>
              <w:ind w:right="186"/>
              <w:spacing w:after="0" w:line="122" w:lineRule="exact"/>
              <w:rPr>
                <w:sz w:val="20"/>
                <w:szCs w:val="20"/>
                <w:color w:val="auto"/>
              </w:rPr>
            </w:pPr>
            <w:r>
              <w:rPr>
                <w:rFonts w:ascii="Times New Roman" w:cs="Times New Roman" w:eastAsia="Times New Roman" w:hAnsi="Times New Roman"/>
                <w:sz w:val="11"/>
                <w:szCs w:val="11"/>
                <w:b w:val="1"/>
                <w:bCs w:val="1"/>
                <w:color w:val="auto"/>
                <w:w w:val="97"/>
              </w:rPr>
              <w:t>issued</w:t>
            </w:r>
          </w:p>
        </w:tc>
        <w:tc>
          <w:tcPr>
            <w:tcW w:w="110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3"/>
              </w:rPr>
              <w:t>loss</w:t>
            </w:r>
          </w:p>
        </w:tc>
        <w:tc>
          <w:tcPr>
            <w:tcW w:w="140" w:type="dxa"/>
            <w:vAlign w:val="bottom"/>
          </w:tcPr>
          <w:p>
            <w:pPr>
              <w:spacing w:after="0"/>
              <w:rPr>
                <w:sz w:val="11"/>
                <w:szCs w:val="11"/>
                <w:color w:val="auto"/>
              </w:rPr>
            </w:pPr>
          </w:p>
        </w:tc>
        <w:tc>
          <w:tcPr>
            <w:tcW w:w="720" w:type="dxa"/>
            <w:vAlign w:val="bottom"/>
            <w:gridSpan w:val="3"/>
          </w:tcPr>
          <w:p>
            <w:pPr>
              <w:jc w:val="right"/>
              <w:ind w:right="306"/>
              <w:spacing w:after="0" w:line="122" w:lineRule="exact"/>
              <w:rPr>
                <w:sz w:val="20"/>
                <w:szCs w:val="20"/>
                <w:color w:val="auto"/>
              </w:rPr>
            </w:pPr>
            <w:r>
              <w:rPr>
                <w:rFonts w:ascii="Times New Roman" w:cs="Times New Roman" w:eastAsia="Times New Roman" w:hAnsi="Times New Roman"/>
                <w:sz w:val="11"/>
                <w:szCs w:val="11"/>
                <w:b w:val="1"/>
                <w:bCs w:val="1"/>
                <w:color w:val="auto"/>
              </w:rPr>
              <w:t>deficit</w:t>
            </w:r>
          </w:p>
        </w:tc>
        <w:tc>
          <w:tcPr>
            <w:tcW w:w="780" w:type="dxa"/>
            <w:vAlign w:val="bottom"/>
            <w:gridSpan w:val="2"/>
          </w:tcPr>
          <w:p>
            <w:pPr>
              <w:jc w:val="center"/>
              <w:ind w:right="82"/>
              <w:spacing w:after="0" w:line="122" w:lineRule="exact"/>
              <w:rPr>
                <w:sz w:val="20"/>
                <w:szCs w:val="20"/>
                <w:color w:val="auto"/>
              </w:rPr>
            </w:pPr>
            <w:r>
              <w:rPr>
                <w:rFonts w:ascii="Times New Roman" w:cs="Times New Roman" w:eastAsia="Times New Roman" w:hAnsi="Times New Roman"/>
                <w:sz w:val="11"/>
                <w:szCs w:val="11"/>
                <w:b w:val="1"/>
                <w:bCs w:val="1"/>
                <w:color w:val="auto"/>
              </w:rPr>
              <w:t>deficit</w:t>
            </w:r>
          </w:p>
        </w:tc>
        <w:tc>
          <w:tcPr>
            <w:tcW w:w="0" w:type="dxa"/>
            <w:vAlign w:val="bottom"/>
          </w:tcPr>
          <w:p>
            <w:pPr>
              <w:spacing w:after="0"/>
              <w:rPr>
                <w:sz w:val="1"/>
                <w:szCs w:val="1"/>
                <w:color w:val="auto"/>
              </w:rPr>
            </w:pPr>
          </w:p>
        </w:tc>
      </w:tr>
      <w:tr>
        <w:trPr>
          <w:trHeight w:val="101"/>
        </w:trPr>
        <w:tc>
          <w:tcPr>
            <w:tcW w:w="1340" w:type="dxa"/>
            <w:vAlign w:val="bottom"/>
          </w:tcPr>
          <w:p>
            <w:pPr>
              <w:ind w:left="20"/>
              <w:spacing w:after="0" w:line="102" w:lineRule="exact"/>
              <w:rPr>
                <w:sz w:val="20"/>
                <w:szCs w:val="20"/>
                <w:color w:val="auto"/>
              </w:rPr>
            </w:pPr>
            <w:r>
              <w:rPr>
                <w:rFonts w:ascii="Times New Roman" w:cs="Times New Roman" w:eastAsia="Times New Roman" w:hAnsi="Times New Roman"/>
                <w:sz w:val="11"/>
                <w:szCs w:val="11"/>
                <w:color w:val="auto"/>
              </w:rPr>
              <w:t>Balance at December 31,</w:t>
            </w:r>
          </w:p>
        </w:tc>
        <w:tc>
          <w:tcPr>
            <w:tcW w:w="5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0" w:type="dxa"/>
            <w:vAlign w:val="bottom"/>
            <w:tcBorders>
              <w:top w:val="single" w:sz="8" w:color="auto"/>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2020</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3,813,450</w:t>
            </w:r>
          </w:p>
        </w:tc>
        <w:tc>
          <w:tcPr>
            <w:tcW w:w="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80,780</w:t>
            </w:r>
          </w:p>
        </w:tc>
        <w:tc>
          <w:tcPr>
            <w:tcW w:w="80" w:type="dxa"/>
            <w:vAlign w:val="bottom"/>
          </w:tcPr>
          <w:p>
            <w:pPr>
              <w:spacing w:after="0"/>
              <w:rPr>
                <w:sz w:val="11"/>
                <w:szCs w:val="11"/>
                <w:color w:val="auto"/>
              </w:rPr>
            </w:pPr>
          </w:p>
        </w:tc>
        <w:tc>
          <w:tcPr>
            <w:tcW w:w="48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w w:val="97"/>
              </w:rPr>
              <w:t>(803 ) $</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53,085</w:t>
            </w: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14,376,272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right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353,300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560" w:type="dxa"/>
            <w:vAlign w:val="bottom"/>
            <w:gridSpan w:val="2"/>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1240" w:type="dxa"/>
            <w:vAlign w:val="bottom"/>
            <w:gridSpan w:val="3"/>
          </w:tcPr>
          <w:p>
            <w:pPr>
              <w:jc w:val="right"/>
              <w:ind w:right="26"/>
              <w:spacing w:after="0"/>
              <w:rPr>
                <w:sz w:val="20"/>
                <w:szCs w:val="20"/>
                <w:color w:val="auto"/>
              </w:rPr>
            </w:pPr>
            <w:r>
              <w:rPr>
                <w:rFonts w:ascii="Times New Roman" w:cs="Times New Roman" w:eastAsia="Times New Roman" w:hAnsi="Times New Roman"/>
                <w:sz w:val="11"/>
                <w:szCs w:val="11"/>
                <w:color w:val="auto"/>
              </w:rPr>
              <w:t>(3 ) $</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(430,588 )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(430,591 )</w:t>
            </w:r>
          </w:p>
        </w:tc>
        <w:tc>
          <w:tcPr>
            <w:tcW w:w="0" w:type="dxa"/>
            <w:vAlign w:val="bottom"/>
          </w:tcPr>
          <w:p>
            <w:pPr>
              <w:spacing w:after="0"/>
              <w:rPr>
                <w:sz w:val="1"/>
                <w:szCs w:val="1"/>
                <w:color w:val="auto"/>
              </w:rPr>
            </w:pPr>
          </w:p>
        </w:tc>
      </w:tr>
      <w:tr>
        <w:trPr>
          <w:trHeight w:val="144"/>
        </w:trPr>
        <w:tc>
          <w:tcPr>
            <w:tcW w:w="1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Exercise of stock options</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280,545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6,922</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(5,715 )</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right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340" w:type="dxa"/>
            <w:vAlign w:val="bottom"/>
            <w:shd w:val="clear" w:color="auto" w:fill="CFF0FC"/>
          </w:tcPr>
          <w:p>
            <w:pPr>
              <w:ind w:left="20"/>
              <w:spacing w:after="0" w:line="112" w:lineRule="exact"/>
              <w:rPr>
                <w:sz w:val="20"/>
                <w:szCs w:val="20"/>
                <w:color w:val="auto"/>
              </w:rPr>
            </w:pPr>
            <w:r>
              <w:rPr>
                <w:rFonts w:ascii="Times New Roman" w:cs="Times New Roman" w:eastAsia="Times New Roman" w:hAnsi="Times New Roman"/>
                <w:sz w:val="11"/>
                <w:szCs w:val="11"/>
                <w:color w:val="auto"/>
              </w:rPr>
              <w:t>Stock-based compensation</w:t>
            </w:r>
          </w:p>
        </w:tc>
        <w:tc>
          <w:tcPr>
            <w:tcW w:w="5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tcBorders>
              <w:right w:val="single" w:sz="8" w:color="auto"/>
            </w:tcBorders>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expense</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tcBorders>
              <w:right w:val="single" w:sz="8" w:color="auto"/>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1,239</w:t>
            </w: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1,239</w:t>
            </w: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34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Unrealized gain on short-</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40" w:type="dxa"/>
            <w:vAlign w:val="bottom"/>
          </w:tcPr>
          <w:p>
            <w:pPr>
              <w:ind w:left="20"/>
              <w:spacing w:after="0" w:line="109" w:lineRule="exact"/>
              <w:rPr>
                <w:sz w:val="20"/>
                <w:szCs w:val="20"/>
                <w:color w:val="auto"/>
              </w:rPr>
            </w:pPr>
            <w:r>
              <w:rPr>
                <w:rFonts w:ascii="Times New Roman" w:cs="Times New Roman" w:eastAsia="Times New Roman" w:hAnsi="Times New Roman"/>
                <w:sz w:val="11"/>
                <w:szCs w:val="11"/>
                <w:color w:val="auto"/>
              </w:rPr>
              <w:t>term</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4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investments and cash</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equivalents, net of tax</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right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3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Foreign currency translation</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adjustment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right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(4 )</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(4 )</w:t>
            </w:r>
          </w:p>
        </w:tc>
        <w:tc>
          <w:tcPr>
            <w:tcW w:w="0" w:type="dxa"/>
            <w:vAlign w:val="bottom"/>
          </w:tcPr>
          <w:p>
            <w:pPr>
              <w:spacing w:after="0"/>
              <w:rPr>
                <w:sz w:val="1"/>
                <w:szCs w:val="1"/>
                <w:color w:val="auto"/>
              </w:rPr>
            </w:pPr>
          </w:p>
        </w:tc>
      </w:tr>
      <w:tr>
        <w:trPr>
          <w:trHeight w:val="121"/>
        </w:trPr>
        <w:tc>
          <w:tcPr>
            <w:tcW w:w="13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Change in notes receivable</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for common stock issued</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(14 )</w:t>
            </w: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right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340" w:type="dxa"/>
            <w:vAlign w:val="bottom"/>
            <w:shd w:val="clear" w:color="auto" w:fill="CFF0FC"/>
          </w:tcPr>
          <w:p>
            <w:pPr>
              <w:ind w:left="20"/>
              <w:spacing w:after="0" w:line="112" w:lineRule="exact"/>
              <w:rPr>
                <w:sz w:val="20"/>
                <w:szCs w:val="20"/>
                <w:color w:val="auto"/>
              </w:rPr>
            </w:pPr>
            <w:r>
              <w:rPr>
                <w:rFonts w:ascii="Times New Roman" w:cs="Times New Roman" w:eastAsia="Times New Roman" w:hAnsi="Times New Roman"/>
                <w:sz w:val="11"/>
                <w:szCs w:val="11"/>
                <w:color w:val="auto"/>
              </w:rPr>
              <w:t>Reclassification of</w:t>
            </w:r>
          </w:p>
        </w:tc>
        <w:tc>
          <w:tcPr>
            <w:tcW w:w="5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tcBorders>
              <w:right w:val="single" w:sz="8" w:color="auto"/>
            </w:tcBorders>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40" w:type="dxa"/>
            <w:vAlign w:val="bottom"/>
            <w:shd w:val="clear" w:color="auto" w:fill="CFF0FC"/>
          </w:tcPr>
          <w:p>
            <w:pPr>
              <w:ind w:left="20"/>
              <w:spacing w:after="0" w:line="109" w:lineRule="exact"/>
              <w:rPr>
                <w:sz w:val="20"/>
                <w:szCs w:val="20"/>
                <w:color w:val="auto"/>
              </w:rPr>
            </w:pPr>
            <w:r>
              <w:rPr>
                <w:rFonts w:ascii="Times New Roman" w:cs="Times New Roman" w:eastAsia="Times New Roman" w:hAnsi="Times New Roman"/>
                <w:sz w:val="11"/>
                <w:szCs w:val="11"/>
                <w:color w:val="auto"/>
              </w:rPr>
              <w:t>4,093,995 shares of</w:t>
            </w:r>
          </w:p>
        </w:tc>
        <w:tc>
          <w:tcPr>
            <w:tcW w:w="5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tcBorders>
              <w:right w:val="single" w:sz="8" w:color="auto"/>
            </w:tcBorders>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4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redeemable common stock to</w:t>
            </w:r>
          </w:p>
        </w:tc>
        <w:tc>
          <w:tcPr>
            <w:tcW w:w="5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tcBorders>
              <w:right w:val="single" w:sz="8" w:color="auto"/>
            </w:tcBorders>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34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4,093,995 shares of common</w:t>
            </w:r>
          </w:p>
        </w:tc>
        <w:tc>
          <w:tcPr>
            <w:tcW w:w="5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stock</w:t>
            </w: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(4,093,995 )</w:t>
            </w:r>
          </w:p>
        </w:tc>
        <w:tc>
          <w:tcPr>
            <w:tcW w:w="10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(87,702 )</w:t>
            </w:r>
          </w:p>
        </w:tc>
        <w:tc>
          <w:tcPr>
            <w:tcW w:w="48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817</w:t>
            </w: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tcBorders>
              <w:right w:val="single" w:sz="8" w:color="auto"/>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4,093,995</w:t>
            </w:r>
          </w:p>
        </w:tc>
        <w:tc>
          <w:tcPr>
            <w:tcW w:w="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4</w:t>
            </w: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87,698</w:t>
            </w: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(817 )</w:t>
            </w: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86,885</w:t>
            </w: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34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Reclassification of</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40" w:type="dxa"/>
            <w:vAlign w:val="bottom"/>
          </w:tcPr>
          <w:p>
            <w:pPr>
              <w:ind w:left="20"/>
              <w:spacing w:after="0" w:line="109" w:lineRule="exact"/>
              <w:rPr>
                <w:sz w:val="20"/>
                <w:szCs w:val="20"/>
                <w:color w:val="auto"/>
              </w:rPr>
            </w:pPr>
            <w:r>
              <w:rPr>
                <w:rFonts w:ascii="Times New Roman" w:cs="Times New Roman" w:eastAsia="Times New Roman" w:hAnsi="Times New Roman"/>
                <w:sz w:val="11"/>
                <w:szCs w:val="11"/>
                <w:color w:val="auto"/>
              </w:rPr>
              <w:t>redeemable common stock</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4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options to common stock</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options</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(47,370 )</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right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47,370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47,370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right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(6,805 )</w:t>
            </w:r>
          </w:p>
        </w:tc>
        <w:tc>
          <w:tcPr>
            <w:tcW w:w="80" w:type="dxa"/>
            <w:vAlign w:val="bottom"/>
          </w:tcPr>
          <w:p>
            <w:pPr>
              <w:spacing w:after="0"/>
              <w:rPr>
                <w:sz w:val="12"/>
                <w:szCs w:val="12"/>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(6,805 )</w:t>
            </w:r>
          </w:p>
        </w:tc>
        <w:tc>
          <w:tcPr>
            <w:tcW w:w="0" w:type="dxa"/>
            <w:vAlign w:val="bottom"/>
          </w:tcPr>
          <w:p>
            <w:pPr>
              <w:spacing w:after="0"/>
              <w:rPr>
                <w:sz w:val="1"/>
                <w:szCs w:val="1"/>
                <w:color w:val="auto"/>
              </w:rPr>
            </w:pPr>
          </w:p>
        </w:tc>
      </w:tr>
      <w:tr>
        <w:trPr>
          <w:trHeight w:val="128"/>
        </w:trPr>
        <w:tc>
          <w:tcPr>
            <w:tcW w:w="1340" w:type="dxa"/>
            <w:vAlign w:val="bottom"/>
          </w:tcPr>
          <w:p>
            <w:pPr>
              <w:spacing w:after="0"/>
              <w:rPr>
                <w:sz w:val="11"/>
                <w:szCs w:val="11"/>
                <w:color w:val="auto"/>
              </w:rPr>
            </w:pPr>
          </w:p>
        </w:tc>
        <w:tc>
          <w:tcPr>
            <w:tcW w:w="580" w:type="dxa"/>
            <w:vAlign w:val="bottom"/>
            <w:tcBorders>
              <w:top w:val="single" w:sz="8" w:color="auto"/>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80" w:type="dxa"/>
            <w:vAlign w:val="bottom"/>
            <w:vMerge w:val="restart"/>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top w:val="single" w:sz="8" w:color="auto"/>
              <w:bottom w:val="single" w:sz="8" w:color="auto"/>
            </w:tcBorders>
          </w:tcPr>
          <w:p>
            <w:pPr>
              <w:spacing w:after="0"/>
              <w:rPr>
                <w:sz w:val="11"/>
                <w:szCs w:val="11"/>
                <w:color w:val="auto"/>
              </w:rPr>
            </w:pPr>
          </w:p>
        </w:tc>
        <w:tc>
          <w:tcPr>
            <w:tcW w:w="80" w:type="dxa"/>
            <w:vAlign w:val="bottom"/>
            <w:vMerge w:val="restart"/>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right w:val="single" w:sz="8" w:color="auto"/>
            </w:tcBorders>
          </w:tcPr>
          <w:p>
            <w:pPr>
              <w:spacing w:after="0"/>
              <w:rPr>
                <w:sz w:val="11"/>
                <w:szCs w:val="11"/>
                <w:color w:val="auto"/>
              </w:rPr>
            </w:pPr>
          </w:p>
        </w:tc>
        <w:tc>
          <w:tcPr>
            <w:tcW w:w="40" w:type="dxa"/>
            <w:vAlign w:val="bottom"/>
            <w:vMerge w:val="restart"/>
          </w:tcPr>
          <w:p>
            <w:pPr>
              <w:spacing w:after="0"/>
              <w:rPr>
                <w:sz w:val="11"/>
                <w:szCs w:val="11"/>
                <w:color w:val="auto"/>
              </w:rPr>
            </w:pPr>
          </w:p>
        </w:tc>
        <w:tc>
          <w:tcPr>
            <w:tcW w:w="600" w:type="dxa"/>
            <w:vAlign w:val="bottom"/>
            <w:tcBorders>
              <w:top w:val="single" w:sz="8" w:color="auto"/>
              <w:bottom w:val="single" w:sz="8" w:color="auto"/>
            </w:tcBorders>
          </w:tcPr>
          <w:p>
            <w:pPr>
              <w:spacing w:after="0"/>
              <w:rPr>
                <w:sz w:val="11"/>
                <w:szCs w:val="11"/>
                <w:color w:val="auto"/>
              </w:rPr>
            </w:pPr>
          </w:p>
        </w:tc>
        <w:tc>
          <w:tcPr>
            <w:tcW w:w="40" w:type="dxa"/>
            <w:vAlign w:val="bottom"/>
            <w:vMerge w:val="restart"/>
          </w:tcPr>
          <w:p>
            <w:pPr>
              <w:spacing w:after="0"/>
              <w:rPr>
                <w:sz w:val="11"/>
                <w:szCs w:val="11"/>
                <w:color w:val="auto"/>
              </w:rPr>
            </w:pPr>
          </w:p>
        </w:tc>
        <w:tc>
          <w:tcPr>
            <w:tcW w:w="52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0" w:type="dxa"/>
            <w:vAlign w:val="bottom"/>
            <w:vMerge w:val="restart"/>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spacing w:after="0"/>
              <w:rPr>
                <w:sz w:val="11"/>
                <w:szCs w:val="11"/>
                <w:color w:val="auto"/>
              </w:rPr>
            </w:pPr>
          </w:p>
        </w:tc>
        <w:tc>
          <w:tcPr>
            <w:tcW w:w="40" w:type="dxa"/>
            <w:vAlign w:val="bottom"/>
            <w:vMerge w:val="restart"/>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spacing w:after="0"/>
              <w:rPr>
                <w:sz w:val="11"/>
                <w:szCs w:val="11"/>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auto"/>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spacing w:after="0"/>
              <w:rPr>
                <w:sz w:val="11"/>
                <w:szCs w:val="11"/>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spacing w:after="0"/>
              <w:rPr>
                <w:sz w:val="11"/>
                <w:szCs w:val="11"/>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42"/>
        </w:trPr>
        <w:tc>
          <w:tcPr>
            <w:tcW w:w="1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at March 31, 2021</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48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vMerge w:val="continue"/>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14,376,272</w:t>
            </w:r>
          </w:p>
        </w:tc>
        <w:tc>
          <w:tcPr>
            <w:tcW w:w="80" w:type="dxa"/>
            <w:vAlign w:val="bottom"/>
            <w:vMerge w:val="continue"/>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right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353,300</w:t>
            </w:r>
          </w:p>
        </w:tc>
        <w:tc>
          <w:tcPr>
            <w:tcW w:w="40" w:type="dxa"/>
            <w:vAlign w:val="bottom"/>
            <w:vMerge w:val="continue"/>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4,093,996</w:t>
            </w:r>
          </w:p>
        </w:tc>
        <w:tc>
          <w:tcPr>
            <w:tcW w:w="40" w:type="dxa"/>
            <w:vAlign w:val="bottom"/>
            <w:vMerge w:val="continue"/>
          </w:tcPr>
          <w:p>
            <w:pPr>
              <w:spacing w:after="0"/>
              <w:rPr>
                <w:sz w:val="12"/>
                <w:szCs w:val="12"/>
                <w:color w:val="auto"/>
              </w:rPr>
            </w:pPr>
          </w:p>
        </w:tc>
        <w:tc>
          <w:tcPr>
            <w:tcW w:w="52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4</w:t>
            </w:r>
          </w:p>
        </w:tc>
        <w:tc>
          <w:tcPr>
            <w:tcW w:w="40" w:type="dxa"/>
            <w:vAlign w:val="bottom"/>
            <w:vMerge w:val="continue"/>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136,307</w:t>
            </w:r>
          </w:p>
        </w:tc>
        <w:tc>
          <w:tcPr>
            <w:tcW w:w="40" w:type="dxa"/>
            <w:vAlign w:val="bottom"/>
            <w:vMerge w:val="continue"/>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(817</w:t>
            </w:r>
          </w:p>
        </w:tc>
        <w:tc>
          <w:tcPr>
            <w:tcW w:w="60" w:type="dxa"/>
            <w:vAlign w:val="bottom"/>
            <w:vMerge w:val="continue"/>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(437,393</w:t>
            </w:r>
          </w:p>
        </w:tc>
        <w:tc>
          <w:tcPr>
            <w:tcW w:w="60" w:type="dxa"/>
            <w:vAlign w:val="bottom"/>
            <w:vMerge w:val="continue"/>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(301,899</w:t>
            </w: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-2116455</wp:posOffset>
            </wp:positionV>
            <wp:extent cx="7132320" cy="163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-1397000</wp:posOffset>
            </wp:positionV>
            <wp:extent cx="7132320" cy="1631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939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RxSIGHT,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jc w:val="center"/>
        <w:spacing w:after="0"/>
        <w:rPr>
          <w:sz w:val="20"/>
          <w:szCs w:val="20"/>
          <w:color w:val="auto"/>
        </w:rPr>
      </w:pPr>
      <w:r>
        <w:rPr>
          <w:rFonts w:ascii="Times New Roman" w:cs="Times New Roman" w:eastAsia="Times New Roman" w:hAnsi="Times New Roman"/>
          <w:sz w:val="20"/>
          <w:szCs w:val="20"/>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40" w:type="dxa"/>
            <w:vAlign w:val="bottom"/>
          </w:tcPr>
          <w:p>
            <w:pPr>
              <w:spacing w:after="0"/>
              <w:rPr>
                <w:sz w:val="15"/>
                <w:szCs w:val="15"/>
                <w:color w:val="auto"/>
              </w:rPr>
            </w:pPr>
          </w:p>
        </w:tc>
        <w:tc>
          <w:tcPr>
            <w:tcW w:w="2960" w:type="dxa"/>
            <w:vAlign w:val="bottom"/>
            <w:gridSpan w:val="4"/>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7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64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080" w:type="dxa"/>
            <w:vAlign w:val="bottom"/>
            <w:shd w:val="clear" w:color="auto" w:fill="CFF0FC"/>
          </w:tcPr>
          <w:p>
            <w:pPr>
              <w:jc w:val="right"/>
              <w:ind w:right="90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(17,596 )</w:t>
            </w:r>
          </w:p>
        </w:tc>
        <w:tc>
          <w:tcPr>
            <w:tcW w:w="1060" w:type="dxa"/>
            <w:vAlign w:val="bottom"/>
            <w:shd w:val="clear" w:color="auto" w:fill="CFF0FC"/>
          </w:tcPr>
          <w:p>
            <w:pPr>
              <w:jc w:val="right"/>
              <w:ind w:right="90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(6,805 )</w:t>
            </w:r>
          </w:p>
        </w:tc>
        <w:tc>
          <w:tcPr>
            <w:tcW w:w="0" w:type="dxa"/>
            <w:vAlign w:val="bottom"/>
          </w:tcPr>
          <w:p>
            <w:pPr>
              <w:spacing w:after="0"/>
              <w:rPr>
                <w:sz w:val="1"/>
                <w:szCs w:val="1"/>
                <w:color w:val="auto"/>
              </w:rPr>
            </w:pPr>
          </w:p>
        </w:tc>
      </w:tr>
      <w:tr>
        <w:trPr>
          <w:trHeight w:val="175"/>
        </w:trPr>
        <w:tc>
          <w:tcPr>
            <w:tcW w:w="7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w:t>
            </w: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0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1,016</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958</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Amortization of right-of-use lease assets</w:t>
            </w:r>
          </w:p>
        </w:tc>
        <w:tc>
          <w:tcPr>
            <w:tcW w:w="10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Amortization of debt issuance costs and premium</w:t>
            </w:r>
          </w:p>
        </w:tc>
        <w:tc>
          <w:tcPr>
            <w:tcW w:w="10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Gain on expiration of warrant</w:t>
            </w:r>
          </w:p>
        </w:tc>
        <w:tc>
          <w:tcPr>
            <w:tcW w:w="1080" w:type="dxa"/>
            <w:vAlign w:val="bottom"/>
          </w:tcPr>
          <w:p>
            <w:pPr>
              <w:spacing w:after="0"/>
              <w:rPr>
                <w:sz w:val="15"/>
                <w:szCs w:val="15"/>
                <w:color w:val="auto"/>
              </w:rPr>
            </w:pPr>
          </w:p>
        </w:tc>
        <w:tc>
          <w:tcPr>
            <w:tcW w:w="82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spacing w:after="0"/>
              <w:rPr>
                <w:sz w:val="15"/>
                <w:szCs w:val="15"/>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(5,018 )</w:t>
            </w:r>
          </w:p>
        </w:tc>
        <w:tc>
          <w:tcPr>
            <w:tcW w:w="0" w:type="dxa"/>
            <w:vAlign w:val="bottom"/>
          </w:tcPr>
          <w:p>
            <w:pPr>
              <w:spacing w:after="0"/>
              <w:rPr>
                <w:sz w:val="1"/>
                <w:szCs w:val="1"/>
                <w:color w:val="auto"/>
              </w:rPr>
            </w:pPr>
          </w:p>
        </w:tc>
      </w:tr>
      <w:tr>
        <w:trPr>
          <w:trHeight w:val="176"/>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Amortization of discount on short-term investments</w:t>
            </w:r>
          </w:p>
        </w:tc>
        <w:tc>
          <w:tcPr>
            <w:tcW w:w="10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(47 )</w:t>
            </w:r>
          </w:p>
        </w:tc>
        <w:tc>
          <w:tcPr>
            <w:tcW w:w="106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176"/>
        </w:trPr>
        <w:tc>
          <w:tcPr>
            <w:tcW w:w="76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2,649</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Provision for excess and obsolete inventory</w:t>
            </w:r>
          </w:p>
        </w:tc>
        <w:tc>
          <w:tcPr>
            <w:tcW w:w="10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(7 )</w:t>
            </w:r>
          </w:p>
        </w:tc>
        <w:tc>
          <w:tcPr>
            <w:tcW w:w="0" w:type="dxa"/>
            <w:vAlign w:val="bottom"/>
          </w:tcPr>
          <w:p>
            <w:pPr>
              <w:spacing w:after="0"/>
              <w:rPr>
                <w:sz w:val="1"/>
                <w:szCs w:val="1"/>
                <w:color w:val="auto"/>
              </w:rPr>
            </w:pPr>
          </w:p>
        </w:tc>
      </w:tr>
      <w:tr>
        <w:trPr>
          <w:trHeight w:val="175"/>
        </w:trPr>
        <w:tc>
          <w:tcPr>
            <w:tcW w:w="76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Change in operating assets and liabilities:</w:t>
            </w: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Accounts receivable</w:t>
            </w:r>
          </w:p>
        </w:tc>
        <w:tc>
          <w:tcPr>
            <w:tcW w:w="10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(764 )</w:t>
            </w:r>
          </w:p>
        </w:tc>
        <w:tc>
          <w:tcPr>
            <w:tcW w:w="10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Inventories</w:t>
            </w:r>
          </w:p>
        </w:tc>
        <w:tc>
          <w:tcPr>
            <w:tcW w:w="1080" w:type="dxa"/>
            <w:vAlign w:val="bottom"/>
          </w:tcPr>
          <w:p>
            <w:pPr>
              <w:spacing w:after="0"/>
              <w:rPr>
                <w:sz w:val="15"/>
                <w:szCs w:val="15"/>
                <w:color w:val="auto"/>
              </w:rPr>
            </w:pPr>
          </w:p>
        </w:tc>
        <w:tc>
          <w:tcPr>
            <w:tcW w:w="8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(530 )</w:t>
            </w:r>
          </w:p>
        </w:tc>
        <w:tc>
          <w:tcPr>
            <w:tcW w:w="1060" w:type="dxa"/>
            <w:vAlign w:val="bottom"/>
          </w:tcPr>
          <w:p>
            <w:pPr>
              <w:spacing w:after="0"/>
              <w:rPr>
                <w:sz w:val="15"/>
                <w:szCs w:val="15"/>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(1,465 )</w:t>
            </w:r>
          </w:p>
        </w:tc>
        <w:tc>
          <w:tcPr>
            <w:tcW w:w="0" w:type="dxa"/>
            <w:vAlign w:val="bottom"/>
          </w:tcPr>
          <w:p>
            <w:pPr>
              <w:spacing w:after="0"/>
              <w:rPr>
                <w:sz w:val="1"/>
                <w:szCs w:val="1"/>
                <w:color w:val="auto"/>
              </w:rPr>
            </w:pPr>
          </w:p>
        </w:tc>
      </w:tr>
      <w:tr>
        <w:trPr>
          <w:trHeight w:val="175"/>
        </w:trPr>
        <w:tc>
          <w:tcPr>
            <w:tcW w:w="7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Prepaid and other assets</w:t>
            </w:r>
          </w:p>
        </w:tc>
        <w:tc>
          <w:tcPr>
            <w:tcW w:w="10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(89 )</w:t>
            </w:r>
          </w:p>
        </w:tc>
        <w:tc>
          <w:tcPr>
            <w:tcW w:w="0" w:type="dxa"/>
            <w:vAlign w:val="bottom"/>
          </w:tcPr>
          <w:p>
            <w:pPr>
              <w:spacing w:after="0"/>
              <w:rPr>
                <w:sz w:val="1"/>
                <w:szCs w:val="1"/>
                <w:color w:val="auto"/>
              </w:rPr>
            </w:pPr>
          </w:p>
        </w:tc>
      </w:tr>
      <w:tr>
        <w:trPr>
          <w:trHeight w:val="176"/>
        </w:trPr>
        <w:tc>
          <w:tcPr>
            <w:tcW w:w="76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Accounts payable</w:t>
            </w:r>
          </w:p>
        </w:tc>
        <w:tc>
          <w:tcPr>
            <w:tcW w:w="10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Accrued expenses and other liabilities</w:t>
            </w:r>
          </w:p>
        </w:tc>
        <w:tc>
          <w:tcPr>
            <w:tcW w:w="10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(1,450 )</w:t>
            </w:r>
          </w:p>
        </w:tc>
        <w:tc>
          <w:tcPr>
            <w:tcW w:w="106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(498 )</w:t>
            </w:r>
          </w:p>
        </w:tc>
        <w:tc>
          <w:tcPr>
            <w:tcW w:w="0" w:type="dxa"/>
            <w:vAlign w:val="bottom"/>
          </w:tcPr>
          <w:p>
            <w:pPr>
              <w:spacing w:after="0"/>
              <w:rPr>
                <w:sz w:val="1"/>
                <w:szCs w:val="1"/>
                <w:color w:val="auto"/>
              </w:rPr>
            </w:pPr>
          </w:p>
        </w:tc>
      </w:tr>
      <w:tr>
        <w:trPr>
          <w:trHeight w:val="20"/>
        </w:trPr>
        <w:tc>
          <w:tcPr>
            <w:tcW w:w="764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64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Net cash used in operating activities</w:t>
            </w:r>
          </w:p>
        </w:tc>
        <w:tc>
          <w:tcPr>
            <w:tcW w:w="1080" w:type="dxa"/>
            <w:vAlign w:val="bottom"/>
          </w:tcPr>
          <w:p>
            <w:pPr>
              <w:spacing w:after="0"/>
              <w:rPr>
                <w:sz w:val="14"/>
                <w:szCs w:val="14"/>
                <w:color w:val="auto"/>
              </w:rPr>
            </w:pPr>
          </w:p>
        </w:tc>
        <w:tc>
          <w:tcPr>
            <w:tcW w:w="8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(14,985 )</w:t>
            </w:r>
          </w:p>
        </w:tc>
        <w:tc>
          <w:tcPr>
            <w:tcW w:w="106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(10,252 )</w:t>
            </w:r>
          </w:p>
        </w:tc>
        <w:tc>
          <w:tcPr>
            <w:tcW w:w="0" w:type="dxa"/>
            <w:vAlign w:val="bottom"/>
          </w:tcPr>
          <w:p>
            <w:pPr>
              <w:spacing w:after="0"/>
              <w:rPr>
                <w:sz w:val="1"/>
                <w:szCs w:val="1"/>
                <w:color w:val="auto"/>
              </w:rPr>
            </w:pPr>
          </w:p>
        </w:tc>
      </w:tr>
      <w:tr>
        <w:trPr>
          <w:trHeight w:val="169"/>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Investing Activities:</w:t>
            </w:r>
          </w:p>
        </w:tc>
        <w:tc>
          <w:tcPr>
            <w:tcW w:w="108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 of property and equipment</w:t>
            </w:r>
          </w:p>
        </w:tc>
        <w:tc>
          <w:tcPr>
            <w:tcW w:w="1080" w:type="dxa"/>
            <w:vAlign w:val="bottom"/>
          </w:tcPr>
          <w:p>
            <w:pPr>
              <w:spacing w:after="0"/>
              <w:rPr>
                <w:sz w:val="15"/>
                <w:szCs w:val="15"/>
                <w:color w:val="auto"/>
              </w:rPr>
            </w:pPr>
          </w:p>
        </w:tc>
        <w:tc>
          <w:tcPr>
            <w:tcW w:w="8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(370 )</w:t>
            </w:r>
          </w:p>
        </w:tc>
        <w:tc>
          <w:tcPr>
            <w:tcW w:w="1060" w:type="dxa"/>
            <w:vAlign w:val="bottom"/>
          </w:tcPr>
          <w:p>
            <w:pPr>
              <w:spacing w:after="0"/>
              <w:rPr>
                <w:sz w:val="15"/>
                <w:szCs w:val="15"/>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(498 )</w:t>
            </w:r>
          </w:p>
        </w:tc>
        <w:tc>
          <w:tcPr>
            <w:tcW w:w="0" w:type="dxa"/>
            <w:vAlign w:val="bottom"/>
          </w:tcPr>
          <w:p>
            <w:pPr>
              <w:spacing w:after="0"/>
              <w:rPr>
                <w:sz w:val="1"/>
                <w:szCs w:val="1"/>
                <w:color w:val="auto"/>
              </w:rPr>
            </w:pPr>
          </w:p>
        </w:tc>
      </w:tr>
      <w:tr>
        <w:trPr>
          <w:trHeight w:val="175"/>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Maturity of short-term investments</w:t>
            </w:r>
          </w:p>
        </w:tc>
        <w:tc>
          <w:tcPr>
            <w:tcW w:w="10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90,000</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Purchases of short-term investments</w:t>
            </w:r>
          </w:p>
        </w:tc>
        <w:tc>
          <w:tcPr>
            <w:tcW w:w="1080" w:type="dxa"/>
            <w:vAlign w:val="bottom"/>
          </w:tcPr>
          <w:p>
            <w:pPr>
              <w:spacing w:after="0"/>
              <w:rPr>
                <w:sz w:val="15"/>
                <w:szCs w:val="15"/>
                <w:color w:val="auto"/>
              </w:rPr>
            </w:pPr>
          </w:p>
        </w:tc>
        <w:tc>
          <w:tcPr>
            <w:tcW w:w="8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(74,771 )</w:t>
            </w:r>
          </w:p>
        </w:tc>
        <w:tc>
          <w:tcPr>
            <w:tcW w:w="1060" w:type="dxa"/>
            <w:vAlign w:val="bottom"/>
          </w:tcPr>
          <w:p>
            <w:pPr>
              <w:spacing w:after="0"/>
              <w:rPr>
                <w:sz w:val="15"/>
                <w:szCs w:val="15"/>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(4,999 )</w:t>
            </w:r>
          </w:p>
        </w:tc>
        <w:tc>
          <w:tcPr>
            <w:tcW w:w="0" w:type="dxa"/>
            <w:vAlign w:val="bottom"/>
          </w:tcPr>
          <w:p>
            <w:pPr>
              <w:spacing w:after="0"/>
              <w:rPr>
                <w:sz w:val="1"/>
                <w:szCs w:val="1"/>
                <w:color w:val="auto"/>
              </w:rPr>
            </w:pPr>
          </w:p>
        </w:tc>
      </w:tr>
      <w:tr>
        <w:trPr>
          <w:trHeight w:val="169"/>
        </w:trPr>
        <w:tc>
          <w:tcPr>
            <w:tcW w:w="76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3"/>
                <w:szCs w:val="13"/>
                <w:color w:val="auto"/>
              </w:rPr>
              <w:t>Net cash provided by investing activities</w:t>
            </w:r>
          </w:p>
        </w:tc>
        <w:tc>
          <w:tcPr>
            <w:tcW w:w="1080" w:type="dxa"/>
            <w:vAlign w:val="bottom"/>
            <w:tcBorders>
              <w:top w:val="single" w:sz="8" w:color="auto"/>
              <w:bottom w:val="single" w:sz="8" w:color="auto"/>
            </w:tcBorders>
            <w:shd w:val="clear" w:color="auto" w:fill="CFF0FC"/>
          </w:tcPr>
          <w:p>
            <w:pPr>
              <w:spacing w:after="0"/>
              <w:rPr>
                <w:sz w:val="14"/>
                <w:szCs w:val="14"/>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14,859</w:t>
            </w:r>
          </w:p>
        </w:tc>
        <w:tc>
          <w:tcPr>
            <w:tcW w:w="260" w:type="dxa"/>
            <w:vAlign w:val="bottom"/>
            <w:tcBorders>
              <w:bottom w:val="single" w:sz="8" w:color="CFF0FC"/>
            </w:tcBorders>
            <w:shd w:val="clear" w:color="auto" w:fill="CFF0FC"/>
          </w:tcPr>
          <w:p>
            <w:pPr>
              <w:spacing w:after="0"/>
              <w:rPr>
                <w:sz w:val="14"/>
                <w:szCs w:val="14"/>
                <w:color w:val="auto"/>
              </w:rPr>
            </w:pPr>
          </w:p>
        </w:tc>
        <w:tc>
          <w:tcPr>
            <w:tcW w:w="1060" w:type="dxa"/>
            <w:vAlign w:val="bottom"/>
            <w:tcBorders>
              <w:top w:val="single" w:sz="8" w:color="auto"/>
              <w:bottom w:val="single" w:sz="8" w:color="auto"/>
            </w:tcBorders>
            <w:shd w:val="clear" w:color="auto" w:fill="CFF0FC"/>
          </w:tcPr>
          <w:p>
            <w:pPr>
              <w:spacing w:after="0"/>
              <w:rPr>
                <w:sz w:val="14"/>
                <w:szCs w:val="14"/>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14,503</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Proceeds from term loan</w:t>
            </w:r>
          </w:p>
        </w:tc>
        <w:tc>
          <w:tcPr>
            <w:tcW w:w="10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Payments of debt issuance costs</w:t>
            </w:r>
          </w:p>
        </w:tc>
        <w:tc>
          <w:tcPr>
            <w:tcW w:w="1080" w:type="dxa"/>
            <w:vAlign w:val="bottom"/>
          </w:tcPr>
          <w:p>
            <w:pPr>
              <w:spacing w:after="0"/>
              <w:rPr>
                <w:sz w:val="15"/>
                <w:szCs w:val="15"/>
                <w:color w:val="auto"/>
              </w:rPr>
            </w:pPr>
          </w:p>
        </w:tc>
        <w:tc>
          <w:tcPr>
            <w:tcW w:w="82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spacing w:after="0"/>
              <w:rPr>
                <w:sz w:val="15"/>
                <w:szCs w:val="15"/>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(40 )</w:t>
            </w:r>
          </w:p>
        </w:tc>
        <w:tc>
          <w:tcPr>
            <w:tcW w:w="0" w:type="dxa"/>
            <w:vAlign w:val="bottom"/>
          </w:tcPr>
          <w:p>
            <w:pPr>
              <w:spacing w:after="0"/>
              <w:rPr>
                <w:sz w:val="1"/>
                <w:szCs w:val="1"/>
                <w:color w:val="auto"/>
              </w:rPr>
            </w:pPr>
          </w:p>
        </w:tc>
      </w:tr>
      <w:tr>
        <w:trPr>
          <w:trHeight w:val="175"/>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Payments for employee taxes related to stock compensation</w:t>
            </w:r>
          </w:p>
        </w:tc>
        <w:tc>
          <w:tcPr>
            <w:tcW w:w="10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(362 )</w:t>
            </w:r>
          </w:p>
        </w:tc>
        <w:tc>
          <w:tcPr>
            <w:tcW w:w="106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7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Principal payments on finance lease liabilities</w:t>
            </w:r>
          </w:p>
        </w:tc>
        <w:tc>
          <w:tcPr>
            <w:tcW w:w="1080" w:type="dxa"/>
            <w:vAlign w:val="bottom"/>
          </w:tcPr>
          <w:p>
            <w:pPr>
              <w:spacing w:after="0"/>
              <w:rPr>
                <w:sz w:val="15"/>
                <w:szCs w:val="15"/>
                <w:color w:val="auto"/>
              </w:rPr>
            </w:pPr>
          </w:p>
        </w:tc>
        <w:tc>
          <w:tcPr>
            <w:tcW w:w="8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(44 )</w:t>
            </w:r>
          </w:p>
        </w:tc>
        <w:tc>
          <w:tcPr>
            <w:tcW w:w="1060" w:type="dxa"/>
            <w:vAlign w:val="bottom"/>
          </w:tcPr>
          <w:p>
            <w:pPr>
              <w:spacing w:after="0"/>
              <w:rPr>
                <w:sz w:val="15"/>
                <w:szCs w:val="15"/>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(9 )</w:t>
            </w:r>
          </w:p>
        </w:tc>
        <w:tc>
          <w:tcPr>
            <w:tcW w:w="0" w:type="dxa"/>
            <w:vAlign w:val="bottom"/>
          </w:tcPr>
          <w:p>
            <w:pPr>
              <w:spacing w:after="0"/>
              <w:rPr>
                <w:sz w:val="1"/>
                <w:szCs w:val="1"/>
                <w:color w:val="auto"/>
              </w:rPr>
            </w:pPr>
          </w:p>
        </w:tc>
      </w:tr>
      <w:tr>
        <w:trPr>
          <w:trHeight w:val="175"/>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Change in notes receivables for redeemable common stock issued</w:t>
            </w:r>
          </w:p>
        </w:tc>
        <w:tc>
          <w:tcPr>
            <w:tcW w:w="10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(14 )</w:t>
            </w:r>
          </w:p>
        </w:tc>
        <w:tc>
          <w:tcPr>
            <w:tcW w:w="0" w:type="dxa"/>
            <w:vAlign w:val="bottom"/>
          </w:tcPr>
          <w:p>
            <w:pPr>
              <w:spacing w:after="0"/>
              <w:rPr>
                <w:sz w:val="1"/>
                <w:szCs w:val="1"/>
                <w:color w:val="auto"/>
              </w:rPr>
            </w:pPr>
          </w:p>
        </w:tc>
      </w:tr>
      <w:tr>
        <w:trPr>
          <w:trHeight w:val="176"/>
        </w:trPr>
        <w:tc>
          <w:tcPr>
            <w:tcW w:w="7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exercise of stock options</w:t>
            </w:r>
          </w:p>
        </w:tc>
        <w:tc>
          <w:tcPr>
            <w:tcW w:w="10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26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3"/>
                <w:szCs w:val="13"/>
                <w:color w:val="auto"/>
              </w:rPr>
              <w:t>Net cash (used in) provided by financing activities</w:t>
            </w:r>
          </w:p>
        </w:tc>
        <w:tc>
          <w:tcPr>
            <w:tcW w:w="108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260" w:type="dxa"/>
            <w:vAlign w:val="bottom"/>
            <w:tcBorders>
              <w:bottom w:val="single" w:sz="8" w:color="CFF0FC"/>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4"/>
              </w:rPr>
              <w:t>)</w:t>
            </w:r>
          </w:p>
        </w:tc>
        <w:tc>
          <w:tcPr>
            <w:tcW w:w="106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6,144</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Effect of foreign exchange rate on cash, cash equivalents and restricted cash</w:t>
            </w:r>
          </w:p>
        </w:tc>
        <w:tc>
          <w:tcPr>
            <w:tcW w:w="1080" w:type="dxa"/>
            <w:vAlign w:val="bottom"/>
          </w:tcPr>
          <w:p>
            <w:pPr>
              <w:spacing w:after="0"/>
              <w:rPr>
                <w:sz w:val="14"/>
                <w:szCs w:val="14"/>
                <w:color w:val="auto"/>
              </w:rPr>
            </w:pPr>
          </w:p>
        </w:tc>
        <w:tc>
          <w:tcPr>
            <w:tcW w:w="8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(5 )</w:t>
            </w:r>
          </w:p>
        </w:tc>
        <w:tc>
          <w:tcPr>
            <w:tcW w:w="106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(4 )</w:t>
            </w:r>
          </w:p>
        </w:tc>
        <w:tc>
          <w:tcPr>
            <w:tcW w:w="0" w:type="dxa"/>
            <w:vAlign w:val="bottom"/>
          </w:tcPr>
          <w:p>
            <w:pPr>
              <w:spacing w:after="0"/>
              <w:rPr>
                <w:sz w:val="1"/>
                <w:szCs w:val="1"/>
                <w:color w:val="auto"/>
              </w:rPr>
            </w:pPr>
          </w:p>
        </w:tc>
      </w:tr>
      <w:tr>
        <w:trPr>
          <w:trHeight w:val="175"/>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Net (decrease) increase in cash, cash equivalents and restricted cash</w:t>
            </w:r>
          </w:p>
        </w:tc>
        <w:tc>
          <w:tcPr>
            <w:tcW w:w="10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(229 )</w:t>
            </w:r>
          </w:p>
        </w:tc>
        <w:tc>
          <w:tcPr>
            <w:tcW w:w="10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10,391</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 beginning of period</w:t>
            </w:r>
          </w:p>
        </w:tc>
        <w:tc>
          <w:tcPr>
            <w:tcW w:w="10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25,172</w:t>
            </w:r>
          </w:p>
        </w:tc>
        <w:tc>
          <w:tcPr>
            <w:tcW w:w="26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14,455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 end of period</w:t>
            </w:r>
          </w:p>
        </w:tc>
        <w:tc>
          <w:tcPr>
            <w:tcW w:w="1080" w:type="dxa"/>
            <w:vAlign w:val="bottom"/>
            <w:tcBorders>
              <w:bottom w:val="single" w:sz="8" w:color="auto"/>
            </w:tcBorders>
            <w:shd w:val="clear" w:color="auto" w:fill="CFF0FC"/>
          </w:tcPr>
          <w:p>
            <w:pPr>
              <w:jc w:val="right"/>
              <w:ind w:right="90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24,943</w:t>
            </w:r>
          </w:p>
        </w:tc>
        <w:tc>
          <w:tcPr>
            <w:tcW w:w="26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90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24,846</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64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1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Cash paid for amounts included in the measurement of lease liabilities:</w:t>
            </w:r>
          </w:p>
        </w:tc>
        <w:tc>
          <w:tcPr>
            <w:tcW w:w="10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Operating cash flows from operating leases</w:t>
            </w:r>
          </w:p>
        </w:tc>
        <w:tc>
          <w:tcPr>
            <w:tcW w:w="10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Cash paid for income taxes</w:t>
            </w:r>
          </w:p>
        </w:tc>
        <w:tc>
          <w:tcPr>
            <w:tcW w:w="10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Cash paid for interest on financing leases</w:t>
            </w:r>
          </w:p>
        </w:tc>
        <w:tc>
          <w:tcPr>
            <w:tcW w:w="10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Cash paid for interest on term loan</w:t>
            </w:r>
          </w:p>
        </w:tc>
        <w:tc>
          <w:tcPr>
            <w:tcW w:w="10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925</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Right-of-use assets obtained in exchange for lease obligations:</w:t>
            </w:r>
          </w:p>
        </w:tc>
        <w:tc>
          <w:tcPr>
            <w:tcW w:w="10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Operating lease</w:t>
            </w:r>
          </w:p>
        </w:tc>
        <w:tc>
          <w:tcPr>
            <w:tcW w:w="10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7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Finance lease</w:t>
            </w:r>
          </w:p>
        </w:tc>
        <w:tc>
          <w:tcPr>
            <w:tcW w:w="10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76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Lease obligations recorded for right-of-use assets:</w:t>
            </w: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Operating lease</w:t>
            </w:r>
          </w:p>
        </w:tc>
        <w:tc>
          <w:tcPr>
            <w:tcW w:w="10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76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Finance lease</w:t>
            </w:r>
          </w:p>
        </w:tc>
        <w:tc>
          <w:tcPr>
            <w:tcW w:w="10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2"/>
        </w:trPr>
        <w:tc>
          <w:tcPr>
            <w:tcW w:w="7640" w:type="dxa"/>
            <w:vAlign w:val="bottom"/>
            <w:shd w:val="clear" w:color="auto" w:fill="CFF0FC"/>
          </w:tcPr>
          <w:p>
            <w:pPr>
              <w:ind w:left="200"/>
              <w:spacing w:after="0" w:line="123" w:lineRule="exact"/>
              <w:rPr>
                <w:sz w:val="20"/>
                <w:szCs w:val="20"/>
                <w:color w:val="auto"/>
              </w:rPr>
            </w:pPr>
            <w:r>
              <w:rPr>
                <w:rFonts w:ascii="Times New Roman" w:cs="Times New Roman" w:eastAsia="Times New Roman" w:hAnsi="Times New Roman"/>
                <w:sz w:val="13"/>
                <w:szCs w:val="13"/>
                <w:color w:val="auto"/>
              </w:rPr>
              <w:t>Acquisition of property and equipment included in accounts payable and accrued expenses</w:t>
            </w:r>
          </w:p>
        </w:tc>
        <w:tc>
          <w:tcPr>
            <w:tcW w:w="108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26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and other current liabilities</w:t>
            </w:r>
          </w:p>
        </w:tc>
        <w:tc>
          <w:tcPr>
            <w:tcW w:w="1080" w:type="dxa"/>
            <w:vAlign w:val="bottom"/>
            <w:shd w:val="clear" w:color="auto" w:fill="CFF0FC"/>
          </w:tcPr>
          <w:p>
            <w:pPr>
              <w:spacing w:after="0"/>
              <w:rPr>
                <w:sz w:val="16"/>
                <w:szCs w:val="16"/>
                <w:color w:val="auto"/>
              </w:rPr>
            </w:pPr>
          </w:p>
        </w:tc>
        <w:tc>
          <w:tcPr>
            <w:tcW w:w="56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560" w:type="dxa"/>
            <w:vAlign w:val="bottom"/>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6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Payment-in-kind interest income added to principal of notes receivable</w:t>
            </w:r>
          </w:p>
        </w:tc>
        <w:tc>
          <w:tcPr>
            <w:tcW w:w="1080" w:type="dxa"/>
            <w:vAlign w:val="bottom"/>
          </w:tcPr>
          <w:p>
            <w:pPr>
              <w:spacing w:after="0"/>
              <w:rPr>
                <w:sz w:val="15"/>
                <w:szCs w:val="15"/>
                <w:color w:val="auto"/>
              </w:rPr>
            </w:pPr>
          </w:p>
        </w:tc>
        <w:tc>
          <w:tcPr>
            <w:tcW w:w="82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7640" w:type="dxa"/>
            <w:vAlign w:val="bottom"/>
            <w:shd w:val="clear" w:color="auto" w:fill="CFF0FC"/>
          </w:tcPr>
          <w:p>
            <w:pPr>
              <w:ind w:left="200"/>
              <w:spacing w:after="0" w:line="123" w:lineRule="exact"/>
              <w:rPr>
                <w:sz w:val="20"/>
                <w:szCs w:val="20"/>
                <w:color w:val="auto"/>
              </w:rPr>
            </w:pPr>
            <w:r>
              <w:rPr>
                <w:rFonts w:ascii="Times New Roman" w:cs="Times New Roman" w:eastAsia="Times New Roman" w:hAnsi="Times New Roman"/>
                <w:sz w:val="13"/>
                <w:szCs w:val="13"/>
                <w:color w:val="auto"/>
              </w:rPr>
              <w:t>Reclassification of 4,093,995 shares of redeemable common stock to 4,093,995</w:t>
            </w:r>
          </w:p>
        </w:tc>
        <w:tc>
          <w:tcPr>
            <w:tcW w:w="1080" w:type="dxa"/>
            <w:vAlign w:val="bottom"/>
            <w:shd w:val="clear" w:color="auto" w:fill="CFF0FC"/>
          </w:tcPr>
          <w:p>
            <w:pPr>
              <w:spacing w:after="0"/>
              <w:rPr>
                <w:sz w:val="10"/>
                <w:szCs w:val="10"/>
                <w:color w:val="auto"/>
              </w:rPr>
            </w:pPr>
          </w:p>
        </w:tc>
        <w:tc>
          <w:tcPr>
            <w:tcW w:w="820" w:type="dxa"/>
            <w:vAlign w:val="bottom"/>
            <w:gridSpan w:val="2"/>
            <w:vMerge w:val="restart"/>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87,702</w:t>
            </w: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shares of common stock</w:t>
            </w:r>
          </w:p>
        </w:tc>
        <w:tc>
          <w:tcPr>
            <w:tcW w:w="1080" w:type="dxa"/>
            <w:vAlign w:val="bottom"/>
            <w:shd w:val="clear" w:color="auto" w:fill="CFF0FC"/>
          </w:tcPr>
          <w:p>
            <w:pPr>
              <w:spacing w:after="0"/>
              <w:rPr>
                <w:sz w:val="16"/>
                <w:szCs w:val="16"/>
                <w:color w:val="auto"/>
              </w:rPr>
            </w:pPr>
          </w:p>
        </w:tc>
        <w:tc>
          <w:tcPr>
            <w:tcW w:w="820" w:type="dxa"/>
            <w:vAlign w:val="bottom"/>
            <w:gridSpan w:val="2"/>
            <w:vMerge w:val="continue"/>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560" w:type="dxa"/>
            <w:vAlign w:val="bottom"/>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76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Reclassification of redeemable common stock options to common stock options</w:t>
            </w:r>
          </w:p>
        </w:tc>
        <w:tc>
          <w:tcPr>
            <w:tcW w:w="1080" w:type="dxa"/>
            <w:vAlign w:val="bottom"/>
          </w:tcPr>
          <w:p>
            <w:pPr>
              <w:spacing w:after="0"/>
              <w:rPr>
                <w:sz w:val="15"/>
                <w:szCs w:val="15"/>
                <w:color w:val="auto"/>
              </w:rPr>
            </w:pPr>
          </w:p>
        </w:tc>
        <w:tc>
          <w:tcPr>
            <w:tcW w:w="82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47,370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-4157980</wp:posOffset>
            </wp:positionV>
            <wp:extent cx="514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-4157980</wp:posOffset>
            </wp:positionV>
            <wp:extent cx="514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-3463925</wp:posOffset>
            </wp:positionV>
            <wp:extent cx="514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-3463925</wp:posOffset>
            </wp:positionV>
            <wp:extent cx="514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-2555240</wp:posOffset>
            </wp:positionV>
            <wp:extent cx="514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-2555240</wp:posOffset>
            </wp:positionV>
            <wp:extent cx="514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-2092325</wp:posOffset>
            </wp:positionV>
            <wp:extent cx="514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-2075180</wp:posOffset>
            </wp:positionV>
            <wp:extent cx="514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-2092325</wp:posOffset>
            </wp:positionV>
            <wp:extent cx="514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-2075180</wp:posOffset>
            </wp:positionV>
            <wp:extent cx="514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RxSIGHT,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Basis of Presentation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Business</w:t>
      </w:r>
    </w:p>
    <w:p>
      <w:pPr>
        <w:spacing w:after="0" w:line="119" w:lineRule="exact"/>
        <w:rPr>
          <w:sz w:val="20"/>
          <w:szCs w:val="20"/>
          <w:color w:val="auto"/>
        </w:rPr>
      </w:pPr>
    </w:p>
    <w:p>
      <w:pPr>
        <w:ind w:right="220" w:firstLine="374"/>
        <w:spacing w:after="0" w:line="250" w:lineRule="auto"/>
        <w:rPr>
          <w:sz w:val="20"/>
          <w:szCs w:val="20"/>
          <w:color w:val="auto"/>
        </w:rPr>
      </w:pPr>
      <w:r>
        <w:rPr>
          <w:rFonts w:ascii="Times New Roman" w:cs="Times New Roman" w:eastAsia="Times New Roman" w:hAnsi="Times New Roman"/>
          <w:sz w:val="18"/>
          <w:szCs w:val="18"/>
          <w:color w:val="auto"/>
        </w:rPr>
        <w:t>RxSight®, Inc. (the “Company”) is a Delaware corporation headquartered in Aliso Viejo, California with one wholly owned subsidiary located in Amsterdam, Netherlands. The wholly owned subsidiary has a registered branch in the United Kingdom and a wholly owned subsidiary located in Germany. The Company is engaged in the research and development, manufacture and sale of light adjustable intraocular lenses used in cataract surgery along with capital equipment used with the lenses.</w:t>
      </w:r>
    </w:p>
    <w:p>
      <w:pPr>
        <w:spacing w:after="0" w:line="110" w:lineRule="exact"/>
        <w:rPr>
          <w:sz w:val="20"/>
          <w:szCs w:val="20"/>
          <w:color w:val="auto"/>
        </w:rPr>
      </w:pPr>
    </w:p>
    <w:p>
      <w:pPr>
        <w:ind w:right="40" w:firstLine="374"/>
        <w:spacing w:after="0" w:line="246" w:lineRule="auto"/>
        <w:rPr>
          <w:sz w:val="20"/>
          <w:szCs w:val="20"/>
          <w:color w:val="auto"/>
        </w:rPr>
      </w:pPr>
      <w:r>
        <w:rPr>
          <w:rFonts w:ascii="Times New Roman" w:cs="Times New Roman" w:eastAsia="Times New Roman" w:hAnsi="Times New Roman"/>
          <w:sz w:val="18"/>
          <w:szCs w:val="18"/>
          <w:color w:val="auto"/>
        </w:rPr>
        <w:t>The Company’s products, which include the light adjustable lens (“LAL”®) and a specially designed machine for delivering light to the eye, the Light Delivery Device (“LDD™”), are approved by the United States (“U.S.”) Food and Drug Administration (“FDA”) for sale in the U.S. and have regulatory approval in the U.S and Europe. The Company began marketing its products in the U.S. during the second quarter of 2019 and in Europe during the third quarter of 2019. The LAL is a premium intraocular lens (“IOL”) which is partially reimbursable under Medicare. The Company competes with other IOLs in the premium market in the U.S. and Europe.</w:t>
      </w:r>
    </w:p>
    <w:p>
      <w:pPr>
        <w:spacing w:after="0" w:line="114" w:lineRule="exact"/>
        <w:rPr>
          <w:sz w:val="20"/>
          <w:szCs w:val="20"/>
          <w:color w:val="auto"/>
        </w:rPr>
      </w:pPr>
    </w:p>
    <w:p>
      <w:pPr>
        <w:ind w:right="260" w:firstLine="374"/>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RxSight, Inc. and its wholly owned subsidiaries, RxSight, B.V. and RxSight GmbH. All significant inter-company balances and transactions have been eliminated in consolidation.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 and Principles of Consolidation</w:t>
      </w:r>
    </w:p>
    <w:p>
      <w:pPr>
        <w:spacing w:after="0" w:line="133" w:lineRule="exact"/>
        <w:rPr>
          <w:sz w:val="20"/>
          <w:szCs w:val="20"/>
          <w:color w:val="auto"/>
        </w:rPr>
      </w:pPr>
    </w:p>
    <w:p>
      <w:pPr>
        <w:ind w:right="20" w:firstLine="374"/>
        <w:spacing w:after="0" w:line="242"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in accordance with accounting principles generally accepted in the United States of America (“GAAP”) for interim financial information and pursuant to Form 10-Q and Article 10 of Regulation S-X of the Securities and Exchange Commission (“SEC”). Accordingly, the accompanying unaudited condensed consolidated financial statements do not include all of the information and notes required by GAAP for complete financial statements. The unaudited interim financial statements reflect all adjustments which, in the opinion of management, are necessary for a fair statement of the results for the periods presented. All such adjustments are of a normal and recurring nature. The December 31, 2021 balance sheet data was derived from audited financial statements; however, the accompanying notes to the condensed consolidated financial statements do not include all of the annual disclosures required under GAAP and should be read in conjunction with the Company’s 2021 Annual Report on Form 10-K filed with the SEC on March 8, 2022. The operating results presented in these unaudited condensed consolidated financial statements are not necessarily indicative of the results that may be expected for any future periods.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Initial Public Offering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IPO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and Reverse Stock Split</w:t>
      </w:r>
    </w:p>
    <w:p>
      <w:pPr>
        <w:spacing w:after="0" w:line="119" w:lineRule="exact"/>
        <w:rPr>
          <w:sz w:val="20"/>
          <w:szCs w:val="20"/>
          <w:color w:val="auto"/>
        </w:rPr>
      </w:pPr>
    </w:p>
    <w:p>
      <w:pPr>
        <w:ind w:right="20" w:firstLine="374"/>
        <w:spacing w:after="0" w:line="242" w:lineRule="auto"/>
        <w:rPr>
          <w:sz w:val="20"/>
          <w:szCs w:val="20"/>
          <w:color w:val="auto"/>
        </w:rPr>
      </w:pPr>
      <w:r>
        <w:rPr>
          <w:rFonts w:ascii="Times New Roman" w:cs="Times New Roman" w:eastAsia="Times New Roman" w:hAnsi="Times New Roman"/>
          <w:sz w:val="18"/>
          <w:szCs w:val="18"/>
          <w:color w:val="auto"/>
        </w:rPr>
        <w:t>On July 22, 2021, the Company’s Board of Directors approved an amendment to the Company’s Certificate of Incorporation to effect a reverse split of shares of the Company’s common stock, excluding Series G and Series W common stock, and convertible preferred stock on a 1-for-10.33 basis (the “Reverse Stock Split”). The par values of the common stock and convertible preferred stock were not adjusted as a result of the Reverse Stock Split. The Reverse Stock Split was effected on July 23, 2021. Accordingly, all common stock, excluding Series G and Series W common stock, options to purchase common stock, convertible preferred stock, share data, per share data and related information contained in the accompanying condensed consolidated financial statements and notes have been retrospectively adjusted to reflect the effect of the Reverse Stock Split for all periods presented. Outstanding stock options were proportionately reduced and the respective exercise prices, if applicable, were proportionately increased. The Reverse Stock Split resulted in an adjustment to the convertible preferred stock conversion prices to reflect a proportional decrease in the number of shares of common stock to be issued upon conversion.</w:t>
      </w:r>
    </w:p>
    <w:p>
      <w:pPr>
        <w:spacing w:after="0" w:line="1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On July 29, 2021, the Company completed its IPO which resulted in the issuance and sale of 8,248,549 shares of its common stock at a price of</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$16.00 per share. The aggregate net proceeds from the offering, which included 898,549 common shares sold upon the partial exercise of the underwriters’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over-allotment option, after deducting underwriting discounts and commissions of $9.2 million and other offering costs of $3.2 million, were approximately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$119.6 million. On July 29, 2021, the Company amended and restated its certificate of incorporation and bylaws which provide for, among other things, the</w:t>
      </w:r>
    </w:p>
    <w:p>
      <w:pPr>
        <w:spacing w:after="0"/>
        <w:rPr>
          <w:sz w:val="20"/>
          <w:szCs w:val="20"/>
          <w:color w:val="auto"/>
        </w:rPr>
      </w:pPr>
      <w:r>
        <w:rPr>
          <w:rFonts w:ascii="Times New Roman" w:cs="Times New Roman" w:eastAsia="Times New Roman" w:hAnsi="Times New Roman"/>
          <w:sz w:val="18"/>
          <w:szCs w:val="18"/>
          <w:color w:val="auto"/>
        </w:rPr>
        <w:t>Company’s authorized capital stock to consist of</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1" w:name="page12"/>
    <w:bookmarkEnd w:id="11"/>
    <w:p>
      <w:pPr>
        <w:ind w:right="160"/>
        <w:spacing w:after="0" w:line="266" w:lineRule="auto"/>
        <w:rPr>
          <w:sz w:val="20"/>
          <w:szCs w:val="20"/>
          <w:color w:val="auto"/>
        </w:rPr>
      </w:pPr>
      <w:r>
        <w:rPr>
          <w:rFonts w:ascii="Times New Roman" w:cs="Times New Roman" w:eastAsia="Times New Roman" w:hAnsi="Times New Roman"/>
          <w:sz w:val="18"/>
          <w:szCs w:val="18"/>
          <w:color w:val="auto"/>
        </w:rPr>
        <w:t>900,000,000 shares of common stock, par value $0.001 per share, and 100,000,000 shares of convertible preferred stock, par value $0.001 per share. The amended and restated certificate defines the voting rights, dividends, liquidation rights and preferences of each class of stock.</w:t>
      </w:r>
    </w:p>
    <w:p>
      <w:pPr>
        <w:spacing w:after="0" w:line="95" w:lineRule="exact"/>
        <w:rPr>
          <w:sz w:val="20"/>
          <w:szCs w:val="20"/>
          <w:color w:val="auto"/>
        </w:rPr>
      </w:pPr>
    </w:p>
    <w:p>
      <w:pPr>
        <w:ind w:right="180" w:firstLine="374"/>
        <w:spacing w:after="0" w:line="258" w:lineRule="auto"/>
        <w:rPr>
          <w:sz w:val="20"/>
          <w:szCs w:val="20"/>
          <w:color w:val="auto"/>
        </w:rPr>
      </w:pPr>
      <w:r>
        <w:rPr>
          <w:rFonts w:ascii="Times New Roman" w:cs="Times New Roman" w:eastAsia="Times New Roman" w:hAnsi="Times New Roman"/>
          <w:sz w:val="18"/>
          <w:szCs w:val="18"/>
          <w:color w:val="auto"/>
        </w:rPr>
        <w:t>Immediately prior to the completion of the IPO, (i) 14,376,272 outstanding shares of the Company's convertible preferred stock were converted into an aggregate of 14,725,309 shares of common stock and (ii) 225,945 warrants to purchase Series H convertible preferred stock were exercised and converted into 100,261 shares of common stock.</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and Financial Position</w:t>
      </w:r>
    </w:p>
    <w:p>
      <w:pPr>
        <w:spacing w:after="0" w:line="119" w:lineRule="exact"/>
        <w:rPr>
          <w:sz w:val="20"/>
          <w:szCs w:val="20"/>
          <w:color w:val="auto"/>
        </w:rPr>
      </w:pPr>
    </w:p>
    <w:p>
      <w:pPr>
        <w:ind w:right="380" w:firstLine="374"/>
        <w:spacing w:after="0" w:line="282" w:lineRule="auto"/>
        <w:rPr>
          <w:sz w:val="20"/>
          <w:szCs w:val="20"/>
          <w:color w:val="auto"/>
        </w:rPr>
      </w:pPr>
      <w:r>
        <w:rPr>
          <w:rFonts w:ascii="Times New Roman" w:cs="Times New Roman" w:eastAsia="Times New Roman" w:hAnsi="Times New Roman"/>
          <w:sz w:val="18"/>
          <w:szCs w:val="18"/>
          <w:color w:val="auto"/>
        </w:rPr>
        <w:t>As of March 31, 2022 and December 31, 2021 the Company had cash, cash equivalents and short-term investments of $143.8 million and $159.3 million, respectively.</w:t>
      </w:r>
    </w:p>
    <w:p>
      <w:pPr>
        <w:spacing w:after="0" w:line="67" w:lineRule="exact"/>
        <w:rPr>
          <w:sz w:val="20"/>
          <w:szCs w:val="20"/>
          <w:color w:val="auto"/>
        </w:rPr>
      </w:pPr>
    </w:p>
    <w:p>
      <w:pPr>
        <w:ind w:right="100" w:firstLine="374"/>
        <w:spacing w:after="0" w:line="245" w:lineRule="auto"/>
        <w:rPr>
          <w:sz w:val="20"/>
          <w:szCs w:val="20"/>
          <w:color w:val="auto"/>
        </w:rPr>
      </w:pPr>
      <w:r>
        <w:rPr>
          <w:rFonts w:ascii="Times New Roman" w:cs="Times New Roman" w:eastAsia="Times New Roman" w:hAnsi="Times New Roman"/>
          <w:sz w:val="18"/>
          <w:szCs w:val="18"/>
          <w:color w:val="auto"/>
        </w:rPr>
        <w:t>The Company began generating revenue from its principal operations in 2019. The Company has a limited operating history, and the revenue and income potential of the Company’s business and market are unproven. The Company has experienced recurring net losses and negative cash flows from operating activities since its inception. For the three months ended March 31, 2022 and 2021, the Company incurred losses from operations of $16.6 million and $11.1 million, respectively. Due to the Company’s continuing research and development activities and expansion of its sales and marketing activities, the Company expects to continue to incur net operating losses into the foreseeable future. Successful transition to attaining profitable operations is dependent upon gaining market acceptance of the Company’s products and achieving a level of revenues adequate to support the Company’s cost structure.</w:t>
      </w:r>
    </w:p>
    <w:p>
      <w:pPr>
        <w:spacing w:after="0" w:line="114" w:lineRule="exact"/>
        <w:rPr>
          <w:sz w:val="20"/>
          <w:szCs w:val="20"/>
          <w:color w:val="auto"/>
        </w:rPr>
      </w:pPr>
    </w:p>
    <w:p>
      <w:pPr>
        <w:ind w:right="20" w:firstLine="374"/>
        <w:spacing w:after="0" w:line="24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assuming the Company will continue as a going concern. The Company believes that existing capital resources, including the net proceeds from the IPO in July 2021, will be sufficient to meet projected operating requirements for at least 12 months from the date of issuance of the accompanying condensed consolidated financial statements, though the Company expects to continue to incur operating losses and negative cash flows. The Company plans to continue to fund its losses from operations using its cash, cash equivalents and short-term investments as of March 31, 2022 and meet its future capital funding needs through equity or debt financings, other third-party funding, collaborations, strategic alliances and licensing arrangements or a combination of these. If the Company raises additional funds by issuing equity securities, its stockholders may experience dilution. Any future debt financing into which the Company enters may impose additional covenants that restrict operations, including limitations on its ability to incur liens or additional debt, pay dividends, repurchase common stock, make certain investments or engage in certain merger, consolidation or asset sale transactions. Any debt financing or additional equity raise may contain terms that are not favorable to the Company or its stockholders. If the Company is required to enter into collaborations and other arrangements to address its liquidity needs, it may have to give up certain rights that limit its ability to develop and commercialize product candidates or may have other terms that are not favorable to the Company or its stockholders, which could materially and adversely affect its business and financial prospects. There can be no assurance that the Company will be able to obtain additional financing on acceptable terms, or at all. If the Company is not able to secure adequate additional funding, the Company may be forced to make reductions in spending, extend payment terms with suppliers, liquidate assets where possible and/or suspend or curtail planned programs. Any of these actions could materially harm the Company’s business, results of operations and future prospects.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informed estimates, judgments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assumptions that affect the reported amounts in the condensed consolidated financial statements and disclosures in the accompanying notes as of the date of the accompanying condensed consolidated financial statements. On an on-going basis, management evaluates the most critical estimates and assumptions for continued reasonableness. Actual results may differ materially from the estimates used in the</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9"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preparation of the accompanying condensed consolidated financial statements under different assumptions or conditions.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Accounting Policies</w:t>
      </w:r>
    </w:p>
    <w:p>
      <w:pPr>
        <w:spacing w:after="0" w:line="119" w:lineRule="exact"/>
        <w:rPr>
          <w:sz w:val="20"/>
          <w:szCs w:val="20"/>
          <w:color w:val="auto"/>
        </w:rPr>
      </w:pPr>
    </w:p>
    <w:p>
      <w:pPr>
        <w:ind w:right="240" w:firstLine="374"/>
        <w:spacing w:after="0" w:line="258" w:lineRule="auto"/>
        <w:rPr>
          <w:sz w:val="20"/>
          <w:szCs w:val="20"/>
          <w:color w:val="auto"/>
        </w:rPr>
      </w:pPr>
      <w:r>
        <w:rPr>
          <w:rFonts w:ascii="Times New Roman" w:cs="Times New Roman" w:eastAsia="Times New Roman" w:hAnsi="Times New Roman"/>
          <w:sz w:val="18"/>
          <w:szCs w:val="18"/>
          <w:color w:val="auto"/>
        </w:rPr>
        <w:t>There have been no significant changes to the accounting policies during the three months ended March 31, 2022, as compared to the significant accounting policies described in Note 2 of the “Notes to Consolidated Financial Statements” in the Company’s audited consolidated financial statements included in its Annual Report on Form 10-K filed with the SEC on March 8, 2022.</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Equivalents</w:t>
      </w:r>
    </w:p>
    <w:p>
      <w:pPr>
        <w:spacing w:after="0" w:line="119" w:lineRule="exact"/>
        <w:rPr>
          <w:sz w:val="20"/>
          <w:szCs w:val="20"/>
          <w:color w:val="auto"/>
        </w:rPr>
      </w:pPr>
    </w:p>
    <w:p>
      <w:pPr>
        <w:ind w:right="160" w:firstLine="374"/>
        <w:spacing w:after="0" w:line="282" w:lineRule="auto"/>
        <w:rPr>
          <w:sz w:val="20"/>
          <w:szCs w:val="20"/>
          <w:color w:val="auto"/>
        </w:rPr>
      </w:pPr>
      <w:r>
        <w:rPr>
          <w:rFonts w:ascii="Times New Roman" w:cs="Times New Roman" w:eastAsia="Times New Roman" w:hAnsi="Times New Roman"/>
          <w:sz w:val="18"/>
          <w:szCs w:val="18"/>
          <w:color w:val="auto"/>
        </w:rPr>
        <w:t>Cash equivalents consist of investments in money market accounts. The Company considers all highly liquid investments with original maturities of three months or less at the date of purchase that can be liquidated without prior notice or penalty to be cash equivalents.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Investments</w:t>
      </w:r>
    </w:p>
    <w:p>
      <w:pPr>
        <w:spacing w:after="0" w:line="119" w:lineRule="exact"/>
        <w:rPr>
          <w:sz w:val="20"/>
          <w:szCs w:val="20"/>
          <w:color w:val="auto"/>
        </w:rPr>
      </w:pPr>
    </w:p>
    <w:p>
      <w:pPr>
        <w:ind w:firstLine="374"/>
        <w:spacing w:after="0" w:line="243" w:lineRule="auto"/>
        <w:rPr>
          <w:sz w:val="20"/>
          <w:szCs w:val="20"/>
          <w:color w:val="auto"/>
        </w:rPr>
      </w:pPr>
      <w:r>
        <w:rPr>
          <w:rFonts w:ascii="Times New Roman" w:cs="Times New Roman" w:eastAsia="Times New Roman" w:hAnsi="Times New Roman"/>
          <w:sz w:val="18"/>
          <w:szCs w:val="18"/>
          <w:color w:val="auto"/>
        </w:rPr>
        <w:t>Short-term investments are classified based on the maturity date of the related securities. Based on the nature of the assets, the Company’s short-term investments, which are government securities, are classified as available-for-sale and are recorded at their estimated fair value as determined by prices for identical or similar securities at the balance sheet date. The Company’s short-term investments consist of Level 2 financial instruments in the fair value hierarchy. Unrealized gains and losses are recorded as a component of Other comprehensive loss within Stockholders’ Equity on the Condensed Consolidated Balance Sheets. Realized gains and losses are included as other income (expense) in the accompanying Condensed Consolidated Statements of Operations and Comprehensive Loss. The cost basis for realized gains and losses on available-for-sale securities is determined on a specific identification basis. Management determines the appropriate classification of its investments at the time of purchase and reevaluates such determination at each balance sheet date. The Company periodically reviews its investments for unrealized losses other than credit losses and whenever events or changes in circumstances indicate that the carrying value of an asset may not be recoverable. In determining whether the carrying value is recoverable, management considers the following factors:</w:t>
      </w:r>
    </w:p>
    <w:p>
      <w:pPr>
        <w:spacing w:after="0" w:line="118" w:lineRule="exact"/>
        <w:rPr>
          <w:sz w:val="20"/>
          <w:szCs w:val="20"/>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investment has been in a continuous loss position for over 12 months;</w:t>
      </w:r>
    </w:p>
    <w:p>
      <w:pPr>
        <w:spacing w:after="0" w:line="15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to maturity of investments;</w:t>
      </w:r>
    </w:p>
    <w:p>
      <w:pPr>
        <w:spacing w:after="0" w:line="157" w:lineRule="exact"/>
        <w:rPr>
          <w:rFonts w:ascii="Times New Roman" w:cs="Times New Roman" w:eastAsia="Times New Roman" w:hAnsi="Times New Roman"/>
          <w:sz w:val="18"/>
          <w:szCs w:val="18"/>
          <w:color w:val="auto"/>
        </w:rPr>
      </w:pPr>
    </w:p>
    <w:p>
      <w:pPr>
        <w:ind w:left="380" w:right="260" w:hanging="372"/>
        <w:spacing w:after="0" w:line="282"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 and ability to hold the investment to maturity and if it is not more likely than not that the Company will be required to sell the investment before recovery of the amortized cost basis;</w:t>
      </w:r>
    </w:p>
    <w:p>
      <w:pPr>
        <w:spacing w:after="0" w:line="9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rating, financial condition and near-term prospects of the issuer; and</w:t>
      </w:r>
    </w:p>
    <w:p>
      <w:pPr>
        <w:spacing w:after="0" w:line="15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 of investments made.</w:t>
      </w:r>
    </w:p>
    <w:p>
      <w:pPr>
        <w:spacing w:after="0" w:line="131" w:lineRule="exact"/>
        <w:rPr>
          <w:sz w:val="20"/>
          <w:szCs w:val="20"/>
          <w:color w:val="auto"/>
        </w:rPr>
      </w:pPr>
    </w:p>
    <w:p>
      <w:pPr>
        <w:ind w:right="760" w:firstLine="374"/>
        <w:spacing w:after="0" w:line="266" w:lineRule="auto"/>
        <w:rPr>
          <w:sz w:val="20"/>
          <w:szCs w:val="20"/>
          <w:color w:val="auto"/>
        </w:rPr>
      </w:pPr>
      <w:r>
        <w:rPr>
          <w:rFonts w:ascii="Times New Roman" w:cs="Times New Roman" w:eastAsia="Times New Roman" w:hAnsi="Times New Roman"/>
          <w:sz w:val="18"/>
          <w:szCs w:val="18"/>
          <w:color w:val="auto"/>
        </w:rPr>
        <w:t>The Company had $83,000 and $9,000 of unrealized losses related to short-term investments as of March 31, 2022 and December 31, 2021, respectively.</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 and Other Risks and Uncertainties</w:t>
      </w:r>
    </w:p>
    <w:p>
      <w:pPr>
        <w:spacing w:after="0" w:line="146" w:lineRule="exact"/>
        <w:rPr>
          <w:sz w:val="20"/>
          <w:szCs w:val="20"/>
          <w:color w:val="auto"/>
        </w:rPr>
      </w:pPr>
    </w:p>
    <w:p>
      <w:pPr>
        <w:ind w:right="40" w:firstLine="374"/>
        <w:spacing w:after="0" w:line="247"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 of credit risk consist primarily of cash, cash equivalents, short-term investments and accounts receivable. The Company’s policy is to invest cash in institutional money market funds and marketable securities of the U.S. government to limit the amount of credit exposure. The Company currently maintains a portfolio of cash equivalents and short-term investments in money market funds and U.S. treasury bills. Additionally, the Company has established guidelines regarding diversification of its investments and their maturities, which are designed to maintain principal and maximize liquidity. The Company has not experienced material losses on cash equivalents and short-term investments.</w:t>
      </w:r>
    </w:p>
    <w:p>
      <w:pPr>
        <w:spacing w:after="0" w:line="112" w:lineRule="exact"/>
        <w:rPr>
          <w:sz w:val="20"/>
          <w:szCs w:val="20"/>
          <w:color w:val="auto"/>
        </w:rPr>
      </w:pPr>
    </w:p>
    <w:p>
      <w:pPr>
        <w:jc w:val="both"/>
        <w:ind w:right="260" w:firstLine="374"/>
        <w:spacing w:after="0" w:line="250" w:lineRule="auto"/>
        <w:rPr>
          <w:sz w:val="20"/>
          <w:szCs w:val="20"/>
          <w:color w:val="auto"/>
        </w:rPr>
      </w:pPr>
      <w:r>
        <w:rPr>
          <w:rFonts w:ascii="Times New Roman" w:cs="Times New Roman" w:eastAsia="Times New Roman" w:hAnsi="Times New Roman"/>
          <w:sz w:val="18"/>
          <w:szCs w:val="18"/>
          <w:color w:val="auto"/>
        </w:rPr>
        <w:t>The Company’s products require approval from the FDA and foreign regulatory agencies before commercial sales can commence. There can be no assurance that the Company’s products will receive any of these required approvals. The denial or delay of such approvals may have a material adverse impact on the Company’s business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9" w:right="359" w:bottom="1440" w:gutter="0" w:footer="0" w:header="0"/>
        </w:sectPr>
      </w:pPr>
    </w:p>
    <w:bookmarkStart w:id="13" w:name="page14"/>
    <w:bookmarkEnd w:id="13"/>
    <w:p>
      <w:pPr>
        <w:ind w:right="80"/>
        <w:spacing w:after="0" w:line="266" w:lineRule="auto"/>
        <w:rPr>
          <w:sz w:val="20"/>
          <w:szCs w:val="20"/>
          <w:color w:val="auto"/>
        </w:rPr>
      </w:pPr>
      <w:r>
        <w:rPr>
          <w:rFonts w:ascii="Times New Roman" w:cs="Times New Roman" w:eastAsia="Times New Roman" w:hAnsi="Times New Roman"/>
          <w:sz w:val="18"/>
          <w:szCs w:val="18"/>
          <w:color w:val="auto"/>
        </w:rPr>
        <w:t>and may impact business in the future. In addition, after approval by the FDA, there is still an ongoing risk of adverse events that did not appear during the device approval process.</w:t>
      </w:r>
    </w:p>
    <w:p>
      <w:pPr>
        <w:spacing w:after="0" w:line="95" w:lineRule="exact"/>
        <w:rPr>
          <w:sz w:val="20"/>
          <w:szCs w:val="20"/>
          <w:color w:val="auto"/>
        </w:rPr>
      </w:pPr>
    </w:p>
    <w:p>
      <w:pPr>
        <w:jc w:val="both"/>
        <w:ind w:right="240" w:firstLine="374"/>
        <w:spacing w:after="0" w:line="280" w:lineRule="auto"/>
        <w:rPr>
          <w:sz w:val="20"/>
          <w:szCs w:val="20"/>
          <w:color w:val="auto"/>
        </w:rPr>
      </w:pPr>
      <w:r>
        <w:rPr>
          <w:rFonts w:ascii="Times New Roman" w:cs="Times New Roman" w:eastAsia="Times New Roman" w:hAnsi="Times New Roman"/>
          <w:sz w:val="17"/>
          <w:szCs w:val="17"/>
          <w:color w:val="auto"/>
        </w:rPr>
        <w:t>The Company is subject to risks common to companies in the medical device industry, including, but not limited to, new technological innovations, clinical development risk, establishment of appropriate commercial partnerships, protection of proprietary technology, compliance with government and environmental regulations, uncertainty of market acceptance of the Company's products, product liability and the need to obtain additional financing.</w:t>
      </w:r>
    </w:p>
    <w:p>
      <w:pPr>
        <w:spacing w:after="0" w:line="85" w:lineRule="exact"/>
        <w:rPr>
          <w:sz w:val="20"/>
          <w:szCs w:val="20"/>
          <w:color w:val="auto"/>
        </w:rPr>
      </w:pPr>
    </w:p>
    <w:p>
      <w:pPr>
        <w:ind w:right="60" w:firstLine="374"/>
        <w:spacing w:after="0" w:line="244" w:lineRule="auto"/>
        <w:rPr>
          <w:sz w:val="20"/>
          <w:szCs w:val="20"/>
          <w:color w:val="auto"/>
        </w:rPr>
      </w:pPr>
      <w:r>
        <w:rPr>
          <w:rFonts w:ascii="Times New Roman" w:cs="Times New Roman" w:eastAsia="Times New Roman" w:hAnsi="Times New Roman"/>
          <w:sz w:val="18"/>
          <w:szCs w:val="18"/>
          <w:color w:val="auto"/>
        </w:rPr>
        <w:t>The Company is subject to the risks related to the global pandemic associated with COVID-19, including local, state, federal and other world-wide mandates imposed to reduce the spread of the virus which could interrupt or reduce the number of cataract surgeries, limit access to ambulatory surgery centers, doctors’ offices and manufacturing facilities, and the expansion of global lead times, particularly in Europe and Asia, leading to a supply interruption from the Company's suppliers. In addition, the Company is currently experiencing inflation and longer lead times and limited availability in its supply chain for certain components and has continued exposure to price and supply risk related to anticipated purchases of certain commodities, materials and products used in its business.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33" w:lineRule="exact"/>
        <w:rPr>
          <w:sz w:val="20"/>
          <w:szCs w:val="20"/>
          <w:color w:val="auto"/>
        </w:rPr>
      </w:pPr>
    </w:p>
    <w:p>
      <w:pPr>
        <w:ind w:right="100" w:firstLine="419"/>
        <w:spacing w:after="0" w:line="246" w:lineRule="auto"/>
        <w:rPr>
          <w:sz w:val="20"/>
          <w:szCs w:val="20"/>
          <w:color w:val="auto"/>
        </w:rPr>
      </w:pPr>
      <w:r>
        <w:rPr>
          <w:rFonts w:ascii="Times New Roman" w:cs="Times New Roman" w:eastAsia="Times New Roman" w:hAnsi="Times New Roman"/>
          <w:sz w:val="18"/>
          <w:szCs w:val="18"/>
          <w:color w:val="auto"/>
        </w:rPr>
        <w:t>The Company has a diverse customer base and as of March 31, 2022, had only one customer who individually accounted for 10% of accounts receivable. As of December 31, 2021, the Company had no customers who individually accounted for more than 10% of accounts receivable. The Company maintains an allowance for credit losses resulting from the inability of its customers, including ambulatory surgery centers, to make required payments. After evaluation of the collectability of accounts receivable, the Company did not record any significant allowance for credit losses as of March 31, 2022 or December 31, 2021.</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119" w:lineRule="exact"/>
        <w:rPr>
          <w:sz w:val="20"/>
          <w:szCs w:val="20"/>
          <w:color w:val="auto"/>
        </w:rPr>
      </w:pPr>
    </w:p>
    <w:p>
      <w:pPr>
        <w:ind w:right="180" w:firstLine="374"/>
        <w:spacing w:after="0" w:line="247" w:lineRule="auto"/>
        <w:rPr>
          <w:sz w:val="20"/>
          <w:szCs w:val="20"/>
          <w:color w:val="auto"/>
        </w:rPr>
      </w:pPr>
      <w:r>
        <w:rPr>
          <w:rFonts w:ascii="Times New Roman" w:cs="Times New Roman" w:eastAsia="Times New Roman" w:hAnsi="Times New Roman"/>
          <w:sz w:val="18"/>
          <w:szCs w:val="18"/>
          <w:color w:val="auto"/>
        </w:rPr>
        <w:t>The Company uses fair value measurements to record fair value adjustments to certain assets and liabilities and to determine fair value disclosures. The Company’s financial instruments consist principally of cash, cash equivalents, short-term investments, accounts receivable, accounts payable, operating lease liabilities and a term loan. Fair value is measured as the price that would be received from the sale of an asset or paid to transfer a liability in the principal or most advantageous market for the asset or liability in an orderly transaction between market participants on the measurement date. Valuation techniques that are consistent with the market, income or cost approach are used to measure fair value. The fair value hierarchy prioritizes the inputs to valuation techniques used to measure fair value into three levels:</w:t>
      </w:r>
    </w:p>
    <w:p>
      <w:pPr>
        <w:spacing w:after="0" w:line="112" w:lineRule="exact"/>
        <w:rPr>
          <w:sz w:val="20"/>
          <w:szCs w:val="20"/>
          <w:color w:val="auto"/>
        </w:rPr>
      </w:pPr>
    </w:p>
    <w:p>
      <w:pPr>
        <w:ind w:right="200" w:firstLine="374"/>
        <w:spacing w:after="0" w:line="266" w:lineRule="auto"/>
        <w:rPr>
          <w:sz w:val="20"/>
          <w:szCs w:val="20"/>
          <w:color w:val="auto"/>
        </w:rPr>
      </w:pPr>
      <w:r>
        <w:rPr>
          <w:rFonts w:ascii="Times New Roman" w:cs="Times New Roman" w:eastAsia="Times New Roman" w:hAnsi="Times New Roman"/>
          <w:sz w:val="18"/>
          <w:szCs w:val="18"/>
          <w:color w:val="auto"/>
        </w:rPr>
        <w:t>Level 1—Observable inputs such as unadjusted quoted prices in active markets that are accessible at the measurement date for identical unrestricted assets or liabilities.</w:t>
      </w:r>
    </w:p>
    <w:p>
      <w:pPr>
        <w:spacing w:after="0" w:line="95" w:lineRule="exact"/>
        <w:rPr>
          <w:sz w:val="20"/>
          <w:szCs w:val="20"/>
          <w:color w:val="auto"/>
        </w:rPr>
      </w:pPr>
    </w:p>
    <w:p>
      <w:pPr>
        <w:ind w:firstLine="374"/>
        <w:spacing w:after="0" w:line="246" w:lineRule="auto"/>
        <w:rPr>
          <w:sz w:val="20"/>
          <w:szCs w:val="20"/>
          <w:color w:val="auto"/>
        </w:rPr>
      </w:pPr>
      <w:r>
        <w:rPr>
          <w:rFonts w:ascii="Times New Roman" w:cs="Times New Roman" w:eastAsia="Times New Roman" w:hAnsi="Times New Roman"/>
          <w:sz w:val="18"/>
          <w:szCs w:val="18"/>
          <w:color w:val="auto"/>
        </w:rPr>
        <w:t>Level 2—Inputs (other than quoted prices included in Level 1) that are either directly or indirectly observable for the asset or liability, for substantially the full term of the asset or liability, through correlation with market data. These include quoted prices for similar assets or liabilities in active markets, quoted prices for identical or similar assets or liabilities in markets that are not active and inputs to valuation models or other pricing methodologies that do not require significant judgment because the inputs used in the model, such as interest rates and volatility, can be corroborated by readily observable market data.</w:t>
      </w:r>
    </w:p>
    <w:p>
      <w:pPr>
        <w:spacing w:after="0" w:line="114" w:lineRule="exact"/>
        <w:rPr>
          <w:sz w:val="20"/>
          <w:szCs w:val="20"/>
          <w:color w:val="auto"/>
        </w:rPr>
      </w:pPr>
    </w:p>
    <w:p>
      <w:pPr>
        <w:ind w:right="100" w:firstLine="374"/>
        <w:spacing w:after="0" w:line="250" w:lineRule="auto"/>
        <w:rPr>
          <w:sz w:val="20"/>
          <w:szCs w:val="20"/>
          <w:color w:val="auto"/>
        </w:rPr>
      </w:pPr>
      <w:r>
        <w:rPr>
          <w:rFonts w:ascii="Times New Roman" w:cs="Times New Roman" w:eastAsia="Times New Roman" w:hAnsi="Times New Roman"/>
          <w:sz w:val="18"/>
          <w:szCs w:val="18"/>
          <w:color w:val="auto"/>
        </w:rPr>
        <w:t>Level 3—One or more significant inputs that are unobservable and supported by little or no market activity and reflect the use of significant management judgment and assumptions. Level 3 assets and liabilities include those whose fair value measurements are determined using pricing models, discounted cash flow methodologies or similar valuation techniques and significant management judgment or estimation. These include the Black-Scholes option-pricing model which uses inputs such as expected volatility, risk-free interest rate and expected term to determine fair market valuation.</w:t>
      </w:r>
    </w:p>
    <w:p>
      <w:pPr>
        <w:spacing w:after="0" w:line="110" w:lineRule="exact"/>
        <w:rPr>
          <w:sz w:val="20"/>
          <w:szCs w:val="20"/>
          <w:color w:val="auto"/>
        </w:rPr>
      </w:pPr>
    </w:p>
    <w:p>
      <w:pPr>
        <w:ind w:right="100" w:firstLine="374"/>
        <w:spacing w:after="0" w:line="250" w:lineRule="auto"/>
        <w:rPr>
          <w:sz w:val="20"/>
          <w:szCs w:val="20"/>
          <w:color w:val="auto"/>
        </w:rPr>
      </w:pPr>
      <w:r>
        <w:rPr>
          <w:rFonts w:ascii="Times New Roman" w:cs="Times New Roman" w:eastAsia="Times New Roman" w:hAnsi="Times New Roman"/>
          <w:sz w:val="18"/>
          <w:szCs w:val="18"/>
          <w:color w:val="auto"/>
        </w:rPr>
        <w:t>Assets and liabilities are classified based on the lowest level of input that is significant to the fair value measurements. The Company reviews the fair value hierarchy classification at each reporting date. Changes in the ability to observe valuation inputs may result in a reclassification of levels for certain assets or liabilities within the fair value hierarchy. The Company did not have any transfers of assets and liabilities between the levels of the fair value measurement hierarchy during the years presented.</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19" w:lineRule="exact"/>
        <w:rPr>
          <w:sz w:val="20"/>
          <w:szCs w:val="20"/>
          <w:color w:val="auto"/>
        </w:rPr>
      </w:pPr>
    </w:p>
    <w:p>
      <w:pPr>
        <w:ind w:right="20" w:firstLine="374"/>
        <w:spacing w:after="0" w:line="242" w:lineRule="auto"/>
        <w:rPr>
          <w:sz w:val="20"/>
          <w:szCs w:val="20"/>
          <w:color w:val="auto"/>
        </w:rPr>
      </w:pPr>
      <w:r>
        <w:rPr>
          <w:rFonts w:ascii="Times New Roman" w:cs="Times New Roman" w:eastAsia="Times New Roman" w:hAnsi="Times New Roman"/>
          <w:sz w:val="18"/>
          <w:szCs w:val="18"/>
          <w:color w:val="auto"/>
        </w:rPr>
        <w:t>Inventories consist of raw materials, work-in-process and finished goods. Raw materials are comprised of chemicals and parts used in the production of the Company's lenses, cartridges, and LDDs. Finished goods are comprised of lenses, cartridges, accessories and LDDs. Inventories are valued at the lower of cost or net realizable value. Cost is computed using standard cost, which approximates actual cost on a first-in, first-out basis. The carrying value of inventories is reviewed for potential impairment whenever indicators suggest that the cost of inventories exceeds the carrying value and management adjusts the inventories to its net realizable value. The cost of finished goods and work-in-process is comprised of raw materials, direct labor, other direct costs and related production overhead to the extent that these costs do not exceed the net realizable value of the goods produced. The Company periodically reviews inventories for potential impairment, estimated losses from obsolescence, material expirations or unmarketable inventories or excess inventories and writes down the cost of inventories to net realizable value at the time such determinations are made. Net realizable value is determined using the estimated selling price, in the ordinary course of business, less estimated costs to complete and dispose.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60" w:lineRule="exact"/>
        <w:rPr>
          <w:sz w:val="20"/>
          <w:szCs w:val="20"/>
          <w:color w:val="auto"/>
        </w:rPr>
      </w:pPr>
    </w:p>
    <w:p>
      <w:pPr>
        <w:ind w:right="160" w:firstLine="374"/>
        <w:spacing w:after="0" w:line="243" w:lineRule="auto"/>
        <w:rPr>
          <w:sz w:val="20"/>
          <w:szCs w:val="20"/>
          <w:color w:val="auto"/>
        </w:rPr>
      </w:pPr>
      <w:r>
        <w:rPr>
          <w:rFonts w:ascii="Times New Roman" w:cs="Times New Roman" w:eastAsia="Times New Roman" w:hAnsi="Times New Roman"/>
          <w:sz w:val="18"/>
          <w:szCs w:val="18"/>
          <w:color w:val="auto"/>
        </w:rPr>
        <w:t>Lease right-of-use assets represent the Company’s right to use an underlying asset for the lease term, and lease liabilities represent the Company’s obligation to make lease payments arising from the lease. Operating lease right-of-use assets and liabilities are recognized when the Company takes possession of the leased property (the “Commencement Date”) based on the present value of lease payments over the lease term. The Company estimates the incremental borrowing rate based upon the cost of its own debt financing, current market interest rates and quoted offerings or the rate implicit in the lease. Operating lease right-of-use assets also include any lease payments made at or before lease commencement and exclude any lease incentives received. The lease terms used to calculate the right-of-use asset and related lease liability include options to extend or terminate the lease when it is reasonably certain that the Company will exercise that option. Rent expense on noncancelable leases containing known future scheduled rent increases is recorded on a straight-line basis over the term of the respective leases beginning on the Commencement Date. The difference between rent expense and rent paid is accounted for as a component of operating lease right-of-use assets on the accompanying condensed consolidated balance sheets. Landlord improvement allowances and other such lease incentives are recorded as property and equipment and as reduction of the right-of-use leased assets and are amortized on a straight-line basis as a reduction to operating lease costs. Leases with an initial term of 12 months or less are expensed as incurred and are not recorded as right-of-use assets on the condensed consolidated balance sheets.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Offering Costs</w:t>
      </w:r>
    </w:p>
    <w:p>
      <w:pPr>
        <w:spacing w:after="0" w:line="214"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In connection with the IPO the Company capitalized deferred offering costs consisting of all direct and incremental legal, professional, accounting and other third-party fees incurred of $3.2 million which were offset against IPO proceeds and reclassified to additional paid-in capital in the accompanying Condensed Consolidated Balance Sheets.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per Share</w:t>
      </w:r>
    </w:p>
    <w:p>
      <w:pPr>
        <w:spacing w:after="0" w:line="146" w:lineRule="exact"/>
        <w:rPr>
          <w:sz w:val="20"/>
          <w:szCs w:val="20"/>
          <w:color w:val="auto"/>
        </w:rPr>
      </w:pPr>
    </w:p>
    <w:p>
      <w:pPr>
        <w:ind w:right="20" w:firstLine="374"/>
        <w:spacing w:after="0" w:line="242" w:lineRule="auto"/>
        <w:rPr>
          <w:sz w:val="20"/>
          <w:szCs w:val="20"/>
          <w:color w:val="auto"/>
        </w:rPr>
      </w:pPr>
      <w:r>
        <w:rPr>
          <w:rFonts w:ascii="Times New Roman" w:cs="Times New Roman" w:eastAsia="Times New Roman" w:hAnsi="Times New Roman"/>
          <w:sz w:val="18"/>
          <w:szCs w:val="18"/>
          <w:color w:val="auto"/>
        </w:rPr>
        <w:t>The Company computes basic net loss per share for common stock using the two-class method required for companies with participating securities based upon the weighted-average number of common shares outstanding during the period. Diluted net loss per share assumes the conversion, exercise or issuance of all potential common stock equivalents, unless the effect of inclusion would be anti-dilutive. For purposes of this calculation, common stock equivalents include the Company’s stock options, warrants and the shares issuable upon the conversion of the preferred stock. For stock options and preferred stock, the calculation of diluted loss per share requires an adjustment for the additional share of undistributed earnings. For warrants that are recorded as a liability in the condensed consolidated balance sheets, the calculation of diluted loss per share requires that, to the extent the average market price of the underlying shares for the reporting period exceeds the exercise price of the warrants and the presumed exercise of the warrants is dilutive to the loss per share for the period, an adjustment is made to net loss used in the calculation to remove the change in fair value of the warrants from the numerator for the period. Likewise, an adjustment to the denominator is required to reflect the related dilutive shares, if any, under the treasury stock method.</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15" w:name="page16"/>
    <w:bookmarkEnd w:id="15"/>
    <w:p>
      <w:pPr>
        <w:ind w:left="380"/>
        <w:spacing w:after="0"/>
        <w:rPr>
          <w:sz w:val="20"/>
          <w:szCs w:val="20"/>
          <w:color w:val="auto"/>
        </w:rPr>
      </w:pPr>
      <w:r>
        <w:rPr>
          <w:rFonts w:ascii="Times New Roman" w:cs="Times New Roman" w:eastAsia="Times New Roman" w:hAnsi="Times New Roman"/>
          <w:sz w:val="18"/>
          <w:szCs w:val="18"/>
          <w:color w:val="auto"/>
        </w:rPr>
        <w:t>For the three months ended March 31, 2022 and 2021, as a result of the Company’s net loss, basic and diluted net loss per share are the same.</w:t>
      </w:r>
    </w:p>
    <w:p>
      <w:pPr>
        <w:spacing w:after="0" w:line="144" w:lineRule="exact"/>
        <w:rPr>
          <w:sz w:val="20"/>
          <w:szCs w:val="20"/>
          <w:color w:val="auto"/>
        </w:rPr>
      </w:pPr>
    </w:p>
    <w:p>
      <w:pPr>
        <w:ind w:right="480" w:firstLine="374"/>
        <w:spacing w:after="0" w:line="266" w:lineRule="auto"/>
        <w:rPr>
          <w:sz w:val="20"/>
          <w:szCs w:val="20"/>
          <w:color w:val="auto"/>
        </w:rPr>
      </w:pPr>
      <w:r>
        <w:rPr>
          <w:rFonts w:ascii="Times New Roman" w:cs="Times New Roman" w:eastAsia="Times New Roman" w:hAnsi="Times New Roman"/>
          <w:sz w:val="18"/>
          <w:szCs w:val="18"/>
          <w:color w:val="auto"/>
        </w:rPr>
        <w:t>The following outstanding potentially dilutive securities were excluded from the calculation of diluted net loss per share attributable to common stockholders because their impact under the “treasury stock method” and “if-converted method” was anti-dilutive for the periods presented: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4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38"/>
        </w:trPr>
        <w:tc>
          <w:tcPr>
            <w:tcW w:w="7480" w:type="dxa"/>
            <w:vAlign w:val="bottom"/>
            <w:gridSpan w:val="3"/>
          </w:tcPr>
          <w:p>
            <w:pPr>
              <w:ind w:left="69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5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10"/>
        </w:trPr>
        <w:tc>
          <w:tcPr>
            <w:tcW w:w="580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Preferred stock and warrants</w:t>
            </w:r>
          </w:p>
        </w:tc>
        <w:tc>
          <w:tcPr>
            <w:tcW w:w="20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15,076,938</w:t>
            </w:r>
          </w:p>
        </w:tc>
        <w:tc>
          <w:tcPr>
            <w:tcW w:w="300" w:type="dxa"/>
            <w:vAlign w:val="bottom"/>
          </w:tcPr>
          <w:p>
            <w:pPr>
              <w:spacing w:after="0"/>
              <w:rPr>
                <w:sz w:val="18"/>
                <w:szCs w:val="18"/>
                <w:color w:val="auto"/>
              </w:rPr>
            </w:pPr>
          </w:p>
        </w:tc>
      </w:tr>
      <w:tr>
        <w:trPr>
          <w:trHeight w:val="171"/>
        </w:trPr>
        <w:tc>
          <w:tcPr>
            <w:tcW w:w="7480" w:type="dxa"/>
            <w:vAlign w:val="bottom"/>
            <w:gridSpan w:val="3"/>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Stock options issued and outstanding under the Calhoun Vision, Inc. 2006</w:t>
            </w:r>
          </w:p>
        </w:tc>
        <w:tc>
          <w:tcPr>
            <w:tcW w:w="8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r>
      <w:tr>
        <w:trPr>
          <w:trHeight w:val="189"/>
        </w:trPr>
        <w:tc>
          <w:tcPr>
            <w:tcW w:w="7480" w:type="dxa"/>
            <w:vAlign w:val="bottom"/>
            <w:gridSpan w:val="3"/>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Stock Plan, Calhoun Vision, Inc. 2015 Equity Incentive Plan and 2021</w:t>
            </w:r>
          </w:p>
        </w:tc>
        <w:tc>
          <w:tcPr>
            <w:tcW w:w="8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r>
      <w:tr>
        <w:trPr>
          <w:trHeight w:val="234"/>
        </w:trPr>
        <w:tc>
          <w:tcPr>
            <w:tcW w:w="748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Equity Incentive Plan</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1,986,088</w:t>
            </w:r>
          </w:p>
        </w:tc>
        <w:tc>
          <w:tcPr>
            <w:tcW w:w="28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4,103,694</w:t>
            </w:r>
          </w:p>
        </w:tc>
        <w:tc>
          <w:tcPr>
            <w:tcW w:w="300" w:type="dxa"/>
            <w:vAlign w:val="bottom"/>
            <w:shd w:val="clear" w:color="auto" w:fill="CFF0FC"/>
          </w:tcPr>
          <w:p>
            <w:pPr>
              <w:spacing w:after="0"/>
              <w:rPr>
                <w:sz w:val="20"/>
                <w:szCs w:val="20"/>
                <w:color w:val="auto"/>
              </w:rPr>
            </w:pPr>
          </w:p>
        </w:tc>
      </w:tr>
      <w:tr>
        <w:trPr>
          <w:trHeight w:val="216"/>
        </w:trPr>
        <w:tc>
          <w:tcPr>
            <w:tcW w:w="74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Restricted stock units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53,545</w:t>
            </w: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r>
      <w:tr>
        <w:trPr>
          <w:trHeight w:val="216"/>
        </w:trPr>
        <w:tc>
          <w:tcPr>
            <w:tcW w:w="748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 issuable in offering period under the Employee Stock Purchase Plan</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46,733</w:t>
            </w:r>
          </w:p>
        </w:tc>
        <w:tc>
          <w:tcPr>
            <w:tcW w:w="2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jc w:val="both"/>
        <w:ind w:right="60" w:firstLine="374"/>
        <w:spacing w:after="0" w:line="258" w:lineRule="auto"/>
        <w:rPr>
          <w:sz w:val="20"/>
          <w:szCs w:val="20"/>
          <w:color w:val="auto"/>
        </w:rPr>
      </w:pPr>
      <w:r>
        <w:rPr>
          <w:rFonts w:ascii="Times New Roman" w:cs="Times New Roman" w:eastAsia="Times New Roman" w:hAnsi="Times New Roman"/>
          <w:sz w:val="18"/>
          <w:szCs w:val="18"/>
          <w:color w:val="auto"/>
        </w:rPr>
        <w:t>The Company’s revenue is generated from the sale of LALs used in cataract surgery along with a specifically designed machine for delivering light to the eye, the LDD, to adjust the lens post-surgery, as needed. Revenue is recognized from sales of products in the U.S. and Europe. Customers are primarily comprised of ambulatory surgery centers, hospitals, and physician private practices.</w:t>
      </w:r>
    </w:p>
    <w:p>
      <w:pPr>
        <w:spacing w:after="0" w:line="102" w:lineRule="exact"/>
        <w:rPr>
          <w:sz w:val="20"/>
          <w:szCs w:val="20"/>
          <w:color w:val="auto"/>
        </w:rPr>
      </w:pPr>
    </w:p>
    <w:p>
      <w:pPr>
        <w:ind w:right="40" w:firstLine="374"/>
        <w:spacing w:after="0" w:line="261" w:lineRule="auto"/>
        <w:rPr>
          <w:sz w:val="20"/>
          <w:szCs w:val="20"/>
          <w:color w:val="auto"/>
        </w:rPr>
      </w:pPr>
      <w:r>
        <w:rPr>
          <w:rFonts w:ascii="Times New Roman" w:cs="Times New Roman" w:eastAsia="Times New Roman" w:hAnsi="Times New Roman"/>
          <w:sz w:val="17"/>
          <w:szCs w:val="17"/>
          <w:color w:val="auto"/>
        </w:rPr>
        <w:t>The Company recognizes revenues when promised goods or services are transferred to customers at a transaction price that reflects the consideration to which the Company expects to be entitled in exchange for those goods and services. Specifically, the Company applies the following five steps to recognize revenue: (i) identify the contract(s) with a customer; (ii) identify the performance obligations in the contract; (iii) determine the transaction price;</w:t>
      </w:r>
    </w:p>
    <w:p>
      <w:pPr>
        <w:spacing w:after="0" w:line="2" w:lineRule="exact"/>
        <w:rPr>
          <w:sz w:val="20"/>
          <w:szCs w:val="20"/>
          <w:color w:val="auto"/>
        </w:rPr>
      </w:pPr>
    </w:p>
    <w:p>
      <w:pPr>
        <w:ind w:right="80" w:firstLine="8"/>
        <w:spacing w:after="0"/>
        <w:tabs>
          <w:tab w:leader="none" w:pos="30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 (v) recognize revenue when, or as, the Company satisfies a performance obligation. The Company applies the five-step model to contracts when it is probable that it will collect the consideration to which it is entitled in exchange for the goods or services it transfers to the customer. At contract inception, the Company assesses the goods promised within each customer contract to determine the individual deliverables in its product offerings as separate performance obligations and assesses whether each promised good or service is distinct. The transaction price is determined based on the consideration expected to be received, based either on the stated value in contractual arrangements or the estimated cash to be collected in non-contracted arrangements. The Company recognizes revenue as the amount of the transaction price that is allocated to the respective performance obligation when, or as, the performance obligation is satisfied, considering whether or not this occurs at a point in time or over time. The Company elected to account for shipping costs as fulfillment costs rather than a promised service and excludes from revenue any taxes collected from customers that are remitted to government authorities.</w:t>
      </w:r>
    </w:p>
    <w:p>
      <w:pPr>
        <w:spacing w:after="0" w:line="117" w:lineRule="exact"/>
        <w:rPr>
          <w:sz w:val="20"/>
          <w:szCs w:val="20"/>
          <w:color w:val="auto"/>
        </w:rPr>
      </w:pPr>
    </w:p>
    <w:p>
      <w:pPr>
        <w:ind w:right="40" w:firstLine="374"/>
        <w:spacing w:after="0" w:line="243" w:lineRule="auto"/>
        <w:rPr>
          <w:sz w:val="20"/>
          <w:szCs w:val="20"/>
          <w:color w:val="auto"/>
        </w:rPr>
      </w:pPr>
      <w:r>
        <w:rPr>
          <w:rFonts w:ascii="Times New Roman" w:cs="Times New Roman" w:eastAsia="Times New Roman" w:hAnsi="Times New Roman"/>
          <w:sz w:val="18"/>
          <w:szCs w:val="18"/>
          <w:color w:val="auto"/>
        </w:rPr>
        <w:t>The Company’s LDD contracts contain multiple performance obligations bundled for one transaction price, with all obligations generally satisfied within one year. For these bundled arrangements, the Company accounts for individual products and services as separate performance obligations if they are distinct, that is, if a product or service is separately identifiable from other items in the bundled package, and if a customer can benefit from it on its own or with other resources that are readily available to the customer. The Company’s LDD contracts include a combination of the following performance obligations: (1) LDD capital asset and related components, (2) training and (3) device service (initial year). Each of these three performance obligations are considered distinct. The LDD capital asset is distinct because the customer can benefit from it together with other resources that are readily available to the customer. Training on the use of the machine is offered as a distinct activity after installation of the LDD to enhance the customer’s ability to utilize the machine by having an industry professional provide best practices and customize training to the specific needs of the customer. Each LDD comes with a twelve-month manufacturer’s warranty (service-type) that includes preventative maintenance, unscheduled service (labor and parts) and software updates. After the first year, service contracts can be purchased separately on a standalone basis. The Company recognizes revenue as performance obligations are satisfied by transferring control of the product or service to a customer. Specifically, revenue for the LDD capital asset is recognized at a point in time at installation. Revenue for training is also recorded at a point in time, generally 60 days after installation. Revenue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16" w:name="page17"/>
    <w:bookmarkEnd w:id="16"/>
    <w:p>
      <w:pPr>
        <w:ind w:right="120"/>
        <w:spacing w:after="0" w:line="244" w:lineRule="auto"/>
        <w:rPr>
          <w:sz w:val="20"/>
          <w:szCs w:val="20"/>
          <w:color w:val="auto"/>
        </w:rPr>
      </w:pPr>
      <w:r>
        <w:rPr>
          <w:rFonts w:ascii="Times New Roman" w:cs="Times New Roman" w:eastAsia="Times New Roman" w:hAnsi="Times New Roman"/>
          <w:sz w:val="18"/>
          <w:szCs w:val="18"/>
          <w:color w:val="auto"/>
        </w:rPr>
        <w:t>for the device service is recognized ratably over time after installation, generally 12 months. The Company has determined that the transaction price is the invoice price, net of adjustments, if any. The allocation to the separate performance obligations is based upon the relative standalone selling price. Standalone selling prices are based on observable prices at which the Company separately sells the products or services. The Company estimates the standalone selling price using the market assessment approach considering market conditions and entity-specific factors including, but not limited to, features and functionality of the products and services, geographies, type of customer and market conditions. The Company regularly reviews and updates standalone selling prices as necessary.</w:t>
      </w:r>
    </w:p>
    <w:p>
      <w:pPr>
        <w:spacing w:after="0" w:line="114" w:lineRule="exact"/>
        <w:rPr>
          <w:sz w:val="20"/>
          <w:szCs w:val="20"/>
          <w:color w:val="auto"/>
        </w:rPr>
      </w:pPr>
    </w:p>
    <w:p>
      <w:pPr>
        <w:jc w:val="both"/>
        <w:ind w:right="120" w:firstLine="374"/>
        <w:spacing w:after="0" w:line="258" w:lineRule="auto"/>
        <w:rPr>
          <w:sz w:val="20"/>
          <w:szCs w:val="20"/>
          <w:color w:val="auto"/>
        </w:rPr>
      </w:pPr>
      <w:r>
        <w:rPr>
          <w:rFonts w:ascii="Times New Roman" w:cs="Times New Roman" w:eastAsia="Times New Roman" w:hAnsi="Times New Roman"/>
          <w:sz w:val="18"/>
          <w:szCs w:val="18"/>
          <w:color w:val="auto"/>
        </w:rPr>
        <w:t>LALs are held at customer sites on consignment. The single performance obligation is satisfied, and revenue from sales is recognized for LALs upon customer notification that the LALs have been implanted in a patient. For the three months ended March 31, 2022 and 2021, credits related to returns and rebates on list prices were not significant.</w:t>
      </w:r>
    </w:p>
    <w:p>
      <w:pPr>
        <w:spacing w:after="0" w:line="102" w:lineRule="exact"/>
        <w:rPr>
          <w:sz w:val="20"/>
          <w:szCs w:val="20"/>
          <w:color w:val="auto"/>
        </w:rPr>
      </w:pPr>
    </w:p>
    <w:p>
      <w:pPr>
        <w:ind w:right="360" w:firstLine="374"/>
        <w:spacing w:after="0" w:line="266" w:lineRule="auto"/>
        <w:rPr>
          <w:sz w:val="20"/>
          <w:szCs w:val="20"/>
          <w:color w:val="auto"/>
        </w:rPr>
      </w:pPr>
      <w:r>
        <w:rPr>
          <w:rFonts w:ascii="Times New Roman" w:cs="Times New Roman" w:eastAsia="Times New Roman" w:hAnsi="Times New Roman"/>
          <w:sz w:val="18"/>
          <w:szCs w:val="18"/>
          <w:color w:val="auto"/>
        </w:rPr>
        <w:t>The Company adopted the practical expedient permitting the direct expensing of costs incurred to obtain contracts where the amortization of such costs would occur over one year or less, and it applied to substantially all the Company’s contracts.</w:t>
      </w:r>
    </w:p>
    <w:p>
      <w:pPr>
        <w:spacing w:after="0" w:line="9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the three months ended March 31, 2022 and 2021, revenue from contracts with customers consisted of the following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8"/>
        </w:trPr>
        <w:tc>
          <w:tcPr>
            <w:tcW w:w="59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LDD (including training)</w:t>
            </w:r>
          </w:p>
        </w:tc>
        <w:tc>
          <w:tcPr>
            <w:tcW w:w="62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4,569</w:t>
            </w:r>
          </w:p>
        </w:tc>
        <w:tc>
          <w:tcPr>
            <w:tcW w:w="1100" w:type="dxa"/>
            <w:vAlign w:val="bottom"/>
            <w:gridSpan w:val="2"/>
            <w:shd w:val="clear" w:color="auto" w:fill="CFF0FC"/>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280" w:type="dxa"/>
            <w:vAlign w:val="bottom"/>
            <w:shd w:val="clear" w:color="auto" w:fill="CFF0FC"/>
          </w:tcPr>
          <w:p>
            <w:pPr>
              <w:spacing w:after="0"/>
              <w:rPr>
                <w:sz w:val="18"/>
                <w:szCs w:val="18"/>
                <w:color w:val="auto"/>
              </w:rPr>
            </w:pPr>
          </w:p>
        </w:tc>
      </w:tr>
      <w:tr>
        <w:trPr>
          <w:trHeight w:val="21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LAL</w:t>
            </w:r>
          </w:p>
        </w:tc>
        <w:tc>
          <w:tcPr>
            <w:tcW w:w="62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4,105</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280" w:type="dxa"/>
            <w:vAlign w:val="bottom"/>
          </w:tcPr>
          <w:p>
            <w:pPr>
              <w:spacing w:after="0"/>
              <w:rPr>
                <w:sz w:val="18"/>
                <w:szCs w:val="18"/>
                <w:color w:val="auto"/>
              </w:rPr>
            </w:pPr>
          </w:p>
        </w:tc>
      </w:tr>
      <w:tr>
        <w:trPr>
          <w:trHeight w:val="216"/>
        </w:trPr>
        <w:tc>
          <w:tcPr>
            <w:tcW w:w="5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Service warranty, service contracts, and accessories</w:t>
            </w:r>
          </w:p>
        </w:tc>
        <w:tc>
          <w:tcPr>
            <w:tcW w:w="620" w:type="dxa"/>
            <w:vAlign w:val="bottom"/>
            <w:tcBorders>
              <w:bottom w:val="single" w:sz="8" w:color="auto"/>
            </w:tcBorders>
            <w:shd w:val="clear" w:color="auto" w:fill="CFF0FC"/>
          </w:tcPr>
          <w:p>
            <w:pPr>
              <w:spacing w:after="0"/>
              <w:rPr>
                <w:sz w:val="18"/>
                <w:szCs w:val="18"/>
                <w:color w:val="auto"/>
              </w:rPr>
            </w:pPr>
          </w:p>
        </w:tc>
        <w:tc>
          <w:tcPr>
            <w:tcW w:w="2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8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80" w:type="dxa"/>
            <w:vAlign w:val="bottom"/>
            <w:tcBorders>
              <w:bottom w:val="single" w:sz="8" w:color="CFF0FC"/>
            </w:tcBorders>
            <w:shd w:val="clear" w:color="auto" w:fill="CFF0FC"/>
          </w:tcPr>
          <w:p>
            <w:pPr>
              <w:spacing w:after="0"/>
              <w:rPr>
                <w:sz w:val="18"/>
                <w:szCs w:val="18"/>
                <w:color w:val="auto"/>
              </w:rPr>
            </w:pPr>
          </w:p>
        </w:tc>
      </w:tr>
      <w:tr>
        <w:trPr>
          <w:trHeight w:val="209"/>
        </w:trPr>
        <w:tc>
          <w:tcPr>
            <w:tcW w:w="5980" w:type="dxa"/>
            <w:vAlign w:val="bottom"/>
          </w:tcPr>
          <w:p>
            <w:pPr>
              <w:spacing w:after="0"/>
              <w:rPr>
                <w:sz w:val="18"/>
                <w:szCs w:val="18"/>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8,942</w:t>
            </w:r>
          </w:p>
        </w:tc>
        <w:tc>
          <w:tcPr>
            <w:tcW w:w="11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3,484</w:t>
            </w:r>
          </w:p>
        </w:tc>
        <w:tc>
          <w:tcPr>
            <w:tcW w:w="28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-170815</wp:posOffset>
            </wp:positionV>
            <wp:extent cx="431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-170815</wp:posOffset>
            </wp:positionV>
            <wp:extent cx="431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5" w:lineRule="exact"/>
        <w:rPr>
          <w:sz w:val="20"/>
          <w:szCs w:val="20"/>
          <w:color w:val="auto"/>
        </w:rPr>
      </w:pPr>
    </w:p>
    <w:p>
      <w:pPr>
        <w:jc w:val="both"/>
        <w:ind w:right="100" w:firstLine="374"/>
        <w:spacing w:after="0" w:line="258" w:lineRule="auto"/>
        <w:rPr>
          <w:sz w:val="20"/>
          <w:szCs w:val="20"/>
          <w:color w:val="auto"/>
        </w:rPr>
      </w:pPr>
      <w:r>
        <w:rPr>
          <w:rFonts w:ascii="Times New Roman" w:cs="Times New Roman" w:eastAsia="Times New Roman" w:hAnsi="Times New Roman"/>
          <w:sz w:val="18"/>
          <w:szCs w:val="18"/>
          <w:color w:val="auto"/>
        </w:rPr>
        <w:t>As of March 31, 2022 and December 31, 2021, the Company recognized contract liabilities on its condensed consolidated balance sheets of $622,000 and $540,000 respectively, related to the service agreement performance obligation. Revenue for service agreements is recognized ratably over the term of each contract.</w:t>
      </w:r>
    </w:p>
    <w:p>
      <w:pPr>
        <w:spacing w:after="0" w:line="102" w:lineRule="exact"/>
        <w:rPr>
          <w:sz w:val="20"/>
          <w:szCs w:val="20"/>
          <w:color w:val="auto"/>
        </w:rPr>
      </w:pPr>
    </w:p>
    <w:p>
      <w:pPr>
        <w:ind w:right="600" w:firstLine="374"/>
        <w:spacing w:after="0" w:line="266" w:lineRule="auto"/>
        <w:rPr>
          <w:sz w:val="20"/>
          <w:szCs w:val="20"/>
          <w:color w:val="auto"/>
        </w:rPr>
      </w:pPr>
      <w:r>
        <w:rPr>
          <w:rFonts w:ascii="Times New Roman" w:cs="Times New Roman" w:eastAsia="Times New Roman" w:hAnsi="Times New Roman"/>
          <w:sz w:val="18"/>
          <w:szCs w:val="18"/>
          <w:color w:val="auto"/>
        </w:rPr>
        <w:t>The following table represents the contract liabilities from sales activity for the three months ended March 31, 2022 and 2021, respectively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1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9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0"/>
                <w:szCs w:val="20"/>
                <w:color w:val="auto"/>
              </w:rPr>
            </w:pPr>
          </w:p>
        </w:tc>
      </w:tr>
      <w:tr>
        <w:trPr>
          <w:trHeight w:val="425"/>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300" w:type="dxa"/>
            <w:vAlign w:val="bottom"/>
          </w:tcPr>
          <w:p>
            <w:pPr>
              <w:spacing w:after="0"/>
              <w:rPr>
                <w:sz w:val="24"/>
                <w:szCs w:val="24"/>
                <w:color w:val="auto"/>
              </w:rPr>
            </w:pP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24"/>
                <w:szCs w:val="24"/>
                <w:color w:val="auto"/>
              </w:rPr>
            </w:pPr>
          </w:p>
        </w:tc>
      </w:tr>
      <w:tr>
        <w:trPr>
          <w:trHeight w:val="216"/>
        </w:trPr>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Additions during the period</w:t>
            </w:r>
          </w:p>
        </w:tc>
        <w:tc>
          <w:tcPr>
            <w:tcW w:w="620" w:type="dxa"/>
            <w:vAlign w:val="bottom"/>
            <w:shd w:val="clear" w:color="auto" w:fill="CFF0FC"/>
          </w:tcPr>
          <w:p>
            <w:pPr>
              <w:spacing w:after="0"/>
              <w:rPr>
                <w:sz w:val="18"/>
                <w:szCs w:val="18"/>
                <w:color w:val="auto"/>
              </w:rPr>
            </w:pP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FF0FC"/>
          </w:tcPr>
          <w:p>
            <w:pPr>
              <w:spacing w:after="0"/>
              <w:rPr>
                <w:sz w:val="18"/>
                <w:szCs w:val="18"/>
                <w:color w:val="auto"/>
              </w:rPr>
            </w:pPr>
          </w:p>
        </w:tc>
      </w:tr>
      <w:tr>
        <w:trPr>
          <w:trHeight w:val="21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 during the period</w:t>
            </w:r>
          </w:p>
        </w:tc>
        <w:tc>
          <w:tcPr>
            <w:tcW w:w="620" w:type="dxa"/>
            <w:vAlign w:val="bottom"/>
          </w:tcPr>
          <w:p>
            <w:pPr>
              <w:spacing w:after="0"/>
              <w:rPr>
                <w:sz w:val="18"/>
                <w:szCs w:val="18"/>
                <w:color w:val="auto"/>
              </w:rPr>
            </w:pPr>
          </w:p>
        </w:tc>
        <w:tc>
          <w:tcPr>
            <w:tcW w:w="2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(244 )</w:t>
            </w:r>
          </w:p>
        </w:tc>
        <w:tc>
          <w:tcPr>
            <w:tcW w:w="8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(110 )</w:t>
            </w:r>
          </w:p>
        </w:tc>
      </w:tr>
      <w:tr>
        <w:trPr>
          <w:trHeight w:val="250"/>
        </w:trPr>
        <w:tc>
          <w:tcPr>
            <w:tcW w:w="5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620" w:type="dxa"/>
            <w:vAlign w:val="bottom"/>
            <w:tcBorders>
              <w:top w:val="single" w:sz="8" w:color="auto"/>
              <w:bottom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30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top w:val="single" w:sz="8" w:color="auto"/>
              <w:bottom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-24765</wp:posOffset>
            </wp:positionV>
            <wp:extent cx="603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wp:posOffset>
            </wp:positionV>
            <wp:extent cx="603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-24765</wp:posOffset>
            </wp:positionV>
            <wp:extent cx="603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-7620</wp:posOffset>
            </wp:positionV>
            <wp:extent cx="603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2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the three months ended March 31, 2022 and 2021, the Company had no customers who individually accounted for more than 10% of revenue.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has three stock-based incentive compensation plans, the Calhoun Vision, Inc. 2006 Stock Plan (“2006 Plan”), the Calhoun Vision, Inc.</w:t>
      </w:r>
    </w:p>
    <w:p>
      <w:pPr>
        <w:spacing w:after="0" w:line="16"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2015 Equity Incentive Plan (“2015 Plan”), and the 2021 Equity Incentive Plan (“2021 Plan”), which are collectively referred to as the (“Plans”). The Company also has an Employee Stock Purchase Plan (“ESPP”), the 2021 Employee Stock Purchase Plan (“2021 ESPP”).</w:t>
      </w:r>
    </w:p>
    <w:p>
      <w:pPr>
        <w:spacing w:after="0" w:line="10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purpose of the 2021 Plan and 2021 ESPP plan is to provide a means by which eligible recipients of stock awards may be given an opportunity to benefit from increases in the value of the common stock in order to retain 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17" w:name="page18"/>
    <w:bookmarkEnd w:id="17"/>
    <w:p>
      <w:pPr>
        <w:ind w:right="200"/>
        <w:spacing w:after="0" w:line="266" w:lineRule="auto"/>
        <w:rPr>
          <w:sz w:val="20"/>
          <w:szCs w:val="20"/>
          <w:color w:val="auto"/>
        </w:rPr>
      </w:pPr>
      <w:r>
        <w:rPr>
          <w:rFonts w:ascii="Times New Roman" w:cs="Times New Roman" w:eastAsia="Times New Roman" w:hAnsi="Times New Roman"/>
          <w:sz w:val="18"/>
          <w:szCs w:val="18"/>
          <w:color w:val="auto"/>
        </w:rPr>
        <w:t>procure the services of the employees, members of the Board of Directors and consultants and provide them with an incentive to promote the Company’s success and accomplish corporate goals.</w:t>
      </w:r>
    </w:p>
    <w:p>
      <w:pPr>
        <w:spacing w:after="0" w:line="95" w:lineRule="exact"/>
        <w:rPr>
          <w:sz w:val="20"/>
          <w:szCs w:val="20"/>
          <w:color w:val="auto"/>
        </w:rPr>
      </w:pPr>
    </w:p>
    <w:p>
      <w:pPr>
        <w:jc w:val="both"/>
        <w:ind w:right="80" w:firstLine="374"/>
        <w:spacing w:after="0" w:line="258" w:lineRule="auto"/>
        <w:rPr>
          <w:sz w:val="20"/>
          <w:szCs w:val="20"/>
          <w:color w:val="auto"/>
        </w:rPr>
      </w:pPr>
      <w:r>
        <w:rPr>
          <w:rFonts w:ascii="Times New Roman" w:cs="Times New Roman" w:eastAsia="Times New Roman" w:hAnsi="Times New Roman"/>
          <w:sz w:val="18"/>
          <w:szCs w:val="18"/>
          <w:color w:val="auto"/>
        </w:rPr>
        <w:t>Stock option awards are generally granted with an exercise price of no less than 100% of estimated fair market value on the date of grant. Time based awards generally vest over four years as follows: one fourth of the total number of shares vest and become exercisable on the one-year anniversary; 1/48th of the total number of shares subject to the option vest and become exercisable on each monthly anniversary thereafter for the remaining three years.</w:t>
      </w:r>
    </w:p>
    <w:p>
      <w:pPr>
        <w:spacing w:after="0" w:line="102" w:lineRule="exact"/>
        <w:rPr>
          <w:sz w:val="20"/>
          <w:szCs w:val="20"/>
          <w:color w:val="auto"/>
        </w:rPr>
      </w:pPr>
    </w:p>
    <w:p>
      <w:pPr>
        <w:ind w:right="100" w:firstLine="374"/>
        <w:spacing w:after="0" w:line="243" w:lineRule="auto"/>
        <w:rPr>
          <w:sz w:val="20"/>
          <w:szCs w:val="20"/>
          <w:color w:val="auto"/>
        </w:rPr>
      </w:pPr>
      <w:r>
        <w:rPr>
          <w:rFonts w:ascii="Times New Roman" w:cs="Times New Roman" w:eastAsia="Times New Roman" w:hAnsi="Times New Roman"/>
          <w:sz w:val="18"/>
          <w:szCs w:val="18"/>
          <w:color w:val="auto"/>
        </w:rPr>
        <w:t>Prior to the Company's shares being traded on the Nasdaq Global Market, the fair value of the Company’s common stock was determined by the Company’s Board of Directors at the time of each option grant by considering a number of objective and subjective factors. The factors included, but were not limited to: (i) third-party valuations of the Company’s common stock; (ii) the Company’s stage of development; (iii) the status of research and development efforts; (iv) the rights, preferences and privileges of the Company’s convertible preferred stock relative to those of the Company’s common stock; (v) the Company’s operating results and financial condition, including the Company’s levels of available capital resources; (vi) equity market conditions affecting comparable public companies; (vii) general U.S. market conditions and (viii) the lack of marketability of the Company’s common stock. After completion of the Company’s IPO in July 2021, the fair value of common stock is based on the closing price of the Company’s common stock as reported on the Nasdaq Global Market.</w:t>
      </w:r>
    </w:p>
    <w:p>
      <w:pPr>
        <w:spacing w:after="0" w:line="119" w:lineRule="exact"/>
        <w:rPr>
          <w:sz w:val="20"/>
          <w:szCs w:val="20"/>
          <w:color w:val="auto"/>
        </w:rPr>
      </w:pPr>
    </w:p>
    <w:p>
      <w:pPr>
        <w:ind w:right="760" w:firstLine="374"/>
        <w:spacing w:after="0" w:line="266" w:lineRule="auto"/>
        <w:rPr>
          <w:sz w:val="20"/>
          <w:szCs w:val="20"/>
          <w:color w:val="auto"/>
        </w:rPr>
      </w:pPr>
      <w:r>
        <w:rPr>
          <w:rFonts w:ascii="Times New Roman" w:cs="Times New Roman" w:eastAsia="Times New Roman" w:hAnsi="Times New Roman"/>
          <w:sz w:val="18"/>
          <w:szCs w:val="18"/>
          <w:color w:val="auto"/>
        </w:rPr>
        <w:t>In determining the fair value of the stock options granted, the Company uses the Black-Scholes option-pricing model and requires the use of assumptions about a number of variables as discussed below. Each of these inputs is subjective and generally requires significant judgment.</w:t>
      </w:r>
    </w:p>
    <w:p>
      <w:pPr>
        <w:spacing w:after="0" w:line="174" w:lineRule="exact"/>
        <w:rPr>
          <w:sz w:val="20"/>
          <w:szCs w:val="20"/>
          <w:color w:val="auto"/>
        </w:rPr>
      </w:pPr>
    </w:p>
    <w:p>
      <w:pPr>
        <w:ind w:left="660" w:right="140"/>
        <w:spacing w:after="0" w:line="275"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—The Company’s expected term represents the period that the Company’s stock-based awards are expected to be outstanding.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used the simplified method (based on the mid-point between the vesting date and the end of the contractual term) to determine the expected term.</w:t>
      </w:r>
    </w:p>
    <w:p>
      <w:pPr>
        <w:spacing w:after="0" w:line="186" w:lineRule="exact"/>
        <w:rPr>
          <w:sz w:val="20"/>
          <w:szCs w:val="20"/>
          <w:color w:val="auto"/>
        </w:rPr>
      </w:pPr>
    </w:p>
    <w:p>
      <w:pPr>
        <w:ind w:left="660" w:right="220"/>
        <w:spacing w:after="0" w:line="265"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—Prior to the completion of the Company</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s IPO, when the Company was privately held and did not have any trading history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its common stock, the expected volatility was estimated based on the average historical volatilities for comparable publicly traded medical device companies over a period equal to the expected term of the stock option grants. The comparable companies were chosen based on their similar size, stage in the life cycle and area of specialty. The Company will continue to apply this process until a sufficient amount of historical information regarding the volatility of its own stock price becomes available.</w:t>
      </w:r>
    </w:p>
    <w:p>
      <w:pPr>
        <w:spacing w:after="0" w:line="190" w:lineRule="exact"/>
        <w:rPr>
          <w:sz w:val="20"/>
          <w:szCs w:val="20"/>
          <w:color w:val="auto"/>
        </w:rPr>
      </w:pPr>
    </w:p>
    <w:p>
      <w:pPr>
        <w:ind w:left="640" w:right="80"/>
        <w:spacing w:after="0" w:line="268"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—The risk-free interest rate used is based on the published U.S. Department of Treasury interest rates in effect at the time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option grant for zero coupon U.S. Treasury notes with maturities approximating each grant’s expected term.</w:t>
      </w:r>
    </w:p>
    <w:p>
      <w:pPr>
        <w:spacing w:after="0" w:line="159" w:lineRule="exact"/>
        <w:rPr>
          <w:sz w:val="20"/>
          <w:szCs w:val="20"/>
          <w:color w:val="auto"/>
        </w:rPr>
      </w:pPr>
    </w:p>
    <w:p>
      <w:pPr>
        <w:ind w:left="640" w:right="120"/>
        <w:spacing w:after="0" w:line="284" w:lineRule="auto"/>
        <w:rPr>
          <w:sz w:val="20"/>
          <w:szCs w:val="20"/>
          <w:color w:val="auto"/>
        </w:rPr>
      </w:pPr>
      <w:r>
        <w:rPr>
          <w:rFonts w:ascii="Times New Roman" w:cs="Times New Roman" w:eastAsia="Times New Roman" w:hAnsi="Times New Roman"/>
          <w:sz w:val="18"/>
          <w:szCs w:val="18"/>
          <w:i w:val="1"/>
          <w:iCs w:val="1"/>
          <w:color w:val="auto"/>
        </w:rPr>
        <w:t>Dividend yield</w:t>
      </w:r>
      <w:r>
        <w:rPr>
          <w:rFonts w:ascii="Times New Roman" w:cs="Times New Roman" w:eastAsia="Times New Roman" w:hAnsi="Times New Roman"/>
          <w:sz w:val="18"/>
          <w:szCs w:val="18"/>
          <w:color w:val="auto"/>
        </w:rPr>
        <w:t>—The Company has never paid dividends on its common stock and has no plans to pay dividends on its common stock. Therefore,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used an expected dividend yield of zero.</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33"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Changes to GAAP are established by the Financial Accounting Standards Board (“FASB”) in the form of accounting standards updates (“ASU”). ASUs not listed below were assessed and determined not to be applicable or are expected to have minimal impact on the Company’s consolidated financial statements.</w:t>
      </w:r>
    </w:p>
    <w:p>
      <w:pPr>
        <w:spacing w:after="0" w:line="100" w:lineRule="exact"/>
        <w:rPr>
          <w:sz w:val="20"/>
          <w:szCs w:val="20"/>
          <w:color w:val="auto"/>
        </w:rPr>
      </w:pPr>
    </w:p>
    <w:p>
      <w:pPr>
        <w:ind w:right="120" w:firstLine="374"/>
        <w:spacing w:after="0" w:line="269" w:lineRule="auto"/>
        <w:rPr>
          <w:sz w:val="20"/>
          <w:szCs w:val="20"/>
          <w:color w:val="auto"/>
        </w:rPr>
      </w:pPr>
      <w:r>
        <w:rPr>
          <w:rFonts w:ascii="Times New Roman" w:cs="Times New Roman" w:eastAsia="Times New Roman" w:hAnsi="Times New Roman"/>
          <w:sz w:val="17"/>
          <w:szCs w:val="17"/>
          <w:color w:val="auto"/>
        </w:rPr>
        <w:t xml:space="preserve">In June 2020, the FASB issued ASU No. 2020-06, </w:t>
      </w:r>
      <w:r>
        <w:rPr>
          <w:rFonts w:ascii="Times New Roman" w:cs="Times New Roman" w:eastAsia="Times New Roman" w:hAnsi="Times New Roman"/>
          <w:sz w:val="17"/>
          <w:szCs w:val="17"/>
          <w:i w:val="1"/>
          <w:iCs w:val="1"/>
          <w:color w:val="auto"/>
        </w:rPr>
        <w:t>“Debt with Conversion and Other Options (Subtopic 470-20) and Derivatives and Hedging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Contracts in Entity’s Own Equity (Subtopic 815-40): Accounting for Convertible Instruments and Contracts in an Entity’s Own Equity,</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ASU No. 2020-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06”) which is intended to simplify the accounting for convertible instruments. This new guidance eliminates certain models that require separate accounting for embedded conversion features and eliminates certain of the conditions for equity classification for contracts in an entity’s own equity. Accordingly, a convertible debt instrument will be accounted for as a single liability measured at its amortized cost, as long as no other features require bifurcation and</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18" w:name="page19"/>
    <w:bookmarkEnd w:id="18"/>
    <w:p>
      <w:pPr>
        <w:ind w:right="40"/>
        <w:spacing w:after="0" w:line="246" w:lineRule="auto"/>
        <w:rPr>
          <w:sz w:val="20"/>
          <w:szCs w:val="20"/>
          <w:color w:val="auto"/>
        </w:rPr>
      </w:pPr>
      <w:r>
        <w:rPr>
          <w:rFonts w:ascii="Times New Roman" w:cs="Times New Roman" w:eastAsia="Times New Roman" w:hAnsi="Times New Roman"/>
          <w:sz w:val="18"/>
          <w:szCs w:val="18"/>
          <w:color w:val="auto"/>
        </w:rPr>
        <w:t>recognition as derivatives. The new guidance can be adopted through either a modified retrospective method of transition or a fully retrospective method of transition. ASU 2020-06 is effective for public business entities for fiscal years beginning after December 15, 2021, including interim periods within those fiscal years. Early adoption is permitted for fiscal years beginning after December 15, 2020, including interim periods within those fiscal years. The Company adopted ASU 2020-06 effective January 1, 2022, and the adoption does not have a material impact on the Company’s consolidated financial statements.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Emerging Growth Company Status</w:t>
      </w:r>
    </w:p>
    <w:p>
      <w:pPr>
        <w:spacing w:after="0" w:line="106" w:lineRule="exact"/>
        <w:rPr>
          <w:sz w:val="20"/>
          <w:szCs w:val="20"/>
          <w:color w:val="auto"/>
        </w:rPr>
      </w:pPr>
    </w:p>
    <w:p>
      <w:pPr>
        <w:ind w:firstLine="374"/>
        <w:spacing w:after="0" w:line="246"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The Company has irrevocably elected to not take this exemption and, as a result, will adopt new or revised accounting standards on the relevant effective dates on which adoption of such standards is required for other public companies that are not emerging growth companies.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Short-Term Investments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Short-term investments, principally U.S. Treasury bills, are available-for-sale and consisted of the following (in thousands):</w:t>
      </w: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As of March 31, 2022</w:t>
            </w:r>
          </w:p>
        </w:tc>
        <w:tc>
          <w:tcPr>
            <w:tcW w:w="2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r>
      <w:tr>
        <w:trPr>
          <w:trHeight w:val="210"/>
        </w:trPr>
        <w:tc>
          <w:tcPr>
            <w:tcW w:w="3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Unrealized Loss, Net</w:t>
            </w:r>
          </w:p>
        </w:tc>
        <w:tc>
          <w:tcPr>
            <w:tcW w:w="220" w:type="dxa"/>
            <w:vAlign w:val="bottom"/>
          </w:tcPr>
          <w:p>
            <w:pPr>
              <w:spacing w:after="0"/>
              <w:rPr>
                <w:sz w:val="18"/>
                <w:szCs w:val="18"/>
                <w:color w:val="auto"/>
              </w:rPr>
            </w:pPr>
          </w:p>
        </w:tc>
        <w:tc>
          <w:tcPr>
            <w:tcW w:w="21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Estimated Fair Value</w:t>
            </w:r>
          </w:p>
        </w:tc>
      </w:tr>
      <w:tr>
        <w:trPr>
          <w:trHeight w:val="209"/>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Government securities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119,798</w:t>
            </w:r>
          </w:p>
        </w:tc>
        <w:tc>
          <w:tcPr>
            <w:tcW w:w="3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119,715</w:t>
            </w:r>
          </w:p>
        </w:tc>
      </w:tr>
      <w:tr>
        <w:trPr>
          <w:trHeight w:val="20"/>
        </w:trPr>
        <w:tc>
          <w:tcPr>
            <w:tcW w:w="3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r>
        <w:trPr>
          <w:trHeight w:val="318"/>
        </w:trPr>
        <w:tc>
          <w:tcPr>
            <w:tcW w:w="38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2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r>
      <w:tr>
        <w:trPr>
          <w:trHeight w:val="209"/>
        </w:trPr>
        <w:tc>
          <w:tcPr>
            <w:tcW w:w="3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Unrealized Loss, Net</w:t>
            </w:r>
          </w:p>
        </w:tc>
        <w:tc>
          <w:tcPr>
            <w:tcW w:w="220" w:type="dxa"/>
            <w:vAlign w:val="bottom"/>
          </w:tcPr>
          <w:p>
            <w:pPr>
              <w:spacing w:after="0"/>
              <w:rPr>
                <w:sz w:val="18"/>
                <w:szCs w:val="18"/>
                <w:color w:val="auto"/>
              </w:rPr>
            </w:pPr>
          </w:p>
        </w:tc>
        <w:tc>
          <w:tcPr>
            <w:tcW w:w="21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Estimated Fair Value</w:t>
            </w:r>
          </w:p>
        </w:tc>
      </w:tr>
      <w:tr>
        <w:trPr>
          <w:trHeight w:val="209"/>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Government securities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134,980</w:t>
            </w:r>
          </w:p>
        </w:tc>
        <w:tc>
          <w:tcPr>
            <w:tcW w:w="3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134,971</w:t>
            </w:r>
          </w:p>
        </w:tc>
      </w:tr>
      <w:tr>
        <w:trPr>
          <w:trHeight w:val="20"/>
        </w:trPr>
        <w:tc>
          <w:tcPr>
            <w:tcW w:w="3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180" w:firstLine="374"/>
        <w:spacing w:after="0" w:line="258" w:lineRule="auto"/>
        <w:rPr>
          <w:sz w:val="20"/>
          <w:szCs w:val="20"/>
          <w:color w:val="auto"/>
        </w:rPr>
      </w:pPr>
      <w:r>
        <w:rPr>
          <w:rFonts w:ascii="Times New Roman" w:cs="Times New Roman" w:eastAsia="Times New Roman" w:hAnsi="Times New Roman"/>
          <w:sz w:val="18"/>
          <w:szCs w:val="18"/>
          <w:color w:val="auto"/>
        </w:rPr>
        <w:t>All available-for-sale securities held as of March 31, 2022 and December 31, 2021 had a maturity of less than one year. The Company has classified all marketable securities, regardless of maturity, as short-term investments based upon the Company’s ability and intent to use any and all of those marketable securities to satisfy the Company’s liquidity requirements.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Inventories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Inventories consisted of the following (in thousands):</w:t>
            </w: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4"/>
        </w:trPr>
        <w:tc>
          <w:tcPr>
            <w:tcW w:w="7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24"/>
                <w:szCs w:val="24"/>
                <w:color w:val="auto"/>
              </w:rPr>
            </w:pP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6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4,451</w:t>
            </w: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100" w:type="dxa"/>
            <w:vAlign w:val="bottom"/>
          </w:tcPr>
          <w:p>
            <w:pPr>
              <w:spacing w:after="0"/>
              <w:rPr>
                <w:sz w:val="18"/>
                <w:szCs w:val="18"/>
                <w:color w:val="auto"/>
              </w:rPr>
            </w:pPr>
          </w:p>
        </w:tc>
      </w:tr>
      <w:tr>
        <w:trPr>
          <w:trHeight w:val="216"/>
        </w:trPr>
        <w:tc>
          <w:tcPr>
            <w:tcW w:w="7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6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8,147</w:t>
            </w:r>
          </w:p>
        </w:tc>
        <w:tc>
          <w:tcPr>
            <w:tcW w:w="100" w:type="dxa"/>
            <w:vAlign w:val="bottom"/>
          </w:tcPr>
          <w:p>
            <w:pPr>
              <w:spacing w:after="0"/>
              <w:rPr>
                <w:sz w:val="18"/>
                <w:szCs w:val="18"/>
                <w:color w:val="auto"/>
              </w:rPr>
            </w:pPr>
          </w:p>
        </w:tc>
      </w:tr>
      <w:tr>
        <w:trPr>
          <w:trHeight w:val="216"/>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reserve for excess and obsolete inventory</w:t>
            </w:r>
          </w:p>
        </w:tc>
        <w:tc>
          <w:tcPr>
            <w:tcW w:w="26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(168 )</w:t>
            </w:r>
          </w:p>
        </w:tc>
        <w:tc>
          <w:tcPr>
            <w:tcW w:w="2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(115 )</w:t>
            </w:r>
          </w:p>
        </w:tc>
      </w:tr>
      <w:tr>
        <w:trPr>
          <w:trHeight w:val="210"/>
        </w:trPr>
        <w:tc>
          <w:tcPr>
            <w:tcW w:w="762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8,490</w:t>
            </w:r>
          </w:p>
        </w:tc>
        <w:tc>
          <w:tcPr>
            <w:tcW w:w="26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100" w:type="dxa"/>
            <w:vAlign w:val="bottom"/>
            <w:tcBorders>
              <w:top w:val="single" w:sz="8" w:color="CFF0FC"/>
            </w:tcBorders>
          </w:tcPr>
          <w:p>
            <w:pPr>
              <w:spacing w:after="0"/>
              <w:rPr>
                <w:sz w:val="18"/>
                <w:szCs w:val="18"/>
                <w:color w:val="auto"/>
              </w:rPr>
            </w:pPr>
          </w:p>
        </w:tc>
      </w:tr>
      <w:tr>
        <w:trPr>
          <w:trHeight w:val="20"/>
        </w:trPr>
        <w:tc>
          <w:tcPr>
            <w:tcW w:w="7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-453390</wp:posOffset>
            </wp:positionV>
            <wp:extent cx="603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-453390</wp:posOffset>
            </wp:positionV>
            <wp:extent cx="596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-170815</wp:posOffset>
            </wp:positionV>
            <wp:extent cx="603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-170815</wp:posOffset>
            </wp:positionV>
            <wp:extent cx="596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5" w:lineRule="exact"/>
        <w:rPr>
          <w:sz w:val="20"/>
          <w:szCs w:val="20"/>
          <w:color w:val="auto"/>
        </w:rPr>
      </w:pPr>
    </w:p>
    <w:p>
      <w:pPr>
        <w:ind w:right="400" w:firstLine="374"/>
        <w:spacing w:after="0" w:line="266" w:lineRule="auto"/>
        <w:rPr>
          <w:sz w:val="20"/>
          <w:szCs w:val="20"/>
          <w:color w:val="auto"/>
        </w:rPr>
      </w:pPr>
      <w:r>
        <w:rPr>
          <w:rFonts w:ascii="Times New Roman" w:cs="Times New Roman" w:eastAsia="Times New Roman" w:hAnsi="Times New Roman"/>
          <w:sz w:val="18"/>
          <w:szCs w:val="18"/>
          <w:color w:val="auto"/>
        </w:rPr>
        <w:t>At March 31, 2022 and December 31, 2021, finished goods included $2.4 million and $1.8 million of inventory held on consignment at customer sites, respectively.</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Fair Value Measurements</w:t>
      </w:r>
    </w:p>
    <w:p>
      <w:pPr>
        <w:spacing w:after="0" w:line="121" w:lineRule="exact"/>
        <w:rPr>
          <w:sz w:val="20"/>
          <w:szCs w:val="20"/>
          <w:color w:val="auto"/>
        </w:rPr>
      </w:pPr>
    </w:p>
    <w:p>
      <w:pPr>
        <w:ind w:right="20" w:firstLine="374"/>
        <w:spacing w:after="0" w:line="266" w:lineRule="auto"/>
        <w:rPr>
          <w:sz w:val="20"/>
          <w:szCs w:val="20"/>
          <w:color w:val="auto"/>
        </w:rPr>
      </w:pPr>
      <w:r>
        <w:rPr>
          <w:rFonts w:ascii="Times New Roman" w:cs="Times New Roman" w:eastAsia="Times New Roman" w:hAnsi="Times New Roman"/>
          <w:sz w:val="18"/>
          <w:szCs w:val="18"/>
          <w:color w:val="auto"/>
        </w:rPr>
        <w:t>The table and disclosures below (in thousands) present the Company’s assets and liabilities measured at fair value on a recurring basis and indicate the fair value hierarchy of the valuation techniques utilized by the Company to determine such fair value.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As of March 31, 2022</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Level I</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II</w:t>
            </w:r>
          </w:p>
        </w:tc>
        <w:tc>
          <w:tcPr>
            <w:tcW w:w="300" w:type="dxa"/>
            <w:vAlign w:val="bottom"/>
          </w:tcPr>
          <w:p>
            <w:pPr>
              <w:spacing w:after="0"/>
              <w:rPr>
                <w:sz w:val="18"/>
                <w:szCs w:val="18"/>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Pr>
          <w:p>
            <w:pPr>
              <w:spacing w:after="0"/>
              <w:rPr>
                <w:sz w:val="18"/>
                <w:szCs w:val="18"/>
                <w:color w:val="auto"/>
              </w:rPr>
            </w:pPr>
          </w:p>
        </w:tc>
      </w:tr>
      <w:tr>
        <w:trPr>
          <w:trHeight w:val="209"/>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securities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20,619</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20,619</w:t>
            </w:r>
          </w:p>
        </w:tc>
        <w:tc>
          <w:tcPr>
            <w:tcW w:w="60" w:type="dxa"/>
            <w:vAlign w:val="bottom"/>
          </w:tcPr>
          <w:p>
            <w:pPr>
              <w:spacing w:after="0"/>
              <w:rPr>
                <w:sz w:val="18"/>
                <w:szCs w:val="18"/>
                <w:color w:val="auto"/>
              </w:rPr>
            </w:pPr>
          </w:p>
        </w:tc>
      </w:tr>
      <w:tr>
        <w:trPr>
          <w:trHeight w:val="216"/>
        </w:trPr>
        <w:tc>
          <w:tcPr>
            <w:tcW w:w="6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Government securities</w:t>
            </w:r>
          </w:p>
        </w:tc>
        <w:tc>
          <w:tcPr>
            <w:tcW w:w="2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119,715</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119,715</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10"/>
        </w:trPr>
        <w:tc>
          <w:tcPr>
            <w:tcW w:w="6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20,619</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119,715</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140,334</w:t>
            </w:r>
          </w:p>
        </w:tc>
        <w:tc>
          <w:tcPr>
            <w:tcW w:w="60" w:type="dxa"/>
            <w:vAlign w:val="bottom"/>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-170815</wp:posOffset>
            </wp:positionV>
            <wp:extent cx="514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-170815</wp:posOffset>
            </wp:positionV>
            <wp:extent cx="431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-170815</wp:posOffset>
            </wp:positionV>
            <wp:extent cx="431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6"/>
          </w:tcPr>
          <w:p>
            <w:pPr>
              <w:ind w:left="1120"/>
              <w:spacing w:after="0"/>
              <w:rPr>
                <w:sz w:val="20"/>
                <w:szCs w:val="20"/>
                <w:color w:val="auto"/>
              </w:rPr>
            </w:pPr>
            <w:r>
              <w:rPr>
                <w:rFonts w:ascii="Times New Roman" w:cs="Times New Roman" w:eastAsia="Times New Roman" w:hAnsi="Times New Roman"/>
                <w:sz w:val="18"/>
                <w:szCs w:val="18"/>
                <w:b w:val="1"/>
                <w:bCs w:val="1"/>
                <w:color w:val="auto"/>
                <w:w w:val="99"/>
              </w:rPr>
              <w:t>As of December 31, 2021</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Level I</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Level II</w:t>
            </w:r>
          </w:p>
        </w:tc>
        <w:tc>
          <w:tcPr>
            <w:tcW w:w="280" w:type="dxa"/>
            <w:vAlign w:val="bottom"/>
          </w:tcPr>
          <w:p>
            <w:pPr>
              <w:spacing w:after="0"/>
              <w:rPr>
                <w:sz w:val="18"/>
                <w:szCs w:val="18"/>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Pr>
          <w:p>
            <w:pPr>
              <w:spacing w:after="0"/>
              <w:rPr>
                <w:sz w:val="18"/>
                <w:szCs w:val="18"/>
                <w:color w:val="auto"/>
              </w:rPr>
            </w:pPr>
          </w:p>
        </w:tc>
      </w:tr>
      <w:tr>
        <w:trPr>
          <w:trHeight w:val="209"/>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securities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21,390</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21,390</w:t>
            </w:r>
          </w:p>
        </w:tc>
        <w:tc>
          <w:tcPr>
            <w:tcW w:w="60" w:type="dxa"/>
            <w:vAlign w:val="bottom"/>
          </w:tcPr>
          <w:p>
            <w:pPr>
              <w:spacing w:after="0"/>
              <w:rPr>
                <w:sz w:val="18"/>
                <w:szCs w:val="18"/>
                <w:color w:val="auto"/>
              </w:rPr>
            </w:pPr>
          </w:p>
        </w:tc>
      </w:tr>
      <w:tr>
        <w:trPr>
          <w:trHeight w:val="216"/>
        </w:trPr>
        <w:tc>
          <w:tcPr>
            <w:tcW w:w="6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Government securities</w:t>
            </w:r>
          </w:p>
        </w:tc>
        <w:tc>
          <w:tcPr>
            <w:tcW w:w="2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134,971</w:t>
            </w:r>
          </w:p>
        </w:tc>
        <w:tc>
          <w:tcPr>
            <w:tcW w:w="2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134,971</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0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21,390</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134,971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156,361</w:t>
            </w:r>
          </w:p>
        </w:tc>
        <w:tc>
          <w:tcPr>
            <w:tcW w:w="60" w:type="dxa"/>
            <w:vAlign w:val="bottom"/>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-170815</wp:posOffset>
            </wp:positionV>
            <wp:extent cx="514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-170815</wp:posOffset>
            </wp:positionV>
            <wp:extent cx="431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-170815</wp:posOffset>
            </wp:positionV>
            <wp:extent cx="431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91" w:lineRule="exact"/>
        <w:rPr>
          <w:sz w:val="20"/>
          <w:szCs w:val="20"/>
          <w:color w:val="auto"/>
        </w:rPr>
      </w:pPr>
    </w:p>
    <w:p>
      <w:pPr>
        <w:jc w:val="both"/>
        <w:ind w:right="120" w:firstLine="374"/>
        <w:spacing w:after="0" w:line="258" w:lineRule="auto"/>
        <w:rPr>
          <w:sz w:val="20"/>
          <w:szCs w:val="20"/>
          <w:color w:val="auto"/>
        </w:rPr>
      </w:pPr>
      <w:r>
        <w:rPr>
          <w:rFonts w:ascii="Times New Roman" w:cs="Times New Roman" w:eastAsia="Times New Roman" w:hAnsi="Times New Roman"/>
          <w:sz w:val="18"/>
          <w:szCs w:val="18"/>
          <w:color w:val="auto"/>
        </w:rPr>
        <w:t>The Series W warrant fair value was determined by management, with input and assistance from a third-party valuation specialist, upon issuance and was revalued as of each reporting date until expiration. The Series W warrant expired unexercised on March 31, 2021 and the remaining fair value of $5.0 million was recorded in the Condensed Consolidated Statement of Operations and Comprehensive Loss for the three months ended March 31, 2021.</w:t>
      </w:r>
    </w:p>
    <w:p>
      <w:pPr>
        <w:spacing w:after="0" w:line="88" w:lineRule="exact"/>
        <w:rPr>
          <w:sz w:val="20"/>
          <w:szCs w:val="20"/>
          <w:color w:val="auto"/>
        </w:rPr>
      </w:pPr>
    </w:p>
    <w:p>
      <w:pPr>
        <w:ind w:right="20" w:firstLine="374"/>
        <w:spacing w:after="0" w:line="243" w:lineRule="auto"/>
        <w:rPr>
          <w:sz w:val="20"/>
          <w:szCs w:val="20"/>
          <w:color w:val="auto"/>
        </w:rPr>
      </w:pPr>
      <w:r>
        <w:rPr>
          <w:rFonts w:ascii="Times New Roman" w:cs="Times New Roman" w:eastAsia="Times New Roman" w:hAnsi="Times New Roman"/>
          <w:sz w:val="18"/>
          <w:szCs w:val="18"/>
          <w:color w:val="auto"/>
        </w:rPr>
        <w:t>The fair value of the preferred stock warrants was determined by management, with input and assistance from a third-party valuation specialist using a probability weighted expected return model/option pricing model (“PWERM/OPM”) hybrid valuation model. This method essentially utilizes a combination of market and income method approaches for each part of the calculation of enterprise value using assumptions and financial data prepared by the Company and combines them in a probabilistic manner. The valuation considered several future scenarios for the Company, each of which assumed a shareholder exit either through initial public offering, sale (“M&amp;A”) or dissolution. Based upon the current initial public offering market, M&amp;A values for private companies and the historical likelihood of dissolution or no exit, the Company concluded that the probabilities and time frames were reasonable. Implicit in the timing used in the application of the PWERM/OPM Hybrid Method is also the possibility of no exit. The option pricing model's significant unobservable inputs included: (1) the assumed time until a liquidity event, (2) the risk-free interest rate over the period until the assumed liquidity event,</w:t>
      </w:r>
    </w:p>
    <w:p>
      <w:pPr>
        <w:spacing w:after="0" w:line="4" w:lineRule="exact"/>
        <w:rPr>
          <w:sz w:val="20"/>
          <w:szCs w:val="20"/>
          <w:color w:val="auto"/>
        </w:rPr>
      </w:pPr>
    </w:p>
    <w:p>
      <w:pPr>
        <w:ind w:right="100" w:firstLine="8"/>
        <w:spacing w:after="0" w:line="242"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assumed volatility in the value of the equity of the company (which corresponds to the model's underlying asset volatility), (4) the enterprise value and preferred investment amount and (5) the key price points in the Company's capital structure in terms of exit levels on the assumed liquidation date. A significant increase (decrease) in any of these inputs in isolation, particularly the estimated price of the Company’s preferred stock, would have resulted in a significantly higher (lower) fair value measurement. Upon completion of the Company's IPO in July 2021 all of the 14,376,272 issued and outstanding shares of Convertible Preferred Stock outstanding were converted to common stock and 225,945 warrants to purchase Series H convertible preferred stock were exercised and converted into 100,261 shares of common stock.</w:t>
      </w:r>
    </w:p>
    <w:p>
      <w:pPr>
        <w:spacing w:after="0" w:line="118" w:lineRule="exact"/>
        <w:rPr>
          <w:sz w:val="20"/>
          <w:szCs w:val="20"/>
          <w:color w:val="auto"/>
        </w:rPr>
      </w:pPr>
    </w:p>
    <w:p>
      <w:pPr>
        <w:ind w:right="440" w:firstLine="374"/>
        <w:spacing w:after="0" w:line="266" w:lineRule="auto"/>
        <w:rPr>
          <w:sz w:val="20"/>
          <w:szCs w:val="20"/>
          <w:color w:val="auto"/>
        </w:rPr>
      </w:pPr>
      <w:r>
        <w:rPr>
          <w:rFonts w:ascii="Times New Roman" w:cs="Times New Roman" w:eastAsia="Times New Roman" w:hAnsi="Times New Roman"/>
          <w:sz w:val="18"/>
          <w:szCs w:val="18"/>
          <w:color w:val="auto"/>
        </w:rPr>
        <w:t>The following table sets forth changes in the estimated fair values for the Company’s warrant liabilities measured using significant unobservable inputs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23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5680" w:type="dxa"/>
            <w:vAlign w:val="bottom"/>
          </w:tcPr>
          <w:p>
            <w:pPr>
              <w:spacing w:after="0"/>
              <w:rPr>
                <w:sz w:val="20"/>
                <w:szCs w:val="20"/>
                <w:color w:val="auto"/>
              </w:rPr>
            </w:pPr>
          </w:p>
        </w:tc>
        <w:tc>
          <w:tcPr>
            <w:tcW w:w="23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March 31, 2021</w:t>
            </w:r>
          </w:p>
        </w:tc>
      </w:tr>
      <w:tr>
        <w:trPr>
          <w:trHeight w:val="209"/>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2320" w:type="dxa"/>
            <w:vAlign w:val="bottom"/>
            <w:tcBorders>
              <w:top w:val="single" w:sz="8" w:color="auto"/>
            </w:tcBorders>
            <w:shd w:val="clear" w:color="auto" w:fill="CFF0FC"/>
          </w:tcPr>
          <w:p>
            <w:pPr>
              <w:jc w:val="right"/>
              <w:ind w:right="213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8,846</w:t>
            </w:r>
          </w:p>
        </w:tc>
        <w:tc>
          <w:tcPr>
            <w:tcW w:w="100" w:type="dxa"/>
            <w:vAlign w:val="bottom"/>
            <w:shd w:val="clear" w:color="auto" w:fill="CFF0FC"/>
          </w:tcPr>
          <w:p>
            <w:pPr>
              <w:spacing w:after="0"/>
              <w:rPr>
                <w:sz w:val="18"/>
                <w:szCs w:val="18"/>
                <w:color w:val="auto"/>
              </w:rPr>
            </w:pP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Expiration of common stock warrant</w:t>
            </w:r>
          </w:p>
        </w:tc>
        <w:tc>
          <w:tcPr>
            <w:tcW w:w="232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(5,018 )</w:t>
            </w:r>
          </w:p>
        </w:tc>
      </w:tr>
      <w:tr>
        <w:trPr>
          <w:trHeight w:val="216"/>
        </w:trPr>
        <w:tc>
          <w:tcPr>
            <w:tcW w:w="5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 of preferred stock warrants</w:t>
            </w:r>
          </w:p>
        </w:tc>
        <w:tc>
          <w:tcPr>
            <w:tcW w:w="232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2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2320" w:type="dxa"/>
            <w:vAlign w:val="bottom"/>
          </w:tcPr>
          <w:p>
            <w:pPr>
              <w:jc w:val="right"/>
              <w:ind w:right="213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w:t>
            </w:r>
          </w:p>
        </w:tc>
        <w:tc>
          <w:tcPr>
            <w:tcW w:w="100" w:type="dxa"/>
            <w:vAlign w:val="bottom"/>
          </w:tcPr>
          <w:p>
            <w:pPr>
              <w:spacing w:after="0"/>
              <w:rPr>
                <w:sz w:val="18"/>
                <w:szCs w:val="18"/>
                <w:color w:val="auto"/>
              </w:rPr>
            </w:pPr>
          </w:p>
        </w:tc>
      </w:tr>
      <w:tr>
        <w:trPr>
          <w:trHeight w:val="20"/>
        </w:trPr>
        <w:tc>
          <w:tcPr>
            <w:tcW w:w="5680" w:type="dxa"/>
            <w:vAlign w:val="bottom"/>
          </w:tcPr>
          <w:p>
            <w:pPr>
              <w:spacing w:after="0" w:line="20" w:lineRule="exact"/>
              <w:rPr>
                <w:sz w:val="1"/>
                <w:szCs w:val="1"/>
                <w:color w:val="auto"/>
              </w:rPr>
            </w:pPr>
          </w:p>
        </w:tc>
        <w:tc>
          <w:tcPr>
            <w:tcW w:w="2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-170815</wp:posOffset>
            </wp:positionV>
            <wp:extent cx="514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-170815</wp:posOffset>
            </wp:positionV>
            <wp:extent cx="596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Term Loan</w:t>
      </w:r>
    </w:p>
    <w:p>
      <w:pPr>
        <w:spacing w:after="0" w:line="121" w:lineRule="exact"/>
        <w:rPr>
          <w:sz w:val="20"/>
          <w:szCs w:val="20"/>
          <w:color w:val="auto"/>
        </w:rPr>
      </w:pPr>
    </w:p>
    <w:p>
      <w:pPr>
        <w:ind w:right="340" w:firstLine="374"/>
        <w:spacing w:after="0" w:line="250" w:lineRule="auto"/>
        <w:rPr>
          <w:sz w:val="20"/>
          <w:szCs w:val="20"/>
          <w:color w:val="auto"/>
        </w:rPr>
      </w:pPr>
      <w:r>
        <w:rPr>
          <w:rFonts w:ascii="Times New Roman" w:cs="Times New Roman" w:eastAsia="Times New Roman" w:hAnsi="Times New Roman"/>
          <w:sz w:val="18"/>
          <w:szCs w:val="18"/>
          <w:color w:val="auto"/>
        </w:rPr>
        <w:t>In October 2020, the Company entered into a loan facility (“Term Loan”) with an initial draw of $25 million. Proceeds were used to help fund the Company’s ongoing operations. As part of the Term Loan, Oxford Finance LLC, (“Oxford Finance”) committed to providing further loans of up to $35 million to the Company at its election (or for one specific draw, upon occurrence of a revenue milestone) during various draw periods in the future, provided the Company is not in default at the time of the additional loan draws. In March 2021, the Company drew</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0" w:name="page21"/>
    <w:bookmarkEnd w:id="20"/>
    <w:p>
      <w:pPr>
        <w:ind w:right="200"/>
        <w:spacing w:after="0" w:line="266" w:lineRule="auto"/>
        <w:rPr>
          <w:sz w:val="20"/>
          <w:szCs w:val="20"/>
          <w:color w:val="auto"/>
        </w:rPr>
      </w:pPr>
      <w:r>
        <w:rPr>
          <w:rFonts w:ascii="Times New Roman" w:cs="Times New Roman" w:eastAsia="Times New Roman" w:hAnsi="Times New Roman"/>
          <w:sz w:val="18"/>
          <w:szCs w:val="18"/>
          <w:color w:val="auto"/>
        </w:rPr>
        <w:t>an additional $5 million from the facility for the purpose of funding ongoing operations. In June 2021, the Company drew an additional $10 million from the facility for the purpose of funding ongoing operations.</w:t>
      </w:r>
    </w:p>
    <w:p>
      <w:pPr>
        <w:spacing w:after="0" w:line="9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March 31, 2022 and December 31, 2021, the Company was in compliance with all covenants.</w:t>
      </w:r>
    </w:p>
    <w:p>
      <w:pPr>
        <w:spacing w:after="0" w:line="144" w:lineRule="exact"/>
        <w:rPr>
          <w:sz w:val="20"/>
          <w:szCs w:val="20"/>
          <w:color w:val="auto"/>
        </w:rPr>
      </w:pPr>
    </w:p>
    <w:p>
      <w:pPr>
        <w:ind w:right="340" w:firstLine="37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2022 and 2021 the cash interest rate paid for all borrowings under the Term Loan was 9.25%. The effective interest rate during the three months ended March 31, 2022 and 2021 was 10.72% and 11.32%, respectively.</w:t>
      </w:r>
    </w:p>
    <w:p>
      <w:pPr>
        <w:spacing w:after="0" w:line="9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March 31, 2022 future principal payments due under the Term Loan were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9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2022 (remainder)</w:t>
            </w:r>
          </w:p>
        </w:tc>
        <w:tc>
          <w:tcPr>
            <w:tcW w:w="76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2023</w:t>
            </w:r>
          </w:p>
        </w:tc>
        <w:tc>
          <w:tcPr>
            <w:tcW w:w="7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100" w:type="dxa"/>
            <w:vAlign w:val="bottom"/>
          </w:tcPr>
          <w:p>
            <w:pPr>
              <w:spacing w:after="0"/>
              <w:rPr>
                <w:sz w:val="18"/>
                <w:szCs w:val="18"/>
                <w:color w:val="auto"/>
              </w:rPr>
            </w:pPr>
          </w:p>
        </w:tc>
      </w:tr>
      <w:tr>
        <w:trPr>
          <w:trHeight w:val="216"/>
        </w:trPr>
        <w:tc>
          <w:tcPr>
            <w:tcW w:w="9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2024</w:t>
            </w:r>
          </w:p>
        </w:tc>
        <w:tc>
          <w:tcPr>
            <w:tcW w:w="7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20,870</w:t>
            </w:r>
          </w:p>
        </w:tc>
        <w:tc>
          <w:tcPr>
            <w:tcW w:w="100" w:type="dxa"/>
            <w:vAlign w:val="bottom"/>
            <w:shd w:val="clear" w:color="auto" w:fill="CFF0FC"/>
          </w:tcPr>
          <w:p>
            <w:pPr>
              <w:spacing w:after="0"/>
              <w:rPr>
                <w:sz w:val="18"/>
                <w:szCs w:val="18"/>
                <w:color w:val="auto"/>
              </w:rPr>
            </w:pPr>
          </w:p>
        </w:tc>
      </w:tr>
      <w:tr>
        <w:trPr>
          <w:trHeight w:val="216"/>
        </w:trPr>
        <w:tc>
          <w:tcPr>
            <w:tcW w:w="9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2025</w:t>
            </w:r>
          </w:p>
        </w:tc>
        <w:tc>
          <w:tcPr>
            <w:tcW w:w="7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17,391</w:t>
            </w:r>
          </w:p>
        </w:tc>
        <w:tc>
          <w:tcPr>
            <w:tcW w:w="100" w:type="dxa"/>
            <w:vAlign w:val="bottom"/>
          </w:tcPr>
          <w:p>
            <w:pPr>
              <w:spacing w:after="0"/>
              <w:rPr>
                <w:sz w:val="18"/>
                <w:szCs w:val="18"/>
                <w:color w:val="auto"/>
              </w:rPr>
            </w:pPr>
          </w:p>
        </w:tc>
      </w:tr>
      <w:tr>
        <w:trPr>
          <w:trHeight w:val="216"/>
        </w:trPr>
        <w:tc>
          <w:tcPr>
            <w:tcW w:w="9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2026</w:t>
            </w:r>
          </w:p>
        </w:tc>
        <w:tc>
          <w:tcPr>
            <w:tcW w:w="7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92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Borders>
              <w:top w:val="single" w:sz="8" w:color="CFF0FC"/>
            </w:tcBorders>
          </w:tcPr>
          <w:p>
            <w:pPr>
              <w:spacing w:after="0"/>
              <w:rPr>
                <w:sz w:val="18"/>
                <w:szCs w:val="18"/>
                <w:color w:val="auto"/>
              </w:rPr>
            </w:pPr>
          </w:p>
        </w:tc>
      </w:tr>
      <w:tr>
        <w:trPr>
          <w:trHeight w:val="216"/>
        </w:trPr>
        <w:tc>
          <w:tcPr>
            <w:tcW w:w="9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 unamortized issuance costs and exit fee</w:t>
            </w:r>
          </w:p>
        </w:tc>
        <w:tc>
          <w:tcPr>
            <w:tcW w:w="7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(110 )</w:t>
            </w:r>
          </w:p>
        </w:tc>
      </w:tr>
      <w:tr>
        <w:trPr>
          <w:trHeight w:val="209"/>
        </w:trPr>
        <w:tc>
          <w:tcPr>
            <w:tcW w:w="92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Term loan, net</w:t>
            </w: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39,890</w:t>
            </w:r>
          </w:p>
        </w:tc>
        <w:tc>
          <w:tcPr>
            <w:tcW w:w="100" w:type="dxa"/>
            <w:vAlign w:val="bottom"/>
            <w:tcBorders>
              <w:top w:val="single" w:sz="8" w:color="CFF0FC"/>
            </w:tcBorders>
          </w:tcPr>
          <w:p>
            <w:pPr>
              <w:spacing w:after="0"/>
              <w:rPr>
                <w:sz w:val="18"/>
                <w:szCs w:val="18"/>
                <w:color w:val="auto"/>
              </w:rPr>
            </w:pPr>
          </w:p>
        </w:tc>
      </w:tr>
      <w:tr>
        <w:trPr>
          <w:trHeight w:val="20"/>
        </w:trPr>
        <w:tc>
          <w:tcPr>
            <w:tcW w:w="9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Stock-Based Compensation Expense</w:t>
      </w:r>
    </w:p>
    <w:p>
      <w:pPr>
        <w:spacing w:after="0" w:line="162" w:lineRule="exact"/>
        <w:rPr>
          <w:sz w:val="20"/>
          <w:szCs w:val="20"/>
          <w:color w:val="auto"/>
        </w:rPr>
      </w:pPr>
    </w:p>
    <w:p>
      <w:pPr>
        <w:ind w:right="120" w:firstLine="374"/>
        <w:spacing w:after="0" w:line="266" w:lineRule="auto"/>
        <w:rPr>
          <w:sz w:val="20"/>
          <w:szCs w:val="20"/>
          <w:color w:val="auto"/>
        </w:rPr>
      </w:pPr>
      <w:r>
        <w:rPr>
          <w:rFonts w:ascii="Times New Roman" w:cs="Times New Roman" w:eastAsia="Times New Roman" w:hAnsi="Times New Roman"/>
          <w:sz w:val="18"/>
          <w:szCs w:val="18"/>
          <w:color w:val="auto"/>
        </w:rPr>
        <w:t>The Company has three stock-based incentive compensation plans, the 2006 Plan, the 2015 Plan, and the 2021 Plan. The Company also has an ESPP Plan, the 2021 ESPP.</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2006 Plan</w:t>
      </w:r>
    </w:p>
    <w:p>
      <w:pPr>
        <w:spacing w:after="0" w:line="119" w:lineRule="exact"/>
        <w:rPr>
          <w:sz w:val="20"/>
          <w:szCs w:val="20"/>
          <w:color w:val="auto"/>
        </w:rPr>
      </w:pPr>
    </w:p>
    <w:p>
      <w:pPr>
        <w:ind w:right="120" w:firstLine="374"/>
        <w:spacing w:after="0" w:line="245" w:lineRule="auto"/>
        <w:rPr>
          <w:sz w:val="20"/>
          <w:szCs w:val="20"/>
          <w:color w:val="auto"/>
        </w:rPr>
      </w:pPr>
      <w:r>
        <w:rPr>
          <w:rFonts w:ascii="Times New Roman" w:cs="Times New Roman" w:eastAsia="Times New Roman" w:hAnsi="Times New Roman"/>
          <w:sz w:val="18"/>
          <w:szCs w:val="18"/>
          <w:color w:val="auto"/>
        </w:rPr>
        <w:t>The Company’s 2006 Stock Plan was originally adopted by the Company's Board of Directors and approved by the Company’s stockholders in 2006. The Company’s 2006 Plan was terminated in 2015 in connection with the adoption of the Company’s 2015 Plan and as a result no new awards may be issued under the 2006 Plan. However, the 2006 Plan will continue to govern the terms and conditions of the outstanding awards previously granted under the 2006 Plan.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2015 Plan</w:t>
      </w:r>
    </w:p>
    <w:p>
      <w:pPr>
        <w:spacing w:after="0" w:line="119" w:lineRule="exact"/>
        <w:rPr>
          <w:sz w:val="20"/>
          <w:szCs w:val="20"/>
          <w:color w:val="auto"/>
        </w:rPr>
      </w:pPr>
    </w:p>
    <w:p>
      <w:pPr>
        <w:ind w:right="220" w:firstLine="374"/>
        <w:spacing w:after="0" w:line="250" w:lineRule="auto"/>
        <w:rPr>
          <w:sz w:val="20"/>
          <w:szCs w:val="20"/>
          <w:color w:val="auto"/>
        </w:rPr>
      </w:pPr>
      <w:r>
        <w:rPr>
          <w:rFonts w:ascii="Times New Roman" w:cs="Times New Roman" w:eastAsia="Times New Roman" w:hAnsi="Times New Roman"/>
          <w:sz w:val="18"/>
          <w:szCs w:val="18"/>
          <w:color w:val="auto"/>
        </w:rPr>
        <w:t>The Company’s 2015 Plan was originally adopted by the Company’s Board of Directors and approved by the Company’s stockholders in 2015. The 2015 Plan was most recently amended in March 2021. In July 2021, upon completion of the IPO, the 2015 Plan terminated immediately prior to effectiveness of the 2021 Plan with respect to the grant of future awards. However, the 2015 Plan will continue to govern the terms and conditions of the outstanding awards previously granted under the 2015 Plan.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Plan</w:t>
      </w:r>
    </w:p>
    <w:p>
      <w:pPr>
        <w:spacing w:after="0" w:line="106" w:lineRule="exact"/>
        <w:rPr>
          <w:sz w:val="20"/>
          <w:szCs w:val="20"/>
          <w:color w:val="auto"/>
        </w:rPr>
      </w:pPr>
    </w:p>
    <w:p>
      <w:pPr>
        <w:ind w:right="20" w:firstLine="374"/>
        <w:spacing w:after="0" w:line="243" w:lineRule="auto"/>
        <w:rPr>
          <w:sz w:val="20"/>
          <w:szCs w:val="20"/>
          <w:color w:val="auto"/>
        </w:rPr>
      </w:pPr>
      <w:r>
        <w:rPr>
          <w:rFonts w:ascii="Times New Roman" w:cs="Times New Roman" w:eastAsia="Times New Roman" w:hAnsi="Times New Roman"/>
          <w:sz w:val="18"/>
          <w:szCs w:val="18"/>
          <w:color w:val="auto"/>
        </w:rPr>
        <w:t>On July 28, 2021, the Company’s 2021 Plan, was adopted and approved by the Company’s Board of Directors and stockholders and became effective. The 2021 Plan provides for the grant of incentive stock options to employees and any subsidiary corporations’ employees, and for the grant of nonstatutory stock options, stock appreciation rights, restricted stock, restricted stock units, or (“RSUs”), and performance awards to employees, directors, and consultants and subsidiary corporations’ employees and consultants. The number of shares of the Company’s common stock available for issuance under the 2021 Plan is equal to 2,420,135 shares of common stock plus any shares subject to awards granted under the 2015 Plan and the 2006 Plan that, after the effectiveness of the 2021 Plan, expire or otherwise terminate without having been exercised in full, are tendered to or withheld by the Company for payment of an exercise price or for tax withholding obligations, or are forfeited to or repurchased by the Company due to failure to vest, with the maximum number of shares to be added to the 2021 Plan from the 2015 Plan and 2006 Plan is equal to 4,569,530 shares of common stock.</w:t>
      </w:r>
    </w:p>
    <w:p>
      <w:pPr>
        <w:spacing w:after="0" w:line="119"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The number of common shares reserved for issuance under the 2021 Plan will be increased automatically on the first day of each fiscal year beginning with the 2022 fiscal year and ending on the ten year anniversary of the date the Board of Directors approved the 2021 Plan, by a number equal to the least of: (i) 7,260,406 shares of common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21" w:name="page22"/>
    <w:bookmarkEnd w:id="21"/>
    <w:p>
      <w:pPr>
        <w:ind w:right="60"/>
        <w:spacing w:after="0" w:line="266" w:lineRule="auto"/>
        <w:rPr>
          <w:sz w:val="20"/>
          <w:szCs w:val="20"/>
          <w:color w:val="auto"/>
        </w:rPr>
      </w:pPr>
      <w:r>
        <w:rPr>
          <w:rFonts w:ascii="Times New Roman" w:cs="Times New Roman" w:eastAsia="Times New Roman" w:hAnsi="Times New Roman"/>
          <w:sz w:val="18"/>
          <w:szCs w:val="18"/>
          <w:color w:val="auto"/>
        </w:rPr>
        <w:t>stock; (ii) 4% of the outstanding shares of common stock on the last day of the Company's immediately preceding fiscal year; or (iii) such lesser number of shares of common stock as the administrator may determine. The 2021 Plan is administered by the Company’s Board of Directors.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ESPP</w:t>
      </w:r>
    </w:p>
    <w:p>
      <w:pPr>
        <w:spacing w:after="0" w:line="146" w:lineRule="exact"/>
        <w:rPr>
          <w:sz w:val="20"/>
          <w:szCs w:val="20"/>
          <w:color w:val="auto"/>
        </w:rPr>
      </w:pPr>
    </w:p>
    <w:p>
      <w:pPr>
        <w:ind w:right="40" w:firstLine="374"/>
        <w:spacing w:after="0" w:line="266" w:lineRule="auto"/>
        <w:rPr>
          <w:sz w:val="20"/>
          <w:szCs w:val="20"/>
          <w:color w:val="auto"/>
        </w:rPr>
      </w:pPr>
      <w:r>
        <w:rPr>
          <w:rFonts w:ascii="Times New Roman" w:cs="Times New Roman" w:eastAsia="Times New Roman" w:hAnsi="Times New Roman"/>
          <w:sz w:val="18"/>
          <w:szCs w:val="18"/>
          <w:color w:val="auto"/>
        </w:rPr>
        <w:t>On July 28, 2021, the Company’s Board of Directors and stockholders adopted and approved the Company’s 2021 ESPP. There are 757,694 shares of the Company’s common stock available for issuance under the 2021 ESPP.</w:t>
      </w:r>
    </w:p>
    <w:p>
      <w:pPr>
        <w:spacing w:after="0" w:line="95" w:lineRule="exact"/>
        <w:rPr>
          <w:sz w:val="20"/>
          <w:szCs w:val="20"/>
          <w:color w:val="auto"/>
        </w:rPr>
      </w:pPr>
    </w:p>
    <w:p>
      <w:pPr>
        <w:ind w:right="160" w:firstLine="374"/>
        <w:spacing w:after="0" w:line="250" w:lineRule="auto"/>
        <w:rPr>
          <w:sz w:val="20"/>
          <w:szCs w:val="20"/>
          <w:color w:val="auto"/>
        </w:rPr>
      </w:pPr>
      <w:r>
        <w:rPr>
          <w:rFonts w:ascii="Times New Roman" w:cs="Times New Roman" w:eastAsia="Times New Roman" w:hAnsi="Times New Roman"/>
          <w:sz w:val="18"/>
          <w:szCs w:val="18"/>
          <w:color w:val="auto"/>
        </w:rPr>
        <w:t>The 2021 ESPP provides eligible employees of the Company and its subsidiaries with the opportunity to purchase shares of the Company’s common stock at a purchase price equal to 85% of the common stock’s fair market value on the first trading day or last trading day of each purchase period, whichever is lower. The 2021 ESPP provides for two six-month purchase periods every twelve months: May 1 through October 31 and November 1 through April 30. The initial purchase period began on November 1, 2021.</w:t>
      </w:r>
    </w:p>
    <w:p>
      <w:pPr>
        <w:spacing w:after="0" w:line="110" w:lineRule="exact"/>
        <w:rPr>
          <w:sz w:val="20"/>
          <w:szCs w:val="20"/>
          <w:color w:val="auto"/>
        </w:rPr>
      </w:pPr>
    </w:p>
    <w:p>
      <w:pPr>
        <w:ind w:right="140" w:firstLine="374"/>
        <w:spacing w:after="0" w:line="250" w:lineRule="auto"/>
        <w:rPr>
          <w:sz w:val="20"/>
          <w:szCs w:val="20"/>
          <w:color w:val="auto"/>
        </w:rPr>
      </w:pPr>
      <w:r>
        <w:rPr>
          <w:rFonts w:ascii="Times New Roman" w:cs="Times New Roman" w:eastAsia="Times New Roman" w:hAnsi="Times New Roman"/>
          <w:sz w:val="18"/>
          <w:szCs w:val="18"/>
          <w:color w:val="auto"/>
        </w:rPr>
        <w:t>The number of common shares reserved for issuance under the 2021 ESPP plan are increased automatically on the first day of each fiscal year beginning with the Company's 2022 fiscal year, by a number equal to the least of: (i) 1,452,081 shares; (ii) 1% of the outstanding shares of common stock on the last day of the Company's immediately preceding fiscal year; or (iii) such other amount as the administrator may determine. The 2021 ESPP is administered by the Board of Directors.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of Shares for Future Issuance</w:t>
      </w:r>
    </w:p>
    <w:p>
      <w:pPr>
        <w:spacing w:after="0" w:line="160" w:lineRule="exact"/>
        <w:rPr>
          <w:sz w:val="20"/>
          <w:szCs w:val="20"/>
          <w:color w:val="auto"/>
        </w:rPr>
      </w:pPr>
    </w:p>
    <w:p>
      <w:pPr>
        <w:ind w:right="200" w:firstLine="374"/>
        <w:spacing w:after="0" w:line="282" w:lineRule="auto"/>
        <w:rPr>
          <w:sz w:val="20"/>
          <w:szCs w:val="20"/>
          <w:color w:val="auto"/>
        </w:rPr>
      </w:pPr>
      <w:r>
        <w:rPr>
          <w:rFonts w:ascii="Times New Roman" w:cs="Times New Roman" w:eastAsia="Times New Roman" w:hAnsi="Times New Roman"/>
          <w:sz w:val="18"/>
          <w:szCs w:val="18"/>
          <w:color w:val="auto"/>
        </w:rPr>
        <w:t>On March 8, 2022, the Company filed on Form S-8 under the Securities Act to register the issuance of 1,094,670 shares of common stock subject to options or other equity awards issued or for future issuance under the 2021 Plan and 273,667 shares reserved for future issuance under the 2021 ESPP.</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Plan Activities</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summary of stock option activities for the three months ended March 31, 2022 is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center"/>
              <w:ind w:left="36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Avg</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ind w:left="36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ind w:left="385"/>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5940" w:type="dxa"/>
            <w:vAlign w:val="bottom"/>
          </w:tcPr>
          <w:p>
            <w:pPr>
              <w:spacing w:after="0"/>
              <w:rPr>
                <w:sz w:val="17"/>
                <w:szCs w:val="17"/>
                <w:color w:val="auto"/>
              </w:rPr>
            </w:pPr>
          </w:p>
        </w:tc>
        <w:tc>
          <w:tcPr>
            <w:tcW w:w="15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240" w:type="dxa"/>
            <w:vAlign w:val="bottom"/>
          </w:tcPr>
          <w:p>
            <w:pPr>
              <w:spacing w:after="0"/>
              <w:rPr>
                <w:sz w:val="17"/>
                <w:szCs w:val="17"/>
                <w:color w:val="auto"/>
              </w:rPr>
            </w:pPr>
          </w:p>
        </w:tc>
        <w:tc>
          <w:tcPr>
            <w:tcW w:w="1140" w:type="dxa"/>
            <w:vAlign w:val="bottom"/>
            <w:tcBorders>
              <w:bottom w:val="single" w:sz="8" w:color="auto"/>
            </w:tcBorders>
          </w:tcPr>
          <w:p>
            <w:pPr>
              <w:jc w:val="center"/>
              <w:ind w:left="385"/>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5940" w:type="dxa"/>
            <w:vAlign w:val="bottom"/>
            <w:shd w:val="clear" w:color="auto" w:fill="CFF0FC"/>
          </w:tcPr>
          <w:p>
            <w:pPr>
              <w:ind w:left="120"/>
              <w:spacing w:after="0" w:line="142" w:lineRule="exact"/>
              <w:rPr>
                <w:sz w:val="20"/>
                <w:szCs w:val="20"/>
                <w:color w:val="auto"/>
              </w:rPr>
            </w:pPr>
            <w:r>
              <w:rPr>
                <w:rFonts w:ascii="Times New Roman" w:cs="Times New Roman" w:eastAsia="Times New Roman" w:hAnsi="Times New Roman"/>
                <w:sz w:val="16"/>
                <w:szCs w:val="16"/>
                <w:color w:val="auto"/>
              </w:rPr>
              <w:t>Options outstanding as of</w:t>
            </w:r>
          </w:p>
        </w:tc>
        <w:tc>
          <w:tcPr>
            <w:tcW w:w="1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5,754,005</w:t>
            </w:r>
          </w:p>
        </w:tc>
        <w:tc>
          <w:tcPr>
            <w:tcW w:w="240" w:type="dxa"/>
            <w:vAlign w:val="bottom"/>
            <w:shd w:val="clear" w:color="auto" w:fill="CFF0FC"/>
          </w:tcPr>
          <w:p>
            <w:pPr>
              <w:spacing w:after="0"/>
              <w:rPr>
                <w:sz w:val="12"/>
                <w:szCs w:val="12"/>
                <w:color w:val="auto"/>
              </w:rPr>
            </w:pPr>
          </w:p>
        </w:tc>
        <w:tc>
          <w:tcPr>
            <w:tcW w:w="1140" w:type="dxa"/>
            <w:vAlign w:val="bottom"/>
            <w:vMerge w:val="restart"/>
            <w:shd w:val="clear" w:color="auto" w:fill="CFF0FC"/>
          </w:tcPr>
          <w:p>
            <w:pPr>
              <w:jc w:val="right"/>
              <w:ind w:right="965"/>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11.64</w:t>
            </w:r>
          </w:p>
        </w:tc>
        <w:tc>
          <w:tcPr>
            <w:tcW w:w="18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December 31, 2021</w:t>
            </w:r>
          </w:p>
        </w:tc>
        <w:tc>
          <w:tcPr>
            <w:tcW w:w="154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vMerge w:val="continue"/>
            <w:shd w:val="clear" w:color="auto" w:fill="CFF0FC"/>
          </w:tcPr>
          <w:p>
            <w:pPr>
              <w:spacing w:after="0"/>
              <w:rPr>
                <w:sz w:val="18"/>
                <w:szCs w:val="18"/>
                <w:color w:val="auto"/>
              </w:rPr>
            </w:pPr>
          </w:p>
        </w:tc>
        <w:tc>
          <w:tcPr>
            <w:tcW w:w="440" w:type="dxa"/>
            <w:vAlign w:val="bottom"/>
            <w:vMerge w:val="continue"/>
            <w:shd w:val="clear" w:color="auto" w:fill="CFF0FC"/>
          </w:tcPr>
          <w:p>
            <w:pPr>
              <w:spacing w:after="0"/>
              <w:rPr>
                <w:sz w:val="18"/>
                <w:szCs w:val="18"/>
                <w:color w:val="auto"/>
              </w:rPr>
            </w:pPr>
          </w:p>
        </w:tc>
        <w:tc>
          <w:tcPr>
            <w:tcW w:w="1880" w:type="dxa"/>
            <w:vAlign w:val="bottom"/>
            <w:gridSpan w:val="2"/>
            <w:vMerge w:val="continue"/>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Issued</w:t>
            </w: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531,640</w:t>
            </w: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12.85</w:t>
            </w:r>
          </w:p>
        </w:tc>
        <w:tc>
          <w:tcPr>
            <w:tcW w:w="22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(75,859 )</w:t>
            </w:r>
          </w:p>
        </w:tc>
        <w:tc>
          <w:tcPr>
            <w:tcW w:w="11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(24,269 )</w:t>
            </w:r>
          </w:p>
        </w:tc>
        <w:tc>
          <w:tcPr>
            <w:tcW w:w="114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15.04</w:t>
            </w:r>
          </w:p>
        </w:tc>
        <w:tc>
          <w:tcPr>
            <w:tcW w:w="22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Expired</w:t>
            </w: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(35,115 )</w:t>
            </w:r>
          </w:p>
        </w:tc>
        <w:tc>
          <w:tcPr>
            <w:tcW w:w="11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16.82</w:t>
            </w: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5940" w:type="dxa"/>
            <w:vAlign w:val="bottom"/>
            <w:shd w:val="clear" w:color="auto" w:fill="CFF0FC"/>
          </w:tcPr>
          <w:p>
            <w:pPr>
              <w:ind w:left="120"/>
              <w:spacing w:after="0" w:line="142" w:lineRule="exact"/>
              <w:rPr>
                <w:sz w:val="20"/>
                <w:szCs w:val="20"/>
                <w:color w:val="auto"/>
              </w:rPr>
            </w:pPr>
            <w:r>
              <w:rPr>
                <w:rFonts w:ascii="Times New Roman" w:cs="Times New Roman" w:eastAsia="Times New Roman" w:hAnsi="Times New Roman"/>
                <w:sz w:val="16"/>
                <w:szCs w:val="16"/>
                <w:color w:val="auto"/>
              </w:rPr>
              <w:t>Options outstanding as of</w:t>
            </w:r>
          </w:p>
        </w:tc>
        <w:tc>
          <w:tcPr>
            <w:tcW w:w="15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6,150,402</w:t>
            </w:r>
          </w:p>
        </w:tc>
        <w:tc>
          <w:tcPr>
            <w:tcW w:w="2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11.80</w:t>
            </w:r>
          </w:p>
        </w:tc>
        <w:tc>
          <w:tcPr>
            <w:tcW w:w="18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40" w:type="dxa"/>
            <w:vAlign w:val="bottom"/>
            <w:tcBorders>
              <w:bottom w:val="single" w:sz="8" w:color="CFF0FC"/>
            </w:tcBorders>
            <w:shd w:val="clear" w:color="auto" w:fill="CFF0FC"/>
          </w:tcPr>
          <w:p>
            <w:pPr>
              <w:ind w:left="240"/>
              <w:spacing w:after="0" w:line="175" w:lineRule="exact"/>
              <w:rPr>
                <w:sz w:val="20"/>
                <w:szCs w:val="20"/>
                <w:color w:val="auto"/>
              </w:rPr>
            </w:pPr>
            <w:r>
              <w:rPr>
                <w:rFonts w:ascii="Times New Roman" w:cs="Times New Roman" w:eastAsia="Times New Roman" w:hAnsi="Times New Roman"/>
                <w:sz w:val="16"/>
                <w:szCs w:val="16"/>
                <w:color w:val="auto"/>
              </w:rPr>
              <w:t>March 31, 2022</w:t>
            </w:r>
          </w:p>
        </w:tc>
        <w:tc>
          <w:tcPr>
            <w:tcW w:w="1540" w:type="dxa"/>
            <w:vAlign w:val="bottom"/>
            <w:tcBorders>
              <w:bottom w:val="single" w:sz="8" w:color="auto"/>
            </w:tcBorders>
            <w:vMerge w:val="continue"/>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vMerge w:val="continue"/>
            <w:shd w:val="clear" w:color="auto" w:fill="CFF0FC"/>
          </w:tcPr>
          <w:p>
            <w:pPr>
              <w:spacing w:after="0"/>
              <w:rPr>
                <w:sz w:val="18"/>
                <w:szCs w:val="18"/>
                <w:color w:val="auto"/>
              </w:rPr>
            </w:pPr>
          </w:p>
        </w:tc>
        <w:tc>
          <w:tcPr>
            <w:tcW w:w="1880" w:type="dxa"/>
            <w:vAlign w:val="bottom"/>
            <w:tcBorders>
              <w:bottom w:val="single" w:sz="8" w:color="CFF0FC"/>
            </w:tcBorders>
            <w:gridSpan w:val="2"/>
            <w:vMerge w:val="continue"/>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Exercisable as of March 31, 2022</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3,413,821</w:t>
            </w:r>
          </w:p>
        </w:tc>
        <w:tc>
          <w:tcPr>
            <w:tcW w:w="240" w:type="dxa"/>
            <w:vAlign w:val="bottom"/>
          </w:tcPr>
          <w:p>
            <w:pPr>
              <w:spacing w:after="0"/>
              <w:rPr>
                <w:sz w:val="15"/>
                <w:szCs w:val="15"/>
                <w:color w:val="auto"/>
              </w:rPr>
            </w:pPr>
          </w:p>
        </w:tc>
        <w:tc>
          <w:tcPr>
            <w:tcW w:w="1140" w:type="dxa"/>
            <w:vAlign w:val="bottom"/>
          </w:tcPr>
          <w:p>
            <w:pPr>
              <w:jc w:val="right"/>
              <w:ind w:right="965"/>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-179070</wp:posOffset>
            </wp:positionV>
            <wp:extent cx="60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-162560</wp:posOffset>
            </wp:positionV>
            <wp:extent cx="603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summary of non-vested restricted stock unit activities for the three months ended March 31, 2022 is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center"/>
              <w:ind w:right="193"/>
              <w:spacing w:after="0"/>
              <w:rPr>
                <w:sz w:val="20"/>
                <w:szCs w:val="20"/>
                <w:color w:val="auto"/>
              </w:rPr>
            </w:pPr>
            <w:r>
              <w:rPr>
                <w:rFonts w:ascii="Times New Roman" w:cs="Times New Roman" w:eastAsia="Times New Roman" w:hAnsi="Times New Roman"/>
                <w:sz w:val="19"/>
                <w:szCs w:val="19"/>
                <w:b w:val="1"/>
                <w:bCs w:val="1"/>
                <w:color w:val="auto"/>
                <w:w w:val="99"/>
              </w:rPr>
              <w:t>Weighted</w:t>
            </w:r>
          </w:p>
        </w:tc>
        <w:tc>
          <w:tcPr>
            <w:tcW w:w="60" w:type="dxa"/>
            <w:vAlign w:val="bottom"/>
          </w:tcPr>
          <w:p>
            <w:pPr>
              <w:spacing w:after="0"/>
              <w:rPr>
                <w:sz w:val="19"/>
                <w:szCs w:val="19"/>
                <w:color w:val="auto"/>
              </w:rPr>
            </w:pPr>
          </w:p>
        </w:tc>
      </w:tr>
      <w:tr>
        <w:trPr>
          <w:trHeight w:val="230"/>
        </w:trPr>
        <w:tc>
          <w:tcPr>
            <w:tcW w:w="7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center"/>
              <w:ind w:right="193"/>
              <w:spacing w:after="0"/>
              <w:rPr>
                <w:sz w:val="20"/>
                <w:szCs w:val="20"/>
                <w:color w:val="auto"/>
              </w:rPr>
            </w:pPr>
            <w:r>
              <w:rPr>
                <w:rFonts w:ascii="Times New Roman" w:cs="Times New Roman" w:eastAsia="Times New Roman" w:hAnsi="Times New Roman"/>
                <w:sz w:val="19"/>
                <w:szCs w:val="19"/>
                <w:b w:val="1"/>
                <w:bCs w:val="1"/>
                <w:color w:val="auto"/>
                <w:w w:val="97"/>
              </w:rPr>
              <w:t>Average</w:t>
            </w:r>
          </w:p>
        </w:tc>
        <w:tc>
          <w:tcPr>
            <w:tcW w:w="60" w:type="dxa"/>
            <w:vAlign w:val="bottom"/>
          </w:tcPr>
          <w:p>
            <w:pPr>
              <w:spacing w:after="0"/>
              <w:rPr>
                <w:sz w:val="19"/>
                <w:szCs w:val="19"/>
                <w:color w:val="auto"/>
              </w:rPr>
            </w:pPr>
          </w:p>
        </w:tc>
      </w:tr>
      <w:tr>
        <w:trPr>
          <w:trHeight w:val="230"/>
        </w:trPr>
        <w:tc>
          <w:tcPr>
            <w:tcW w:w="7180" w:type="dxa"/>
            <w:vAlign w:val="bottom"/>
          </w:tcPr>
          <w:p>
            <w:pPr>
              <w:spacing w:after="0"/>
              <w:rPr>
                <w:sz w:val="19"/>
                <w:szCs w:val="19"/>
                <w:color w:val="auto"/>
              </w:rPr>
            </w:pPr>
          </w:p>
        </w:tc>
        <w:tc>
          <w:tcPr>
            <w:tcW w:w="2140" w:type="dxa"/>
            <w:vAlign w:val="bottom"/>
            <w:gridSpan w:val="2"/>
          </w:tcPr>
          <w:p>
            <w:pPr>
              <w:jc w:val="right"/>
              <w:ind w:right="780"/>
              <w:spacing w:after="0"/>
              <w:rPr>
                <w:sz w:val="20"/>
                <w:szCs w:val="20"/>
                <w:color w:val="auto"/>
              </w:rPr>
            </w:pPr>
            <w:r>
              <w:rPr>
                <w:rFonts w:ascii="Times New Roman" w:cs="Times New Roman" w:eastAsia="Times New Roman" w:hAnsi="Times New Roman"/>
                <w:sz w:val="19"/>
                <w:szCs w:val="19"/>
                <w:b w:val="1"/>
                <w:bCs w:val="1"/>
                <w:color w:val="auto"/>
              </w:rPr>
              <w:t>Number of</w:t>
            </w:r>
          </w:p>
        </w:tc>
        <w:tc>
          <w:tcPr>
            <w:tcW w:w="280" w:type="dxa"/>
            <w:vAlign w:val="bottom"/>
          </w:tcPr>
          <w:p>
            <w:pPr>
              <w:spacing w:after="0"/>
              <w:rPr>
                <w:sz w:val="19"/>
                <w:szCs w:val="19"/>
                <w:color w:val="auto"/>
              </w:rPr>
            </w:pPr>
          </w:p>
        </w:tc>
        <w:tc>
          <w:tcPr>
            <w:tcW w:w="1580" w:type="dxa"/>
            <w:vAlign w:val="bottom"/>
          </w:tcPr>
          <w:p>
            <w:pPr>
              <w:jc w:val="center"/>
              <w:ind w:right="213"/>
              <w:spacing w:after="0"/>
              <w:rPr>
                <w:sz w:val="20"/>
                <w:szCs w:val="20"/>
                <w:color w:val="auto"/>
              </w:rPr>
            </w:pPr>
            <w:r>
              <w:rPr>
                <w:rFonts w:ascii="Times New Roman" w:cs="Times New Roman" w:eastAsia="Times New Roman" w:hAnsi="Times New Roman"/>
                <w:sz w:val="19"/>
                <w:szCs w:val="19"/>
                <w:b w:val="1"/>
                <w:bCs w:val="1"/>
                <w:color w:val="auto"/>
                <w:w w:val="99"/>
              </w:rPr>
              <w:t>Grant Date</w:t>
            </w:r>
          </w:p>
        </w:tc>
        <w:tc>
          <w:tcPr>
            <w:tcW w:w="60" w:type="dxa"/>
            <w:vAlign w:val="bottom"/>
          </w:tcPr>
          <w:p>
            <w:pPr>
              <w:spacing w:after="0"/>
              <w:rPr>
                <w:sz w:val="19"/>
                <w:szCs w:val="19"/>
                <w:color w:val="auto"/>
              </w:rPr>
            </w:pPr>
          </w:p>
        </w:tc>
      </w:tr>
      <w:tr>
        <w:trPr>
          <w:trHeight w:val="254"/>
        </w:trPr>
        <w:tc>
          <w:tcPr>
            <w:tcW w:w="7180" w:type="dxa"/>
            <w:vAlign w:val="bottom"/>
          </w:tcPr>
          <w:p>
            <w:pPr>
              <w:spacing w:after="0"/>
              <w:rPr>
                <w:sz w:val="22"/>
                <w:szCs w:val="22"/>
                <w:color w:val="auto"/>
              </w:rPr>
            </w:pPr>
          </w:p>
        </w:tc>
        <w:tc>
          <w:tcPr>
            <w:tcW w:w="2140" w:type="dxa"/>
            <w:vAlign w:val="bottom"/>
            <w:gridSpan w:val="2"/>
          </w:tcPr>
          <w:p>
            <w:pPr>
              <w:jc w:val="right"/>
              <w:ind w:right="940"/>
              <w:spacing w:after="0"/>
              <w:rPr>
                <w:sz w:val="20"/>
                <w:szCs w:val="20"/>
                <w:color w:val="auto"/>
              </w:rPr>
            </w:pPr>
            <w:r>
              <w:rPr>
                <w:rFonts w:ascii="Times New Roman" w:cs="Times New Roman" w:eastAsia="Times New Roman" w:hAnsi="Times New Roman"/>
                <w:sz w:val="19"/>
                <w:szCs w:val="19"/>
                <w:b w:val="1"/>
                <w:bCs w:val="1"/>
                <w:color w:val="auto"/>
              </w:rPr>
              <w:t>Shares</w:t>
            </w:r>
          </w:p>
        </w:tc>
        <w:tc>
          <w:tcPr>
            <w:tcW w:w="280" w:type="dxa"/>
            <w:vAlign w:val="bottom"/>
          </w:tcPr>
          <w:p>
            <w:pPr>
              <w:spacing w:after="0"/>
              <w:rPr>
                <w:sz w:val="22"/>
                <w:szCs w:val="22"/>
                <w:color w:val="auto"/>
              </w:rPr>
            </w:pPr>
          </w:p>
        </w:tc>
        <w:tc>
          <w:tcPr>
            <w:tcW w:w="1580" w:type="dxa"/>
            <w:vAlign w:val="bottom"/>
          </w:tcPr>
          <w:p>
            <w:pPr>
              <w:jc w:val="center"/>
              <w:ind w:right="193"/>
              <w:spacing w:after="0"/>
              <w:rPr>
                <w:sz w:val="20"/>
                <w:szCs w:val="20"/>
                <w:color w:val="auto"/>
              </w:rPr>
            </w:pPr>
            <w:r>
              <w:rPr>
                <w:rFonts w:ascii="Times New Roman" w:cs="Times New Roman" w:eastAsia="Times New Roman" w:hAnsi="Times New Roman"/>
                <w:sz w:val="19"/>
                <w:szCs w:val="19"/>
                <w:b w:val="1"/>
                <w:bCs w:val="1"/>
                <w:color w:val="auto"/>
                <w:w w:val="98"/>
              </w:rPr>
              <w:t>Fair Value</w:t>
            </w:r>
          </w:p>
        </w:tc>
        <w:tc>
          <w:tcPr>
            <w:tcW w:w="60" w:type="dxa"/>
            <w:vAlign w:val="bottom"/>
          </w:tcPr>
          <w:p>
            <w:pPr>
              <w:spacing w:after="0"/>
              <w:rPr>
                <w:sz w:val="22"/>
                <w:szCs w:val="22"/>
                <w:color w:val="auto"/>
              </w:rPr>
            </w:pPr>
          </w:p>
        </w:tc>
      </w:tr>
      <w:tr>
        <w:trPr>
          <w:trHeight w:val="215"/>
        </w:trPr>
        <w:tc>
          <w:tcPr>
            <w:tcW w:w="7180" w:type="dxa"/>
            <w:vAlign w:val="bottom"/>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Unvested at December 31, 2021</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640,479</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15.46</w:t>
            </w:r>
          </w:p>
        </w:tc>
        <w:tc>
          <w:tcPr>
            <w:tcW w:w="60" w:type="dxa"/>
            <w:vAlign w:val="bottom"/>
            <w:shd w:val="clear" w:color="auto" w:fill="CFF0FC"/>
          </w:tcPr>
          <w:p>
            <w:pPr>
              <w:spacing w:after="0"/>
              <w:rPr>
                <w:sz w:val="17"/>
                <w:szCs w:val="17"/>
                <w:color w:val="auto"/>
              </w:rPr>
            </w:pPr>
          </w:p>
        </w:tc>
      </w:tr>
      <w:tr>
        <w:trPr>
          <w:trHeight w:val="203"/>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19,196</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60" w:type="dxa"/>
            <w:vAlign w:val="bottom"/>
          </w:tcPr>
          <w:p>
            <w:pPr>
              <w:spacing w:after="0"/>
              <w:rPr>
                <w:sz w:val="17"/>
                <w:szCs w:val="17"/>
                <w:color w:val="auto"/>
              </w:rPr>
            </w:pPr>
          </w:p>
        </w:tc>
      </w:tr>
      <w:tr>
        <w:trPr>
          <w:trHeight w:val="203"/>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Vested</w:t>
            </w:r>
          </w:p>
        </w:tc>
        <w:tc>
          <w:tcPr>
            <w:tcW w:w="2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(70,063 )</w:t>
            </w:r>
          </w:p>
        </w:tc>
        <w:tc>
          <w:tcPr>
            <w:tcW w:w="2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15.38</w:t>
            </w:r>
          </w:p>
        </w:tc>
        <w:tc>
          <w:tcPr>
            <w:tcW w:w="60" w:type="dxa"/>
            <w:vAlign w:val="bottom"/>
            <w:shd w:val="clear" w:color="auto" w:fill="CFF0FC"/>
          </w:tcPr>
          <w:p>
            <w:pPr>
              <w:spacing w:after="0"/>
              <w:rPr>
                <w:sz w:val="17"/>
                <w:szCs w:val="17"/>
                <w:color w:val="auto"/>
              </w:rPr>
            </w:pPr>
          </w:p>
        </w:tc>
      </w:tr>
      <w:tr>
        <w:trPr>
          <w:trHeight w:val="203"/>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2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(22,578 )</w:t>
            </w: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15.38</w:t>
            </w:r>
          </w:p>
        </w:tc>
        <w:tc>
          <w:tcPr>
            <w:tcW w:w="60" w:type="dxa"/>
            <w:vAlign w:val="bottom"/>
          </w:tcPr>
          <w:p>
            <w:pPr>
              <w:spacing w:after="0"/>
              <w:rPr>
                <w:sz w:val="17"/>
                <w:szCs w:val="17"/>
                <w:color w:val="auto"/>
              </w:rPr>
            </w:pPr>
          </w:p>
        </w:tc>
      </w:tr>
      <w:tr>
        <w:trPr>
          <w:trHeight w:val="236"/>
        </w:trPr>
        <w:tc>
          <w:tcPr>
            <w:tcW w:w="7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Unvested at March 31, 2022</w:t>
            </w:r>
          </w:p>
        </w:tc>
        <w:tc>
          <w:tcPr>
            <w:tcW w:w="1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567,034</w:t>
            </w:r>
          </w:p>
        </w:tc>
        <w:tc>
          <w:tcPr>
            <w:tcW w:w="2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15.33</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-25400</wp:posOffset>
            </wp:positionV>
            <wp:extent cx="603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-8255</wp:posOffset>
            </wp:positionV>
            <wp:extent cx="603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22" w:name="page23"/>
    <w:bookmarkEnd w:id="22"/>
    <w:p>
      <w:pPr>
        <w:ind w:right="300" w:firstLine="374"/>
        <w:spacing w:after="0" w:line="250" w:lineRule="auto"/>
        <w:rPr>
          <w:sz w:val="20"/>
          <w:szCs w:val="20"/>
          <w:color w:val="auto"/>
        </w:rPr>
      </w:pPr>
      <w:r>
        <w:rPr>
          <w:rFonts w:ascii="Times New Roman" w:cs="Times New Roman" w:eastAsia="Times New Roman" w:hAnsi="Times New Roman"/>
          <w:sz w:val="18"/>
          <w:szCs w:val="18"/>
          <w:color w:val="auto"/>
        </w:rPr>
        <w:t>As of March 31, 2022 and December 31, 2021 the intrinsic value of options vested was $16.4 million and $14.7 million, respectively, and of all options outstanding was $16.4 million and $14.7 million, respectively. During the three months ended March 31, 2022 and 2021, the total cash received from the exercise of stock options was $0.3 million and $1.2 million, respectively. The total fair value less strike price of these options was $0.6 million and $3.1 million, respectively.</w:t>
      </w:r>
    </w:p>
    <w:p>
      <w:pPr>
        <w:spacing w:after="0" w:line="110" w:lineRule="exact"/>
        <w:rPr>
          <w:sz w:val="20"/>
          <w:szCs w:val="20"/>
          <w:color w:val="auto"/>
        </w:rPr>
      </w:pPr>
    </w:p>
    <w:p>
      <w:pPr>
        <w:ind w:right="140" w:firstLine="374"/>
        <w:spacing w:after="0" w:line="266" w:lineRule="auto"/>
        <w:rPr>
          <w:sz w:val="20"/>
          <w:szCs w:val="20"/>
          <w:color w:val="auto"/>
        </w:rPr>
      </w:pPr>
      <w:r>
        <w:rPr>
          <w:rFonts w:ascii="Times New Roman" w:cs="Times New Roman" w:eastAsia="Times New Roman" w:hAnsi="Times New Roman"/>
          <w:sz w:val="18"/>
          <w:szCs w:val="18"/>
          <w:color w:val="auto"/>
        </w:rPr>
        <w:t>Stock-based compensation expense was classified in the accompanying Condensed Consolidated Statements of Operations and Comprehensive Loss as follows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3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2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jc w:val="right"/>
              <w:ind w:right="11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r>
      <w:tr>
        <w:trPr>
          <w:trHeight w:val="209"/>
        </w:trPr>
        <w:tc>
          <w:tcPr>
            <w:tcW w:w="6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8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60" w:type="dxa"/>
            <w:vAlign w:val="bottom"/>
            <w:shd w:val="clear" w:color="auto" w:fill="CFF0FC"/>
          </w:tcPr>
          <w:p>
            <w:pPr>
              <w:spacing w:after="0"/>
              <w:rPr>
                <w:sz w:val="18"/>
                <w:szCs w:val="18"/>
                <w:color w:val="auto"/>
              </w:rPr>
            </w:pP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8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60" w:type="dxa"/>
            <w:vAlign w:val="bottom"/>
          </w:tcPr>
          <w:p>
            <w:pPr>
              <w:spacing w:after="0"/>
              <w:rPr>
                <w:sz w:val="18"/>
                <w:szCs w:val="18"/>
                <w:color w:val="auto"/>
              </w:rPr>
            </w:pPr>
          </w:p>
        </w:tc>
      </w:tr>
      <w:tr>
        <w:trPr>
          <w:trHeight w:val="216"/>
        </w:trPr>
        <w:tc>
          <w:tcPr>
            <w:tcW w:w="6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680" w:type="dxa"/>
            <w:vAlign w:val="bottom"/>
            <w:tcBorders>
              <w:bottom w:val="single" w:sz="8" w:color="auto"/>
            </w:tcBorders>
            <w:shd w:val="clear" w:color="auto" w:fill="CFF0FC"/>
          </w:tcPr>
          <w:p>
            <w:pPr>
              <w:spacing w:after="0"/>
              <w:rPr>
                <w:sz w:val="18"/>
                <w:szCs w:val="18"/>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8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10"/>
        </w:trPr>
        <w:tc>
          <w:tcPr>
            <w:tcW w:w="6220" w:type="dxa"/>
            <w:vAlign w:val="bottom"/>
          </w:tcPr>
          <w:p>
            <w:pPr>
              <w:spacing w:after="0"/>
              <w:rPr>
                <w:sz w:val="18"/>
                <w:szCs w:val="18"/>
                <w:color w:val="auto"/>
              </w:rPr>
            </w:pP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86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60" w:type="dxa"/>
            <w:vAlign w:val="bottom"/>
          </w:tcPr>
          <w:p>
            <w:pPr>
              <w:spacing w:after="0"/>
              <w:rPr>
                <w:sz w:val="18"/>
                <w:szCs w:val="18"/>
                <w:color w:val="auto"/>
              </w:rPr>
            </w:pPr>
          </w:p>
        </w:tc>
      </w:tr>
      <w:tr>
        <w:trPr>
          <w:trHeight w:val="20"/>
        </w:trPr>
        <w:tc>
          <w:tcPr>
            <w:tcW w:w="6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-170815</wp:posOffset>
            </wp:positionV>
            <wp:extent cx="5143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-170815</wp:posOffset>
            </wp:positionV>
            <wp:extent cx="431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91" w:lineRule="exact"/>
        <w:rPr>
          <w:sz w:val="20"/>
          <w:szCs w:val="20"/>
          <w:color w:val="auto"/>
        </w:rPr>
      </w:pPr>
    </w:p>
    <w:p>
      <w:pPr>
        <w:ind w:right="100" w:firstLine="374"/>
        <w:spacing w:after="0" w:line="258" w:lineRule="auto"/>
        <w:rPr>
          <w:sz w:val="20"/>
          <w:szCs w:val="20"/>
          <w:color w:val="auto"/>
        </w:rPr>
      </w:pPr>
      <w:r>
        <w:rPr>
          <w:rFonts w:ascii="Times New Roman" w:cs="Times New Roman" w:eastAsia="Times New Roman" w:hAnsi="Times New Roman"/>
          <w:sz w:val="18"/>
          <w:szCs w:val="18"/>
          <w:color w:val="auto"/>
        </w:rPr>
        <w:t>As of March 31, 2022 and December 31, 2021, there were 2,736,581 and 2,437,649 unvested options, respectively. Total unrecognized expense related to unvested stock options was approximately $22.0 million and $20.1 million as of March 31, 2022 and December 31, 2021, respectively. Amounts as of March 31, 2022 and December 31, 2021 are expected to be recognized over a weighted average period of approximately 3.0 and 3.0 years.</w:t>
      </w:r>
    </w:p>
    <w:p>
      <w:pPr>
        <w:spacing w:after="0" w:line="102" w:lineRule="exact"/>
        <w:rPr>
          <w:sz w:val="20"/>
          <w:szCs w:val="20"/>
          <w:color w:val="auto"/>
        </w:rPr>
      </w:pPr>
    </w:p>
    <w:p>
      <w:pPr>
        <w:ind w:right="160" w:firstLine="374"/>
        <w:spacing w:after="0" w:line="266" w:lineRule="auto"/>
        <w:rPr>
          <w:sz w:val="20"/>
          <w:szCs w:val="20"/>
          <w:color w:val="auto"/>
        </w:rPr>
      </w:pPr>
      <w:r>
        <w:rPr>
          <w:rFonts w:ascii="Times New Roman" w:cs="Times New Roman" w:eastAsia="Times New Roman" w:hAnsi="Times New Roman"/>
          <w:sz w:val="18"/>
          <w:szCs w:val="18"/>
          <w:color w:val="auto"/>
        </w:rPr>
        <w:t>As of March 31, 2022, there was $8.0 million of total unrecognized compensation costs related to non-vested restricted stock units granted under the 2021 Plan. The unrecognized compensation cost is expected to be recognized over a weighted average period of 3.2 years.</w:t>
      </w:r>
    </w:p>
    <w:p>
      <w:pPr>
        <w:spacing w:after="0" w:line="95" w:lineRule="exact"/>
        <w:rPr>
          <w:sz w:val="20"/>
          <w:szCs w:val="20"/>
          <w:color w:val="auto"/>
        </w:rPr>
      </w:pPr>
    </w:p>
    <w:p>
      <w:pPr>
        <w:ind w:right="80" w:firstLine="374"/>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range and weighted-average assumptions, used in the Black-Scholes option pricing model to determine the fair value of stock options: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80" w:type="dxa"/>
            <w:vAlign w:val="bottom"/>
          </w:tcPr>
          <w:p>
            <w:pPr>
              <w:spacing w:after="0"/>
              <w:rPr>
                <w:sz w:val="16"/>
                <w:szCs w:val="16"/>
                <w:color w:val="auto"/>
              </w:rPr>
            </w:pPr>
          </w:p>
        </w:tc>
        <w:tc>
          <w:tcPr>
            <w:tcW w:w="23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2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360" w:type="dxa"/>
            <w:vAlign w:val="bottom"/>
            <w:gridSpan w:val="3"/>
            <w:vMerge w:val="restart"/>
          </w:tcPr>
          <w:p>
            <w:pPr>
              <w:jc w:val="right"/>
              <w:ind w:right="18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72"/>
        </w:trPr>
        <w:tc>
          <w:tcPr>
            <w:tcW w:w="2880" w:type="dxa"/>
            <w:vAlign w:val="bottom"/>
          </w:tcPr>
          <w:p>
            <w:pPr>
              <w:spacing w:after="0"/>
              <w:rPr>
                <w:sz w:val="14"/>
                <w:szCs w:val="14"/>
                <w:color w:val="auto"/>
              </w:rPr>
            </w:pPr>
          </w:p>
        </w:tc>
        <w:tc>
          <w:tcPr>
            <w:tcW w:w="2380" w:type="dxa"/>
            <w:vAlign w:val="bottom"/>
            <w:tcBorders>
              <w:bottom w:val="single" w:sz="8" w:color="auto"/>
            </w:tcBorders>
            <w:gridSpan w:val="3"/>
            <w:vMerge w:val="continue"/>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80" w:type="dxa"/>
            <w:vAlign w:val="bottom"/>
          </w:tcPr>
          <w:p>
            <w:pPr>
              <w:spacing w:after="0"/>
              <w:rPr>
                <w:sz w:val="14"/>
                <w:szCs w:val="14"/>
                <w:color w:val="auto"/>
              </w:rPr>
            </w:pPr>
          </w:p>
        </w:tc>
        <w:tc>
          <w:tcPr>
            <w:tcW w:w="238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172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0" w:type="dxa"/>
            <w:vAlign w:val="bottom"/>
          </w:tcPr>
          <w:p>
            <w:pPr>
              <w:spacing w:after="0"/>
              <w:rPr>
                <w:sz w:val="14"/>
                <w:szCs w:val="14"/>
                <w:color w:val="auto"/>
              </w:rPr>
            </w:pPr>
          </w:p>
        </w:tc>
        <w:tc>
          <w:tcPr>
            <w:tcW w:w="1740" w:type="dxa"/>
            <w:vAlign w:val="bottom"/>
          </w:tcPr>
          <w:p>
            <w:pPr>
              <w:jc w:val="center"/>
              <w:ind w:left="155"/>
              <w:spacing w:after="0"/>
              <w:rPr>
                <w:sz w:val="20"/>
                <w:szCs w:val="20"/>
                <w:color w:val="auto"/>
              </w:rPr>
            </w:pPr>
            <w:r>
              <w:rPr>
                <w:rFonts w:ascii="Times New Roman" w:cs="Times New Roman" w:eastAsia="Times New Roman" w:hAnsi="Times New Roman"/>
                <w:sz w:val="14"/>
                <w:szCs w:val="14"/>
                <w:b w:val="1"/>
                <w:bCs w:val="1"/>
                <w:color w:val="auto"/>
                <w:w w:val="99"/>
              </w:rPr>
              <w:t>Range</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210"/>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9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62.5%</w:t>
            </w:r>
          </w:p>
        </w:tc>
        <w:tc>
          <w:tcPr>
            <w:tcW w:w="1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jc w:val="center"/>
              <w:ind w:right="175"/>
              <w:spacing w:after="0"/>
              <w:rPr>
                <w:sz w:val="20"/>
                <w:szCs w:val="20"/>
                <w:color w:val="auto"/>
              </w:rPr>
            </w:pPr>
            <w:r>
              <w:rPr>
                <w:rFonts w:ascii="Times New Roman" w:cs="Times New Roman" w:eastAsia="Times New Roman" w:hAnsi="Times New Roman"/>
                <w:sz w:val="18"/>
                <w:szCs w:val="18"/>
                <w:color w:val="auto"/>
                <w:w w:val="98"/>
              </w:rPr>
              <w:t>62.5%</w:t>
            </w:r>
          </w:p>
        </w:tc>
        <w:tc>
          <w:tcPr>
            <w:tcW w:w="160" w:type="dxa"/>
            <w:vAlign w:val="bottom"/>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jc w:val="center"/>
              <w:ind w:left="135"/>
              <w:spacing w:after="0"/>
              <w:rPr>
                <w:sz w:val="20"/>
                <w:szCs w:val="20"/>
                <w:color w:val="auto"/>
              </w:rPr>
            </w:pPr>
            <w:r>
              <w:rPr>
                <w:rFonts w:ascii="Times New Roman" w:cs="Times New Roman" w:eastAsia="Times New Roman" w:hAnsi="Times New Roman"/>
                <w:sz w:val="18"/>
                <w:szCs w:val="18"/>
                <w:color w:val="auto"/>
                <w:w w:val="99"/>
              </w:rPr>
              <w:t>62.3% to 63.6%</w:t>
            </w:r>
          </w:p>
        </w:tc>
        <w:tc>
          <w:tcPr>
            <w:tcW w:w="2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9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63.6%</w:t>
            </w:r>
          </w:p>
        </w:tc>
        <w:tc>
          <w:tcPr>
            <w:tcW w:w="0" w:type="dxa"/>
            <w:vAlign w:val="bottom"/>
          </w:tcPr>
          <w:p>
            <w:pPr>
              <w:spacing w:after="0"/>
              <w:rPr>
                <w:sz w:val="1"/>
                <w:szCs w:val="1"/>
                <w:color w:val="auto"/>
              </w:rPr>
            </w:pPr>
          </w:p>
        </w:tc>
      </w:tr>
      <w:tr>
        <w:trPr>
          <w:trHeight w:val="216"/>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jc w:val="center"/>
              <w:ind w:right="175"/>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8"/>
                <w:szCs w:val="18"/>
                <w:color w:val="auto"/>
              </w:rPr>
            </w:pPr>
          </w:p>
        </w:tc>
        <w:tc>
          <w:tcPr>
            <w:tcW w:w="1740" w:type="dxa"/>
            <w:vAlign w:val="bottom"/>
          </w:tcPr>
          <w:p>
            <w:pPr>
              <w:jc w:val="center"/>
              <w:ind w:left="155"/>
              <w:spacing w:after="0"/>
              <w:rPr>
                <w:sz w:val="20"/>
                <w:szCs w:val="20"/>
                <w:color w:val="auto"/>
              </w:rPr>
            </w:pPr>
            <w:r>
              <w:rPr>
                <w:rFonts w:ascii="Times New Roman" w:cs="Times New Roman" w:eastAsia="Times New Roman" w:hAnsi="Times New Roman"/>
                <w:sz w:val="18"/>
                <w:szCs w:val="18"/>
                <w:color w:val="auto"/>
                <w:w w:val="99"/>
              </w:rPr>
              <w:t>0.6% to 1.7%</w:t>
            </w:r>
          </w:p>
        </w:tc>
        <w:tc>
          <w:tcPr>
            <w:tcW w:w="2360" w:type="dxa"/>
            <w:vAlign w:val="bottom"/>
            <w:gridSpan w:val="3"/>
          </w:tcPr>
          <w:p>
            <w:pPr>
              <w:jc w:val="center"/>
              <w:ind w:left="315"/>
              <w:spacing w:after="0"/>
              <w:rPr>
                <w:sz w:val="20"/>
                <w:szCs w:val="20"/>
                <w:color w:val="auto"/>
              </w:rPr>
            </w:pPr>
            <w:r>
              <w:rPr>
                <w:rFonts w:ascii="Times New Roman" w:cs="Times New Roman" w:eastAsia="Times New Roman" w:hAnsi="Times New Roman"/>
                <w:sz w:val="18"/>
                <w:szCs w:val="18"/>
                <w:color w:val="auto"/>
                <w:w w:val="95"/>
              </w:rPr>
              <w:t>1.1%</w:t>
            </w:r>
          </w:p>
        </w:tc>
        <w:tc>
          <w:tcPr>
            <w:tcW w:w="0" w:type="dxa"/>
            <w:vAlign w:val="bottom"/>
          </w:tcPr>
          <w:p>
            <w:pPr>
              <w:spacing w:after="0"/>
              <w:rPr>
                <w:sz w:val="1"/>
                <w:szCs w:val="1"/>
                <w:color w:val="auto"/>
              </w:rPr>
            </w:pPr>
          </w:p>
        </w:tc>
      </w:tr>
      <w:tr>
        <w:trPr>
          <w:trHeight w:val="216"/>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2380" w:type="dxa"/>
            <w:vAlign w:val="bottom"/>
            <w:gridSpan w:val="3"/>
            <w:shd w:val="clear" w:color="auto" w:fill="CFF0FC"/>
          </w:tcPr>
          <w:p>
            <w:pPr>
              <w:jc w:val="center"/>
              <w:ind w:right="420"/>
              <w:spacing w:after="0"/>
              <w:rPr>
                <w:sz w:val="20"/>
                <w:szCs w:val="20"/>
                <w:color w:val="auto"/>
              </w:rPr>
            </w:pPr>
            <w:r>
              <w:rPr>
                <w:rFonts w:ascii="Times New Roman" w:cs="Times New Roman" w:eastAsia="Times New Roman" w:hAnsi="Times New Roman"/>
                <w:sz w:val="18"/>
                <w:szCs w:val="18"/>
                <w:color w:val="auto"/>
              </w:rPr>
              <w:t>6 years</w:t>
            </w:r>
          </w:p>
        </w:tc>
        <w:tc>
          <w:tcPr>
            <w:tcW w:w="1720" w:type="dxa"/>
            <w:vAlign w:val="bottom"/>
            <w:shd w:val="clear" w:color="auto" w:fill="CFF0FC"/>
          </w:tcPr>
          <w:p>
            <w:pPr>
              <w:jc w:val="center"/>
              <w:ind w:right="155"/>
              <w:spacing w:after="0"/>
              <w:rPr>
                <w:sz w:val="20"/>
                <w:szCs w:val="20"/>
                <w:color w:val="auto"/>
              </w:rPr>
            </w:pPr>
            <w:r>
              <w:rPr>
                <w:rFonts w:ascii="Times New Roman" w:cs="Times New Roman" w:eastAsia="Times New Roman" w:hAnsi="Times New Roman"/>
                <w:sz w:val="18"/>
                <w:szCs w:val="18"/>
                <w:color w:val="auto"/>
              </w:rPr>
              <w:t>6 years</w:t>
            </w: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jc w:val="center"/>
              <w:ind w:left="155"/>
              <w:spacing w:after="0"/>
              <w:rPr>
                <w:sz w:val="20"/>
                <w:szCs w:val="20"/>
                <w:color w:val="auto"/>
              </w:rPr>
            </w:pPr>
            <w:r>
              <w:rPr>
                <w:rFonts w:ascii="Times New Roman" w:cs="Times New Roman" w:eastAsia="Times New Roman" w:hAnsi="Times New Roman"/>
                <w:sz w:val="18"/>
                <w:szCs w:val="18"/>
                <w:color w:val="auto"/>
                <w:w w:val="99"/>
              </w:rPr>
              <w:t>5.52 to 10 years</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6.03 years</w:t>
            </w:r>
          </w:p>
        </w:tc>
        <w:tc>
          <w:tcPr>
            <w:tcW w:w="0" w:type="dxa"/>
            <w:vAlign w:val="bottom"/>
          </w:tcPr>
          <w:p>
            <w:pPr>
              <w:spacing w:after="0"/>
              <w:rPr>
                <w:sz w:val="1"/>
                <w:szCs w:val="1"/>
                <w:color w:val="auto"/>
              </w:rPr>
            </w:pPr>
          </w:p>
        </w:tc>
      </w:tr>
      <w:tr>
        <w:trPr>
          <w:trHeight w:val="216"/>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jc w:val="center"/>
              <w:ind w:right="175"/>
              <w:spacing w:after="0"/>
              <w:rPr>
                <w:sz w:val="20"/>
                <w:szCs w:val="20"/>
                <w:color w:val="auto"/>
              </w:rPr>
            </w:pPr>
            <w:r>
              <w:rPr>
                <w:rFonts w:ascii="Times New Roman" w:cs="Times New Roman" w:eastAsia="Times New Roman" w:hAnsi="Times New Roman"/>
                <w:sz w:val="18"/>
                <w:szCs w:val="18"/>
                <w:color w:val="auto"/>
              </w:rPr>
              <w:t>0.0%</w:t>
            </w:r>
          </w:p>
        </w:tc>
        <w:tc>
          <w:tcPr>
            <w:tcW w:w="1900" w:type="dxa"/>
            <w:vAlign w:val="bottom"/>
            <w:gridSpan w:val="2"/>
          </w:tcPr>
          <w:p>
            <w:pPr>
              <w:jc w:val="right"/>
              <w:ind w:right="475"/>
              <w:spacing w:after="0"/>
              <w:rPr>
                <w:sz w:val="20"/>
                <w:szCs w:val="20"/>
                <w:color w:val="auto"/>
              </w:rPr>
            </w:pPr>
            <w:r>
              <w:rPr>
                <w:rFonts w:ascii="Times New Roman" w:cs="Times New Roman" w:eastAsia="Times New Roman" w:hAnsi="Times New Roman"/>
                <w:sz w:val="18"/>
                <w:szCs w:val="18"/>
                <w:color w:val="auto"/>
              </w:rPr>
              <w:t>0.0%</w:t>
            </w:r>
          </w:p>
        </w:tc>
        <w:tc>
          <w:tcPr>
            <w:tcW w:w="2360" w:type="dxa"/>
            <w:vAlign w:val="bottom"/>
            <w:gridSpan w:val="3"/>
          </w:tcPr>
          <w:p>
            <w:pPr>
              <w:jc w:val="center"/>
              <w:ind w:left="315"/>
              <w:spacing w:after="0"/>
              <w:rPr>
                <w:sz w:val="20"/>
                <w:szCs w:val="20"/>
                <w:color w:val="auto"/>
              </w:rPr>
            </w:pPr>
            <w:r>
              <w:rPr>
                <w:rFonts w:ascii="Times New Roman" w:cs="Times New Roman" w:eastAsia="Times New Roman" w:hAnsi="Times New Roman"/>
                <w:sz w:val="18"/>
                <w:szCs w:val="18"/>
                <w:color w:val="auto"/>
                <w:w w:val="95"/>
              </w:rPr>
              <w:t>0.0%</w:t>
            </w:r>
          </w:p>
        </w:tc>
        <w:tc>
          <w:tcPr>
            <w:tcW w:w="0" w:type="dxa"/>
            <w:vAlign w:val="bottom"/>
          </w:tcPr>
          <w:p>
            <w:pPr>
              <w:spacing w:after="0"/>
              <w:rPr>
                <w:sz w:val="1"/>
                <w:szCs w:val="1"/>
                <w:color w:val="auto"/>
              </w:rPr>
            </w:pPr>
          </w:p>
        </w:tc>
      </w:tr>
      <w:tr>
        <w:trPr>
          <w:trHeight w:val="216"/>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Grant date fair value</w:t>
            </w: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$12.85</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20" w:type="dxa"/>
            <w:vAlign w:val="bottom"/>
            <w:shd w:val="clear" w:color="auto" w:fill="CFF0FC"/>
          </w:tcPr>
          <w:p>
            <w:pPr>
              <w:jc w:val="center"/>
              <w:ind w:right="175"/>
              <w:spacing w:after="0"/>
              <w:rPr>
                <w:sz w:val="20"/>
                <w:szCs w:val="20"/>
                <w:color w:val="auto"/>
              </w:rPr>
            </w:pPr>
            <w:r>
              <w:rPr>
                <w:rFonts w:ascii="Times New Roman" w:cs="Times New Roman" w:eastAsia="Times New Roman" w:hAnsi="Times New Roman"/>
                <w:sz w:val="18"/>
                <w:szCs w:val="18"/>
                <w:color w:val="auto"/>
              </w:rPr>
              <w:t>$12.85</w:t>
            </w:r>
          </w:p>
        </w:tc>
        <w:tc>
          <w:tcPr>
            <w:tcW w:w="1900" w:type="dxa"/>
            <w:vAlign w:val="bottom"/>
            <w:gridSpan w:val="2"/>
            <w:shd w:val="clear" w:color="auto" w:fill="CFF0FC"/>
          </w:tcPr>
          <w:p>
            <w:pPr>
              <w:jc w:val="right"/>
              <w:ind w:right="455"/>
              <w:spacing w:after="0"/>
              <w:rPr>
                <w:sz w:val="20"/>
                <w:szCs w:val="20"/>
                <w:color w:val="auto"/>
              </w:rPr>
            </w:pPr>
            <w:r>
              <w:rPr>
                <w:rFonts w:ascii="Times New Roman" w:cs="Times New Roman" w:eastAsia="Times New Roman" w:hAnsi="Times New Roman"/>
                <w:sz w:val="18"/>
                <w:szCs w:val="18"/>
                <w:color w:val="auto"/>
              </w:rPr>
              <w:t>$1.51</w:t>
            </w:r>
          </w:p>
        </w:tc>
        <w:tc>
          <w:tcPr>
            <w:tcW w:w="2360" w:type="dxa"/>
            <w:vAlign w:val="bottom"/>
            <w:gridSpan w:val="3"/>
            <w:shd w:val="clear" w:color="auto" w:fill="CFF0FC"/>
          </w:tcPr>
          <w:p>
            <w:pPr>
              <w:jc w:val="center"/>
              <w:ind w:left="315"/>
              <w:spacing w:after="0"/>
              <w:rPr>
                <w:sz w:val="20"/>
                <w:szCs w:val="20"/>
                <w:color w:val="auto"/>
              </w:rPr>
            </w:pPr>
            <w:r>
              <w:rPr>
                <w:rFonts w:ascii="Times New Roman" w:cs="Times New Roman" w:eastAsia="Times New Roman" w:hAnsi="Times New Roman"/>
                <w:sz w:val="18"/>
                <w:szCs w:val="18"/>
                <w:color w:val="auto"/>
                <w:w w:val="98"/>
              </w:rPr>
              <w:t>$1.51</w:t>
            </w:r>
          </w:p>
        </w:tc>
        <w:tc>
          <w:tcPr>
            <w:tcW w:w="0" w:type="dxa"/>
            <w:vAlign w:val="bottom"/>
          </w:tcPr>
          <w:p>
            <w:pPr>
              <w:spacing w:after="0"/>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Each share of common stock is entitled to one vote. Common stock reserved for future issuance consisted of the following:</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60" w:type="dxa"/>
            <w:vAlign w:val="bottom"/>
          </w:tcPr>
          <w:p>
            <w:pPr>
              <w:spacing w:after="0"/>
              <w:rPr>
                <w:sz w:val="20"/>
                <w:szCs w:val="20"/>
                <w:color w:val="auto"/>
              </w:rPr>
            </w:pPr>
          </w:p>
        </w:tc>
        <w:tc>
          <w:tcPr>
            <w:tcW w:w="1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260" w:type="dxa"/>
            <w:vAlign w:val="bottom"/>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60" w:type="dxa"/>
            <w:vAlign w:val="bottom"/>
          </w:tcPr>
          <w:p>
            <w:pPr>
              <w:spacing w:after="0"/>
              <w:rPr>
                <w:sz w:val="20"/>
                <w:szCs w:val="20"/>
                <w:color w:val="auto"/>
              </w:rPr>
            </w:pPr>
          </w:p>
        </w:tc>
      </w:tr>
      <w:tr>
        <w:trPr>
          <w:trHeight w:val="210"/>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 issued and outstanding under the 2006, 2015 and 2021 plans</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6,150,402</w:t>
            </w:r>
          </w:p>
        </w:tc>
        <w:tc>
          <w:tcPr>
            <w:tcW w:w="26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5,754,005</w:t>
            </w:r>
          </w:p>
        </w:tc>
        <w:tc>
          <w:tcPr>
            <w:tcW w:w="6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567,034</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640,479</w:t>
            </w:r>
          </w:p>
        </w:tc>
        <w:tc>
          <w:tcPr>
            <w:tcW w:w="60" w:type="dxa"/>
            <w:vAlign w:val="bottom"/>
          </w:tcPr>
          <w:p>
            <w:pPr>
              <w:spacing w:after="0"/>
              <w:rPr>
                <w:sz w:val="18"/>
                <w:szCs w:val="18"/>
                <w:color w:val="auto"/>
              </w:rPr>
            </w:pPr>
          </w:p>
        </w:tc>
      </w:tr>
      <w:tr>
        <w:trPr>
          <w:trHeight w:val="216"/>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757,694</w:t>
            </w:r>
          </w:p>
        </w:tc>
        <w:tc>
          <w:tcPr>
            <w:tcW w:w="26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484,027</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1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shares of common stock reserved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7,475,130</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6,878,511</w:t>
            </w:r>
          </w:p>
        </w:tc>
        <w:tc>
          <w:tcPr>
            <w:tcW w:w="60" w:type="dxa"/>
            <w:vAlign w:val="bottom"/>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514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-170815</wp:posOffset>
            </wp:positionV>
            <wp:extent cx="431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72" w:lineRule="exact"/>
        <w:rPr>
          <w:sz w:val="20"/>
          <w:szCs w:val="20"/>
          <w:color w:val="auto"/>
        </w:rPr>
      </w:pPr>
    </w:p>
    <w:p>
      <w:pPr>
        <w:ind w:right="340" w:firstLine="374"/>
        <w:spacing w:after="0" w:line="282" w:lineRule="auto"/>
        <w:rPr>
          <w:sz w:val="20"/>
          <w:szCs w:val="20"/>
          <w:color w:val="auto"/>
        </w:rPr>
      </w:pPr>
      <w:r>
        <w:rPr>
          <w:rFonts w:ascii="Times New Roman" w:cs="Times New Roman" w:eastAsia="Times New Roman" w:hAnsi="Times New Roman"/>
          <w:sz w:val="18"/>
          <w:szCs w:val="18"/>
          <w:color w:val="auto"/>
        </w:rPr>
        <w:t>On January 3, 2022, the Board of Directors approved the issuance of 19,196 restricted stock units to a non-employee director. The award will vest over three years of service.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Stockholders’ Equity</w:t>
      </w:r>
    </w:p>
    <w:p>
      <w:pPr>
        <w:spacing w:after="0" w:line="121" w:lineRule="exact"/>
        <w:rPr>
          <w:sz w:val="20"/>
          <w:szCs w:val="20"/>
          <w:color w:val="auto"/>
        </w:rPr>
      </w:pPr>
    </w:p>
    <w:p>
      <w:pPr>
        <w:ind w:right="120" w:firstLine="374"/>
        <w:spacing w:after="0" w:line="266" w:lineRule="auto"/>
        <w:rPr>
          <w:sz w:val="20"/>
          <w:szCs w:val="20"/>
          <w:color w:val="auto"/>
        </w:rPr>
      </w:pPr>
      <w:r>
        <w:rPr>
          <w:rFonts w:ascii="Times New Roman" w:cs="Times New Roman" w:eastAsia="Times New Roman" w:hAnsi="Times New Roman"/>
          <w:sz w:val="18"/>
          <w:szCs w:val="18"/>
          <w:color w:val="auto"/>
        </w:rPr>
        <w:t>On July 29, 2021, the Company restated its certificate of incorporation and bylaws which provide for, among other things, the Company’s authorized capital stock to consist of 900,000,000 shares of common stock, par value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23" w:name="page24"/>
    <w:bookmarkEnd w:id="23"/>
    <w:p>
      <w:pPr>
        <w:ind w:right="460"/>
        <w:spacing w:after="0" w:line="266" w:lineRule="auto"/>
        <w:rPr>
          <w:sz w:val="20"/>
          <w:szCs w:val="20"/>
          <w:color w:val="auto"/>
        </w:rPr>
      </w:pPr>
      <w:r>
        <w:rPr>
          <w:rFonts w:ascii="Times New Roman" w:cs="Times New Roman" w:eastAsia="Times New Roman" w:hAnsi="Times New Roman"/>
          <w:sz w:val="18"/>
          <w:szCs w:val="18"/>
          <w:color w:val="auto"/>
        </w:rPr>
        <w:t>$0.001 per share, and 100,000,000 shares of convertible preferred stock, par value $0.001 per share. The restated certificate defines the voting rights, dividends, liquidation rights and preferences of each class of stock.</w:t>
      </w:r>
    </w:p>
    <w:p>
      <w:pPr>
        <w:spacing w:after="0" w:line="95" w:lineRule="exact"/>
        <w:rPr>
          <w:sz w:val="20"/>
          <w:szCs w:val="20"/>
          <w:color w:val="auto"/>
        </w:rPr>
      </w:pPr>
    </w:p>
    <w:p>
      <w:pPr>
        <w:ind w:right="680" w:firstLine="374"/>
        <w:spacing w:after="0" w:line="266" w:lineRule="auto"/>
        <w:rPr>
          <w:sz w:val="20"/>
          <w:szCs w:val="20"/>
          <w:color w:val="auto"/>
        </w:rPr>
      </w:pPr>
      <w:r>
        <w:rPr>
          <w:rFonts w:ascii="Times New Roman" w:cs="Times New Roman" w:eastAsia="Times New Roman" w:hAnsi="Times New Roman"/>
          <w:sz w:val="18"/>
          <w:szCs w:val="18"/>
          <w:color w:val="auto"/>
        </w:rPr>
        <w:t>There are 900,000,000 shares of common stock authorized, 27,485,685 issued and outstanding at March 31, 2022 and 27,366,746 issued and outstanding at December 31, 2021.</w:t>
      </w:r>
    </w:p>
    <w:p>
      <w:pPr>
        <w:spacing w:after="0" w:line="9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There are 100,000,000 shares of preferred stock authorized and none issued or outstanding at March 31, 2022 and December 31, 2021.</w:t>
      </w:r>
    </w:p>
    <w:p>
      <w:pPr>
        <w:spacing w:after="0" w:line="144" w:lineRule="exact"/>
        <w:rPr>
          <w:sz w:val="20"/>
          <w:szCs w:val="20"/>
          <w:color w:val="auto"/>
        </w:rPr>
      </w:pPr>
    </w:p>
    <w:p>
      <w:pPr>
        <w:ind w:right="160" w:firstLine="374"/>
        <w:spacing w:after="0" w:line="258" w:lineRule="auto"/>
        <w:rPr>
          <w:sz w:val="20"/>
          <w:szCs w:val="20"/>
          <w:color w:val="auto"/>
        </w:rPr>
      </w:pPr>
      <w:r>
        <w:rPr>
          <w:rFonts w:ascii="Times New Roman" w:cs="Times New Roman" w:eastAsia="Times New Roman" w:hAnsi="Times New Roman"/>
          <w:sz w:val="18"/>
          <w:szCs w:val="18"/>
          <w:color w:val="auto"/>
        </w:rPr>
        <w:t>Prior to the IPO, the Amendment authorized eight classes of preferred stock, Series A through F, the “Prior Preferred Stock” and Series G and H, the “Senior Preferred Stock”. Upon completion of the Company's IPO in July 2021 all of the 14,376,272 issued and outstanding shares of Convertible Preferred Stock outstanding were converted to common stock.</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Leases</w:t>
      </w:r>
    </w:p>
    <w:p>
      <w:pPr>
        <w:spacing w:after="0" w:line="135" w:lineRule="exact"/>
        <w:rPr>
          <w:sz w:val="20"/>
          <w:szCs w:val="20"/>
          <w:color w:val="auto"/>
        </w:rPr>
      </w:pPr>
    </w:p>
    <w:p>
      <w:pPr>
        <w:ind w:right="200" w:firstLine="374"/>
        <w:spacing w:after="0" w:line="250" w:lineRule="auto"/>
        <w:rPr>
          <w:sz w:val="20"/>
          <w:szCs w:val="20"/>
          <w:color w:val="auto"/>
        </w:rPr>
      </w:pPr>
      <w:r>
        <w:rPr>
          <w:rFonts w:ascii="Times New Roman" w:cs="Times New Roman" w:eastAsia="Times New Roman" w:hAnsi="Times New Roman"/>
          <w:sz w:val="18"/>
          <w:szCs w:val="18"/>
          <w:color w:val="auto"/>
        </w:rPr>
        <w:t>The Company has operating and finance leases for facilities and certain equipment. Leases with an initial term of 12 months or less are not recorded on the Condensed Consolidated Balance Sheets. Lease expense for operating leases is recognized on a straight-line basis over the lease term. The Company does not combine lease and non-lease components in the recognition of lease expense.</w:t>
      </w:r>
    </w:p>
    <w:p>
      <w:pPr>
        <w:spacing w:after="0" w:line="109"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As of March 31, 2022 the Company held four leases for office, manufacturing and warehouse facilities in Aliso Viejo, California. The four leases are for approximately 121,000 square feet in the aggregate and expire between August 31, 2024 and January 31, 2026. For one of the facilities operating leases, the lessor provided $900,000 in tenant allowances.</w:t>
      </w:r>
    </w:p>
    <w:p>
      <w:pPr>
        <w:spacing w:after="0" w:line="102" w:lineRule="exact"/>
        <w:rPr>
          <w:sz w:val="20"/>
          <w:szCs w:val="20"/>
          <w:color w:val="auto"/>
        </w:rPr>
      </w:pPr>
    </w:p>
    <w:p>
      <w:pPr>
        <w:ind w:right="280" w:firstLine="374"/>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lease balances within the condensed consolidated balance sheets as of March 31, 2022 and December 31, 2021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r>
      <w:tr>
        <w:trPr>
          <w:trHeight w:val="238"/>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180" w:type="dxa"/>
            <w:vAlign w:val="bottom"/>
          </w:tcPr>
          <w:p>
            <w:pPr>
              <w:spacing w:after="0"/>
              <w:rPr>
                <w:sz w:val="20"/>
                <w:szCs w:val="20"/>
                <w:color w:val="auto"/>
              </w:rPr>
            </w:pPr>
          </w:p>
        </w:tc>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3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w:t>
            </w:r>
          </w:p>
        </w:tc>
        <w:tc>
          <w:tcPr>
            <w:tcW w:w="180" w:type="dxa"/>
            <w:vAlign w:val="bottom"/>
            <w:shd w:val="clear" w:color="auto" w:fill="CFF0FC"/>
          </w:tcPr>
          <w:p>
            <w:pPr>
              <w:spacing w:after="0"/>
              <w:rPr>
                <w:sz w:val="18"/>
                <w:szCs w:val="18"/>
                <w:color w:val="auto"/>
              </w:rPr>
            </w:pPr>
          </w:p>
        </w:tc>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leases right-of-use assets</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4,057</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4,284</w:t>
            </w:r>
          </w:p>
        </w:tc>
        <w:tc>
          <w:tcPr>
            <w:tcW w:w="100" w:type="dxa"/>
            <w:vAlign w:val="bottom"/>
            <w:shd w:val="clear" w:color="auto" w:fill="CFF0FC"/>
          </w:tcPr>
          <w:p>
            <w:pPr>
              <w:spacing w:after="0"/>
              <w:rPr>
                <w:sz w:val="18"/>
                <w:szCs w:val="18"/>
                <w:color w:val="auto"/>
              </w:rPr>
            </w:pPr>
          </w:p>
        </w:tc>
      </w:tr>
      <w:tr>
        <w:trPr>
          <w:trHeight w:val="216"/>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w:t>
            </w:r>
          </w:p>
        </w:tc>
        <w:tc>
          <w:tcPr>
            <w:tcW w:w="18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r>
      <w:tr>
        <w:trPr>
          <w:trHeight w:val="250"/>
        </w:trPr>
        <w:tc>
          <w:tcPr>
            <w:tcW w:w="3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assets</w:t>
            </w:r>
          </w:p>
        </w:tc>
        <w:tc>
          <w:tcPr>
            <w:tcW w:w="180" w:type="dxa"/>
            <w:vAlign w:val="bottom"/>
            <w:tcBorders>
              <w:bottom w:val="single" w:sz="8" w:color="CFF0FC"/>
            </w:tcBorders>
            <w:shd w:val="clear" w:color="auto" w:fill="CFF0FC"/>
          </w:tcPr>
          <w:p>
            <w:pPr>
              <w:spacing w:after="0"/>
              <w:rPr>
                <w:sz w:val="21"/>
                <w:szCs w:val="21"/>
                <w:color w:val="auto"/>
              </w:rPr>
            </w:pPr>
          </w:p>
        </w:tc>
        <w:tc>
          <w:tcPr>
            <w:tcW w:w="40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spacing w:after="0"/>
              <w:rPr>
                <w:sz w:val="21"/>
                <w:szCs w:val="21"/>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spacing w:after="0"/>
              <w:rPr>
                <w:sz w:val="21"/>
                <w:szCs w:val="21"/>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3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80" w:type="dxa"/>
            <w:vAlign w:val="bottom"/>
            <w:shd w:val="clear" w:color="auto" w:fill="CFF0FC"/>
          </w:tcPr>
          <w:p>
            <w:pPr>
              <w:spacing w:after="0"/>
              <w:rPr>
                <w:sz w:val="18"/>
                <w:szCs w:val="18"/>
                <w:color w:val="auto"/>
              </w:rPr>
            </w:pPr>
          </w:p>
        </w:tc>
        <w:tc>
          <w:tcPr>
            <w:tcW w:w="4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w:t>
            </w:r>
          </w:p>
        </w:tc>
        <w:tc>
          <w:tcPr>
            <w:tcW w:w="18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00" w:type="dxa"/>
            <w:vAlign w:val="bottom"/>
          </w:tcPr>
          <w:p>
            <w:pPr>
              <w:spacing w:after="0"/>
              <w:rPr>
                <w:sz w:val="18"/>
                <w:szCs w:val="18"/>
                <w:color w:val="auto"/>
              </w:rPr>
            </w:pPr>
          </w:p>
        </w:tc>
      </w:tr>
      <w:tr>
        <w:trPr>
          <w:trHeight w:val="216"/>
        </w:trPr>
        <w:tc>
          <w:tcPr>
            <w:tcW w:w="3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w:t>
            </w:r>
          </w:p>
        </w:tc>
        <w:tc>
          <w:tcPr>
            <w:tcW w:w="180" w:type="dxa"/>
            <w:vAlign w:val="bottom"/>
            <w:shd w:val="clear" w:color="auto" w:fill="CFF0FC"/>
          </w:tcPr>
          <w:p>
            <w:pPr>
              <w:spacing w:after="0"/>
              <w:rPr>
                <w:sz w:val="18"/>
                <w:szCs w:val="18"/>
                <w:color w:val="auto"/>
              </w:rPr>
            </w:pPr>
          </w:p>
        </w:tc>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18"/>
                <w:szCs w:val="18"/>
                <w:color w:val="auto"/>
              </w:rPr>
            </w:pPr>
          </w:p>
        </w:tc>
      </w:tr>
      <w:tr>
        <w:trPr>
          <w:trHeight w:val="216"/>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1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w:t>
            </w:r>
          </w:p>
        </w:tc>
        <w:tc>
          <w:tcPr>
            <w:tcW w:w="180" w:type="dxa"/>
            <w:vAlign w:val="bottom"/>
            <w:shd w:val="clear" w:color="auto" w:fill="CFF0FC"/>
          </w:tcPr>
          <w:p>
            <w:pPr>
              <w:spacing w:after="0"/>
              <w:rPr>
                <w:sz w:val="18"/>
                <w:szCs w:val="18"/>
                <w:color w:val="auto"/>
              </w:rPr>
            </w:pPr>
          </w:p>
        </w:tc>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3,265</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00" w:type="dxa"/>
            <w:vAlign w:val="bottom"/>
            <w:shd w:val="clear" w:color="auto" w:fill="CFF0FC"/>
          </w:tcPr>
          <w:p>
            <w:pPr>
              <w:spacing w:after="0"/>
              <w:rPr>
                <w:sz w:val="18"/>
                <w:szCs w:val="18"/>
                <w:color w:val="auto"/>
              </w:rPr>
            </w:pPr>
          </w:p>
        </w:tc>
      </w:tr>
      <w:tr>
        <w:trPr>
          <w:trHeight w:val="216"/>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w:t>
            </w:r>
          </w:p>
        </w:tc>
        <w:tc>
          <w:tcPr>
            <w:tcW w:w="18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r>
      <w:tr>
        <w:trPr>
          <w:trHeight w:val="250"/>
        </w:trPr>
        <w:tc>
          <w:tcPr>
            <w:tcW w:w="3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80" w:type="dxa"/>
            <w:vAlign w:val="bottom"/>
            <w:tcBorders>
              <w:bottom w:val="single" w:sz="8" w:color="CFF0FC"/>
            </w:tcBorders>
            <w:shd w:val="clear" w:color="auto" w:fill="CFF0FC"/>
          </w:tcPr>
          <w:p>
            <w:pPr>
              <w:spacing w:after="0"/>
              <w:rPr>
                <w:sz w:val="21"/>
                <w:szCs w:val="21"/>
                <w:color w:val="auto"/>
              </w:rPr>
            </w:pPr>
          </w:p>
        </w:tc>
        <w:tc>
          <w:tcPr>
            <w:tcW w:w="40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5,012</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29"/>
        </w:trPr>
        <w:tc>
          <w:tcPr>
            <w:tcW w:w="3280" w:type="dxa"/>
            <w:vAlign w:val="bottom"/>
          </w:tcPr>
          <w:p>
            <w:pPr>
              <w:spacing w:after="0"/>
              <w:rPr>
                <w:sz w:val="24"/>
                <w:szCs w:val="24"/>
                <w:color w:val="auto"/>
              </w:rPr>
            </w:pPr>
          </w:p>
        </w:tc>
        <w:tc>
          <w:tcPr>
            <w:tcW w:w="4180" w:type="dxa"/>
            <w:vAlign w:val="bottom"/>
            <w:gridSpan w:val="2"/>
          </w:tcPr>
          <w:p>
            <w:pPr>
              <w:jc w:val="right"/>
              <w:ind w:right="165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5"/>
        </w:trPr>
        <w:tc>
          <w:tcPr>
            <w:tcW w:w="32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-1679575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-1662430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-1679575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-1662430</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-548005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-530860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-530860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24" w:name="page25"/>
    <w:bookmarkEnd w:id="24"/>
    <w:p>
      <w:pPr>
        <w:ind w:left="420"/>
        <w:spacing w:after="0"/>
        <w:rPr>
          <w:sz w:val="20"/>
          <w:szCs w:val="20"/>
          <w:color w:val="auto"/>
        </w:rPr>
      </w:pPr>
      <w:r>
        <w:rPr>
          <w:rFonts w:ascii="Times New Roman" w:cs="Times New Roman" w:eastAsia="Times New Roman" w:hAnsi="Times New Roman"/>
          <w:sz w:val="18"/>
          <w:szCs w:val="18"/>
          <w:color w:val="auto"/>
        </w:rPr>
        <w:t>For the three months ended March 31, 2022 and 2021, the components of operating and finance lease expenses were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220" w:type="dxa"/>
            <w:vAlign w:val="bottom"/>
          </w:tcPr>
          <w:p>
            <w:pPr>
              <w:spacing w:after="0"/>
              <w:rPr>
                <w:sz w:val="20"/>
                <w:szCs w:val="20"/>
                <w:color w:val="auto"/>
              </w:rPr>
            </w:pPr>
          </w:p>
        </w:tc>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220" w:type="dxa"/>
            <w:vAlign w:val="bottom"/>
            <w:vMerge w:val="restart"/>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4"/>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30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62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840" w:type="dxa"/>
            <w:vAlign w:val="bottom"/>
            <w:gridSpan w:val="2"/>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20" w:type="dxa"/>
            <w:vAlign w:val="bottom"/>
          </w:tcPr>
          <w:p>
            <w:pPr>
              <w:spacing w:after="0"/>
              <w:rPr>
                <w:sz w:val="18"/>
                <w:szCs w:val="18"/>
                <w:color w:val="auto"/>
              </w:rPr>
            </w:pPr>
          </w:p>
        </w:tc>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8"/>
                <w:szCs w:val="18"/>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8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840" w:type="dxa"/>
            <w:vAlign w:val="bottom"/>
            <w:gridSpan w:val="2"/>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220" w:type="dxa"/>
            <w:vAlign w:val="bottom"/>
          </w:tcPr>
          <w:p>
            <w:pPr>
              <w:spacing w:after="0"/>
              <w:rPr>
                <w:sz w:val="18"/>
                <w:szCs w:val="18"/>
                <w:color w:val="auto"/>
              </w:rPr>
            </w:pPr>
          </w:p>
        </w:tc>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8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4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220" w:type="dxa"/>
            <w:vAlign w:val="bottom"/>
            <w:shd w:val="clear" w:color="auto" w:fill="CFF0FC"/>
          </w:tcPr>
          <w:p>
            <w:pPr>
              <w:spacing w:after="0"/>
              <w:rPr>
                <w:sz w:val="18"/>
                <w:szCs w:val="18"/>
                <w:color w:val="auto"/>
              </w:rPr>
            </w:pPr>
          </w:p>
        </w:tc>
        <w:tc>
          <w:tcPr>
            <w:tcW w:w="48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180" w:type="dxa"/>
            <w:vAlign w:val="bottom"/>
            <w:gridSpan w:val="7"/>
          </w:tcPr>
          <w:p>
            <w:pPr>
              <w:ind w:left="380"/>
              <w:spacing w:after="0"/>
              <w:rPr>
                <w:sz w:val="20"/>
                <w:szCs w:val="20"/>
                <w:color w:val="auto"/>
              </w:rPr>
            </w:pPr>
            <w:r>
              <w:rPr>
                <w:rFonts w:ascii="Times New Roman" w:cs="Times New Roman" w:eastAsia="Times New Roman" w:hAnsi="Times New Roman"/>
                <w:sz w:val="18"/>
                <w:szCs w:val="18"/>
                <w:color w:val="auto"/>
              </w:rPr>
              <w:t>Maturities of the Company’s operating and finance lease liabilities as of March 31, 2022 were as follows (in thousands):</w:t>
            </w:r>
          </w:p>
        </w:tc>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100" w:type="dxa"/>
            <w:vAlign w:val="bottom"/>
          </w:tcPr>
          <w:p>
            <w:pPr>
              <w:spacing w:after="0"/>
              <w:rPr>
                <w:sz w:val="18"/>
                <w:szCs w:val="18"/>
                <w:color w:val="auto"/>
              </w:rPr>
            </w:pPr>
          </w:p>
        </w:tc>
      </w:tr>
      <w:tr>
        <w:trPr>
          <w:trHeight w:val="238"/>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100" w:type="dxa"/>
            <w:vAlign w:val="bottom"/>
          </w:tcPr>
          <w:p>
            <w:pPr>
              <w:spacing w:after="0"/>
              <w:rPr>
                <w:sz w:val="20"/>
                <w:szCs w:val="20"/>
                <w:color w:val="auto"/>
              </w:rPr>
            </w:pPr>
          </w:p>
        </w:tc>
      </w:tr>
      <w:tr>
        <w:trPr>
          <w:trHeight w:val="210"/>
        </w:trPr>
        <w:tc>
          <w:tcPr>
            <w:tcW w:w="7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2022 (remainder)</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9"/>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5,737</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imputed interest</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r>
      <w:tr>
        <w:trPr>
          <w:trHeight w:val="249"/>
        </w:trPr>
        <w:tc>
          <w:tcPr>
            <w:tcW w:w="7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4,853</w:t>
            </w:r>
          </w:p>
        </w:tc>
        <w:tc>
          <w:tcPr>
            <w:tcW w:w="3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-25400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both"/>
        <w:ind w:right="120" w:firstLine="374"/>
        <w:spacing w:after="0" w:line="266" w:lineRule="auto"/>
        <w:rPr>
          <w:sz w:val="20"/>
          <w:szCs w:val="20"/>
          <w:color w:val="auto"/>
        </w:rPr>
      </w:pPr>
      <w:r>
        <w:rPr>
          <w:rFonts w:ascii="Times New Roman" w:cs="Times New Roman" w:eastAsia="Times New Roman" w:hAnsi="Times New Roman"/>
          <w:sz w:val="18"/>
          <w:szCs w:val="18"/>
          <w:color w:val="auto"/>
        </w:rPr>
        <w:t>The weighted average remaining lease term and weighted average discount rate used to determine lease liabilities related to the Company’s operating and finance leases as of March 31, 2022 and December 31, 2021 were: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4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Lease Term and Discount Rate</w:t>
            </w:r>
          </w:p>
        </w:tc>
        <w:tc>
          <w:tcPr>
            <w:tcW w:w="17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8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20"/>
                <w:szCs w:val="20"/>
                <w:color w:val="auto"/>
              </w:rPr>
            </w:pPr>
          </w:p>
        </w:tc>
      </w:tr>
      <w:tr>
        <w:trPr>
          <w:trHeight w:val="210"/>
        </w:trPr>
        <w:tc>
          <w:tcPr>
            <w:tcW w:w="61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80" w:type="dxa"/>
            <w:vAlign w:val="bottom"/>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1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r>
      <w:tr>
        <w:trPr>
          <w:trHeight w:val="216"/>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leases</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420" w:type="dxa"/>
            <w:vAlign w:val="bottom"/>
          </w:tcPr>
          <w:p>
            <w:pPr>
              <w:spacing w:after="0"/>
              <w:rPr>
                <w:sz w:val="18"/>
                <w:szCs w:val="18"/>
                <w:color w:val="auto"/>
              </w:rPr>
            </w:pPr>
          </w:p>
        </w:tc>
        <w:tc>
          <w:tcPr>
            <w:tcW w:w="218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5"/>
              </w:rPr>
              <w:t>3.30</w:t>
            </w:r>
          </w:p>
        </w:tc>
        <w:tc>
          <w:tcPr>
            <w:tcW w:w="260" w:type="dxa"/>
            <w:vAlign w:val="bottom"/>
          </w:tcPr>
          <w:p>
            <w:pPr>
              <w:spacing w:after="0"/>
              <w:rPr>
                <w:sz w:val="18"/>
                <w:szCs w:val="18"/>
                <w:color w:val="auto"/>
              </w:rPr>
            </w:pPr>
          </w:p>
        </w:tc>
      </w:tr>
      <w:tr>
        <w:trPr>
          <w:trHeight w:val="216"/>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 leases</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420" w:type="dxa"/>
            <w:vAlign w:val="bottom"/>
            <w:shd w:val="clear" w:color="auto" w:fill="CFF0FC"/>
          </w:tcPr>
          <w:p>
            <w:pPr>
              <w:spacing w:after="0"/>
              <w:rPr>
                <w:sz w:val="18"/>
                <w:szCs w:val="18"/>
                <w:color w:val="auto"/>
              </w:rPr>
            </w:pPr>
          </w:p>
        </w:tc>
        <w:tc>
          <w:tcPr>
            <w:tcW w:w="2180" w:type="dxa"/>
            <w:vAlign w:val="bottom"/>
            <w:shd w:val="clear" w:color="auto" w:fill="CFF0FC"/>
          </w:tcPr>
          <w:p>
            <w:pPr>
              <w:ind w:left="1860"/>
              <w:spacing w:after="0"/>
              <w:rPr>
                <w:sz w:val="20"/>
                <w:szCs w:val="20"/>
                <w:color w:val="auto"/>
              </w:rPr>
            </w:pPr>
            <w:r>
              <w:rPr>
                <w:rFonts w:ascii="Times New Roman" w:cs="Times New Roman" w:eastAsia="Times New Roman" w:hAnsi="Times New Roman"/>
                <w:sz w:val="18"/>
                <w:szCs w:val="18"/>
                <w:color w:val="auto"/>
                <w:w w:val="95"/>
              </w:rPr>
              <w:t>1.72</w:t>
            </w:r>
          </w:p>
        </w:tc>
        <w:tc>
          <w:tcPr>
            <w:tcW w:w="260" w:type="dxa"/>
            <w:vAlign w:val="bottom"/>
            <w:shd w:val="clear" w:color="auto" w:fill="CFF0FC"/>
          </w:tcPr>
          <w:p>
            <w:pPr>
              <w:spacing w:after="0"/>
              <w:rPr>
                <w:sz w:val="18"/>
                <w:szCs w:val="18"/>
                <w:color w:val="auto"/>
              </w:rPr>
            </w:pPr>
          </w:p>
        </w:tc>
      </w:tr>
      <w:tr>
        <w:trPr>
          <w:trHeight w:val="216"/>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leases</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10.5 %</w:t>
            </w:r>
          </w:p>
        </w:tc>
        <w:tc>
          <w:tcPr>
            <w:tcW w:w="2440" w:type="dxa"/>
            <w:vAlign w:val="bottom"/>
            <w:gridSpan w:val="2"/>
            <w:shd w:val="clear" w:color="auto" w:fill="CFF0FC"/>
          </w:tcPr>
          <w:p>
            <w:pPr>
              <w:ind w:left="1860"/>
              <w:spacing w:after="0"/>
              <w:rPr>
                <w:sz w:val="20"/>
                <w:szCs w:val="20"/>
                <w:color w:val="auto"/>
              </w:rPr>
            </w:pPr>
            <w:r>
              <w:rPr>
                <w:rFonts w:ascii="Times New Roman" w:cs="Times New Roman" w:eastAsia="Times New Roman" w:hAnsi="Times New Roman"/>
                <w:sz w:val="18"/>
                <w:szCs w:val="18"/>
                <w:color w:val="auto"/>
              </w:rPr>
              <w:t>10.5 %</w:t>
            </w:r>
          </w:p>
        </w:tc>
      </w:tr>
      <w:tr>
        <w:trPr>
          <w:trHeight w:val="234"/>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 leases</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9.5 %</w:t>
            </w:r>
          </w:p>
        </w:tc>
        <w:tc>
          <w:tcPr>
            <w:tcW w:w="244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10.5 %</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 of credit</w:t>
      </w:r>
    </w:p>
    <w:p>
      <w:pPr>
        <w:spacing w:after="0" w:line="1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has a standby letter of credit, expiring September 30, 2024, issued by a financial institution as required security for one operating lease.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amount of the letter of credit was $310,000 as of March 31, 2022 and December 31, 2021.</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119" w:lineRule="exact"/>
        <w:rPr>
          <w:sz w:val="20"/>
          <w:szCs w:val="20"/>
          <w:color w:val="auto"/>
        </w:rPr>
      </w:pPr>
    </w:p>
    <w:p>
      <w:pPr>
        <w:ind w:right="180" w:firstLine="374"/>
        <w:spacing w:after="0" w:line="258" w:lineRule="auto"/>
        <w:rPr>
          <w:sz w:val="20"/>
          <w:szCs w:val="20"/>
          <w:color w:val="auto"/>
        </w:rPr>
      </w:pPr>
      <w:r>
        <w:rPr>
          <w:rFonts w:ascii="Times New Roman" w:cs="Times New Roman" w:eastAsia="Times New Roman" w:hAnsi="Times New Roman"/>
          <w:sz w:val="18"/>
          <w:szCs w:val="18"/>
          <w:color w:val="auto"/>
        </w:rPr>
        <w:t>From time-to-time, the Company may be involved in certain legal proceedings or regulatory matters arising in the ordinary course of business, including without limitation, actions with respect to intellectual property, employment, regulatory, product liability and contractual matters. In connection with these proceedings or matters,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25" w:name="page26"/>
    <w:bookmarkEnd w:id="25"/>
    <w:p>
      <w:pPr>
        <w:ind w:right="40"/>
        <w:spacing w:after="0" w:line="243" w:lineRule="auto"/>
        <w:rPr>
          <w:sz w:val="20"/>
          <w:szCs w:val="20"/>
          <w:color w:val="auto"/>
        </w:rPr>
      </w:pPr>
      <w:r>
        <w:rPr>
          <w:rFonts w:ascii="Times New Roman" w:cs="Times New Roman" w:eastAsia="Times New Roman" w:hAnsi="Times New Roman"/>
          <w:sz w:val="18"/>
          <w:szCs w:val="18"/>
          <w:color w:val="auto"/>
        </w:rPr>
        <w:t>the Company regularly assesses the probability and amount (or range) of possible issues based on the developments in these proceedings or matters. A liability is recorded in the consolidated financial statements if it is determined that it is probable that a loss has been incurred, and that the amount (or range) of the loss can be reasonably estimated. Because of the uncertainties related to any pending proceedings or matters, the Company is currently unable to predict their ultimate outcome and, with respect to any legal proceeding or regulatory matter where no liability has been accrued, to make a reasonable estimate of the possible loss (or range of loss) that could result from an adverse outcome. At March 31, 2022 and December 31, 2022, there were no legal proceedings, regulatory matters, or other disputes or claims for which a material loss was considered probable or for which the amount (or range) of loss was reasonably estimable. However, regardless of the outcome, legal proceedings, regulatory matters, and other disputes and claims can have an adverse impact on the Company because of legal costs, diversion of management time and resources, and other factors.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Subsequent Events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w:t>
      </w:r>
    </w:p>
    <w:p>
      <w:pPr>
        <w:spacing w:after="0" w:line="106" w:lineRule="exact"/>
        <w:rPr>
          <w:sz w:val="20"/>
          <w:szCs w:val="20"/>
          <w:color w:val="auto"/>
        </w:rPr>
      </w:pPr>
    </w:p>
    <w:p>
      <w:pPr>
        <w:ind w:firstLine="374"/>
        <w:spacing w:after="0" w:line="242" w:lineRule="auto"/>
        <w:rPr>
          <w:sz w:val="20"/>
          <w:szCs w:val="20"/>
          <w:color w:val="auto"/>
        </w:rPr>
      </w:pPr>
      <w:r>
        <w:rPr>
          <w:rFonts w:ascii="Times New Roman" w:cs="Times New Roman" w:eastAsia="Times New Roman" w:hAnsi="Times New Roman"/>
          <w:sz w:val="18"/>
          <w:szCs w:val="18"/>
          <w:color w:val="auto"/>
        </w:rPr>
        <w:t>On May 3, 2022, the Company entered into a Second Amendment the (“Second Amendment”) to its existing loan and security agreement (as amended through the Second Amendment, the (“Amended Term Loan”) dated as of October 29, 2020 (“Term Loan”), with Oxford Finance, as the lender and collateral agent thereunder. The Amended Term Loan increased the loan and security agreement to $60.0 million, of which $40.0 million was fully funded as of May 3, 2022. Under the Amended Term Loan, the Company may borrow an additional term loan of up to $10.0 million through June 30, 2023, provided the Company satisfies the applicable drawdown conditions and achieves trailing twelve-month sales revenues of not less than $40,000,000 for the measurement period ending February 28, 2023, the measurement period ending March 31, 2023 or the measurement period ending April 30, 2023. Subject to the terms and conditions of the Amended Term Loan, the Company may also borrow another term loan of up to $10.0 million through September 30, 2023, provided the Company satisfies the applicable drawdown conditions and achieves trailing twelve-month sales revenues of not less than $50.0 million for the measurement period ending May 31, 2023, the measurement period ending June 30, 2023 or the measurement period ending July 31, 2023. The Amended Term Loan bears interest at a rate per annum equal to the greater of (i) 9.25% or (ii) 1-Month Term SOFR (or, if greater, 0.16%) plus an applicable margin of 9.09%. If an event of default under the Amended Term Loan is continuing, additional interest of 5% applies. The Amended Term Loan extends the maturity date of the loan and security agreement, which was due to expire on October 1, 2025, to February 1, 2027. The Company refers to its $60 million Amended Term Loan as its credit facility.</w:t>
      </w:r>
    </w:p>
    <w:p>
      <w:pPr>
        <w:spacing w:after="0" w:line="122" w:lineRule="exact"/>
        <w:rPr>
          <w:sz w:val="20"/>
          <w:szCs w:val="20"/>
          <w:color w:val="auto"/>
        </w:rPr>
      </w:pPr>
    </w:p>
    <w:p>
      <w:pPr>
        <w:ind w:right="60" w:firstLine="374"/>
        <w:spacing w:after="0" w:line="247" w:lineRule="auto"/>
        <w:rPr>
          <w:sz w:val="20"/>
          <w:szCs w:val="20"/>
          <w:color w:val="auto"/>
        </w:rPr>
      </w:pPr>
      <w:r>
        <w:rPr>
          <w:rFonts w:ascii="Times New Roman" w:cs="Times New Roman" w:eastAsia="Times New Roman" w:hAnsi="Times New Roman"/>
          <w:sz w:val="18"/>
          <w:szCs w:val="18"/>
          <w:color w:val="auto"/>
        </w:rPr>
        <w:t>The Amended Term Loan is secured by substantially all of the Company's personal property other than its intellectual property, but includes any accounts receivable, other amounts owed and any proceeds of intellectual property. The Company also entered into a negative pledge arrangement with the collateral agent and lenders where the Company agreed not to encumber any of its intellectual property. The Amended Term Loan also includes certain customary representations and warranties, affirmative and negative covenants, and events of default, including a financial performance to plan covenant that requires the Company to achieve certain minimum net sales revenues, measured on a trailing twelve month basis, as set forth in the Second Amendment.</w:t>
      </w:r>
    </w:p>
    <w:p>
      <w:pPr>
        <w:spacing w:after="0" w:line="112" w:lineRule="exact"/>
        <w:rPr>
          <w:sz w:val="20"/>
          <w:szCs w:val="20"/>
          <w:color w:val="auto"/>
        </w:rPr>
      </w:pPr>
    </w:p>
    <w:p>
      <w:pPr>
        <w:ind w:right="40" w:firstLine="374"/>
        <w:spacing w:after="0" w:line="241" w:lineRule="auto"/>
        <w:rPr>
          <w:sz w:val="20"/>
          <w:szCs w:val="20"/>
          <w:color w:val="auto"/>
        </w:rPr>
      </w:pPr>
      <w:r>
        <w:rPr>
          <w:rFonts w:ascii="Times New Roman" w:cs="Times New Roman" w:eastAsia="Times New Roman" w:hAnsi="Times New Roman"/>
          <w:sz w:val="18"/>
          <w:szCs w:val="18"/>
          <w:color w:val="auto"/>
        </w:rPr>
        <w:t>The Amended Term Loan requires 36 months of interest-only payments, followed by 22-months of amortization. If the Company is in compliance with its performance to plan covenant through April 1, 2025 and has not provided an IP lien election notice before May 1, 2025, the interest-only period is extended by 12 months, and the amortization period is reduced to nine months. Payments are due on the first day of each month in arrears. All unpaid amounts under the Amended Term Loan mature on February 1, 2027. The Company may elect to prepay the loans under the credit facility at any time in full or in part; however, the Company may only elect to prepay the loans in part once, in an amount not less than $5.0 million. Any amounts prepaid may not be subsequently reborrowed. Under the Amended Term Loan, a final payment (the “Final Payment”) will be due at the earlier of the maturity date, acceleration of the loans, or a voluntary or mandatory prepayment of the loans, in an amount equal to (a) if the Final Payment is due on or after January 1, 2022 through and including October 31, 2022, three percent (3.00%) of the original principal amount (or, in the case of a partial prepayment, the amount of principal to be prepaid) of the loans, (b) if the Final Payment is due on or after November 1, 2022 through and including October 31, 2023, four percent (4.00%) of the original principal amount (or, in the case of a partial prepayment, the amount of principal to be prepaid) of the loans, and (c) if the Final Payment is due on or after November 1, 2023, five percent (5.00%) of the original principal amount (or, in the case of a partial prepayment, the amount of principal to be prepaid) of the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26" w:name="page27"/>
    <w:bookmarkEnd w:id="26"/>
    <w:p>
      <w:pPr>
        <w:ind w:right="480"/>
        <w:spacing w:after="0" w:line="266" w:lineRule="auto"/>
        <w:rPr>
          <w:sz w:val="20"/>
          <w:szCs w:val="20"/>
          <w:color w:val="auto"/>
        </w:rPr>
      </w:pPr>
      <w:r>
        <w:rPr>
          <w:rFonts w:ascii="Times New Roman" w:cs="Times New Roman" w:eastAsia="Times New Roman" w:hAnsi="Times New Roman"/>
          <w:sz w:val="18"/>
          <w:szCs w:val="18"/>
          <w:color w:val="auto"/>
        </w:rPr>
        <w:t>loans. The Final Payment is being accreted to the carrying value of the debt as a debt premium and interest expense over the life of the loan using the effective interest method.</w:t>
      </w:r>
    </w:p>
    <w:p>
      <w:pPr>
        <w:spacing w:after="0" w:line="95" w:lineRule="exact"/>
        <w:rPr>
          <w:sz w:val="20"/>
          <w:szCs w:val="20"/>
          <w:color w:val="auto"/>
        </w:rPr>
      </w:pPr>
    </w:p>
    <w:p>
      <w:pPr>
        <w:ind w:right="320" w:firstLine="374"/>
        <w:spacing w:after="0" w:line="258" w:lineRule="auto"/>
        <w:rPr>
          <w:sz w:val="20"/>
          <w:szCs w:val="20"/>
          <w:color w:val="auto"/>
        </w:rPr>
      </w:pPr>
      <w:r>
        <w:rPr>
          <w:rFonts w:ascii="Times New Roman" w:cs="Times New Roman" w:eastAsia="Times New Roman" w:hAnsi="Times New Roman"/>
          <w:sz w:val="18"/>
          <w:szCs w:val="18"/>
          <w:color w:val="auto"/>
        </w:rPr>
        <w:t>The Company is required to pay an amendment fee of $125,000 to the lenders that is directly attributable to execution of the Amended Term Loan transaction. These issuance costs will be recorded as a discount to the carrying amount of the debt and will be amortized to interest expense over the effective term of the debt using the effective interest method. The loans may be accelerated by Oxford Finance in the event of a default.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Sublease</w:t>
      </w:r>
    </w:p>
    <w:p>
      <w:pPr>
        <w:spacing w:after="0" w:line="146"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On April 4, 2022, the Company entered into a thirty-four-month sublease agreement for a portion of the 5 Columbia Building, in Aliso Viejo, CA. The sublease commencement date is June 1, 2022 and will expire on March 31, 2025. The base rent receivable is $11,410 per month.</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9"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06" w:lineRule="exact"/>
        <w:rPr>
          <w:sz w:val="20"/>
          <w:szCs w:val="20"/>
          <w:color w:val="auto"/>
        </w:rPr>
      </w:pPr>
    </w:p>
    <w:p>
      <w:pPr>
        <w:ind w:right="100" w:firstLine="374"/>
        <w:spacing w:after="0" w:line="24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the related notes to those statements included elsewhere in this Quarterly Report on Form 10-Q and our audited consolidated financial statements and related notes thereto for the year ended December 31, 2021, included in our Annual Report on Form 10-K filed with the U.S. Securities and Exchange Commission on March 8, 2022.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“Risk Factors” and elsewhere in this Quarterly Report on Form 10-Q. See “Special Note Regarding Forward-Looking Statements.”</w:t>
      </w:r>
    </w:p>
    <w:p>
      <w:pPr>
        <w:spacing w:after="0" w:line="75" w:lineRule="exact"/>
        <w:rPr>
          <w:sz w:val="20"/>
          <w:szCs w:val="20"/>
          <w:color w:val="auto"/>
        </w:rPr>
      </w:pPr>
    </w:p>
    <w:p>
      <w:pPr>
        <w:ind w:right="20" w:firstLine="374"/>
        <w:spacing w:after="0" w:line="242" w:lineRule="auto"/>
        <w:rPr>
          <w:sz w:val="20"/>
          <w:szCs w:val="20"/>
          <w:color w:val="auto"/>
        </w:rPr>
      </w:pPr>
      <w:r>
        <w:rPr>
          <w:rFonts w:ascii="Times New Roman" w:cs="Times New Roman" w:eastAsia="Times New Roman" w:hAnsi="Times New Roman"/>
          <w:sz w:val="18"/>
          <w:szCs w:val="18"/>
          <w:color w:val="auto"/>
        </w:rPr>
        <w:t>We are a commercial-stage medical technology company dedicated to improving the vision of patients following cataract surgery. Our proprietary RxSight system, comprised of our LAL, LDD and accessories, is the first and only commercially available IOL technology that enables doctors to customize and optimize visual acuity for patients after cataract surgery. Our LAL is made of proprietary photosensitive material that changes shape in response to specific patterns of ultraviolet light generated by our LDD. With the RxSight system, the surgeon performs a standard cataract procedure to implant the LAL, determines refractive error with patient input after healing is complete, and then uses the LDD to modify the lens with the exact amount of visual correction needed to achieve the patient’s desired vision outcomes. Alternative IOL technologies, in contrast, are not adjustable following the procedure and therefore require patients to make pre-operative choices about their visual preferences, which can often result in patient dissatisfaction when visual outcomes fail to meet expectations. We designed our RxSight system to maximize patient and doctor satisfaction through superior visual outcomes. In the pivotal study that formed the basis for our FDA approval, the observed rate of eyes with 20/20 or better uncorrected distance visual acuity for our LAL was 70.1%. This compares favorably to the results of pivotal studies with similar study designs and patient populations that supported FDA approval of Alcon’s Acrysof Toric (38.4%), and J&amp;J’s Tecnis Toric (43.6%). We began commercializing our solution in the United States in the third quarter of 2019 and are focused on establishing the RxSight system as the standard of care for premium IOL procedures. As of March 31, 2022, we had an installed base of 246 LDDs in ophthalmology practices, and since our inception, surgeons have performed over 20,000 surgeries with our RxSight system.</w:t>
      </w:r>
    </w:p>
    <w:p>
      <w:pPr>
        <w:spacing w:after="0" w:line="81" w:lineRule="exact"/>
        <w:rPr>
          <w:sz w:val="20"/>
          <w:szCs w:val="20"/>
          <w:color w:val="auto"/>
        </w:rPr>
      </w:pPr>
    </w:p>
    <w:p>
      <w:pPr>
        <w:ind w:firstLine="374"/>
        <w:spacing w:after="0" w:line="246" w:lineRule="auto"/>
        <w:rPr>
          <w:sz w:val="20"/>
          <w:szCs w:val="20"/>
          <w:color w:val="auto"/>
        </w:rPr>
      </w:pPr>
      <w:r>
        <w:rPr>
          <w:rFonts w:ascii="Times New Roman" w:cs="Times New Roman" w:eastAsia="Times New Roman" w:hAnsi="Times New Roman"/>
          <w:sz w:val="18"/>
          <w:szCs w:val="18"/>
          <w:color w:val="auto"/>
        </w:rPr>
        <w:t>We compete in the IOL market in the U.S. The LAL is a premium IOL which is partially reimbursable under Medicare, and in some cases by private payors. Premium IOLs are sold at a higher price point than conventional IOLs, as they provide refractive correction of vision unlike a conventional IOL that only replaces the natural lens with a clear lens (which is the standard for Medicare reimbursement). Our products are also approved for sale in Europe and Mexico. We are not actively marketing our products for sale in Europe or Mexico; however, we have approval in both for improving uncorrected visual acuity by adjusting the LAL power to correct residual postoperative refractive error. We have one customer in Germany and one in Mexico, both of which have participated in our clinical studies and perform commercial cases. We are a Delaware corporation, headquartered in Aliso Viejo, California, and have one wholly owned subsidiary. Our subsidiary is located in Amsterdam, Netherlands, which itself has one wholly owned subsidiary in Germany and a registered branch in the United Kingdom.</w:t>
      </w:r>
    </w:p>
    <w:p>
      <w:pPr>
        <w:spacing w:after="0" w:line="71" w:lineRule="exact"/>
        <w:rPr>
          <w:sz w:val="20"/>
          <w:szCs w:val="20"/>
          <w:color w:val="auto"/>
        </w:rPr>
      </w:pPr>
    </w:p>
    <w:p>
      <w:pPr>
        <w:ind w:firstLine="374"/>
        <w:spacing w:after="0" w:line="243" w:lineRule="auto"/>
        <w:rPr>
          <w:sz w:val="20"/>
          <w:szCs w:val="20"/>
          <w:color w:val="auto"/>
        </w:rPr>
      </w:pPr>
      <w:r>
        <w:rPr>
          <w:rFonts w:ascii="Times New Roman" w:cs="Times New Roman" w:eastAsia="Times New Roman" w:hAnsi="Times New Roman"/>
          <w:sz w:val="18"/>
          <w:szCs w:val="18"/>
          <w:color w:val="auto"/>
        </w:rPr>
        <w:t>Our commercial strategy involves a “razor and razor blade” sales model, through which we aim to drive adoption of our RxSight system by increasing our installed base of LDDs, which enable consumable revenues from the sale of our LALs. We believe this commercial strategy over time may provide a degree of predictability in terms of our commercial growth and a consumable revenue stream from sales of our LALs. We are currently focused on driving adoption with surgeons performing a high volume of premium cataract procedures. According to the 2021 Premium Cataract Surgery Market Report (the “Market Scope 2021 Premium Report”), approximately 10,000 surgeons perform cataract surgeries in the United States and we estimate that as many as 3,000 surgeons performed approximately 70% to 80% of the premium procedures in the United States in 2021. We believe this provides an attractive and concentrated market opportunity addressable with a focused sales force. We currently employ a sales team that, as of March 31, 2022 includes 19 LDD sales personnel, 16 LAL sales personnel, and a group of approximately 73 clinical specialists, field service, customer service, and marketing personnel. Our sales personnel generally have relevant experience selling cataract surgery products, as well as medical device service and clinical experience. We believe increasing the number of sales representatives, practice development personnel and clinical</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7" w:right="359" w:bottom="1440" w:gutter="0" w:footer="0" w:header="0"/>
        </w:sectPr>
      </w:pPr>
    </w:p>
    <w:bookmarkStart w:id="28" w:name="page29"/>
    <w:bookmarkEnd w:id="28"/>
    <w:p>
      <w:pPr>
        <w:ind w:right="120"/>
        <w:spacing w:after="0" w:line="250" w:lineRule="auto"/>
        <w:rPr>
          <w:sz w:val="20"/>
          <w:szCs w:val="20"/>
          <w:color w:val="auto"/>
        </w:rPr>
      </w:pPr>
      <w:r>
        <w:rPr>
          <w:rFonts w:ascii="Times New Roman" w:cs="Times New Roman" w:eastAsia="Times New Roman" w:hAnsi="Times New Roman"/>
          <w:sz w:val="18"/>
          <w:szCs w:val="18"/>
          <w:color w:val="auto"/>
        </w:rPr>
        <w:t>trainers will help facilitate further adoption of our products among existing customer accounts as well as broaden awareness of our products to new accounts. While we intend to initially focus our growing commercial efforts in the U.S., in the future, we may selectively pursue commercial expansion in Asia, Europe, Australia or other geographies with significant market opportunity for premium IOLs, leveraging our CE and FDA approvals.</w:t>
      </w:r>
    </w:p>
    <w:p>
      <w:pPr>
        <w:spacing w:after="0" w:line="82" w:lineRule="exact"/>
        <w:rPr>
          <w:sz w:val="20"/>
          <w:szCs w:val="20"/>
          <w:color w:val="auto"/>
        </w:rPr>
      </w:pPr>
    </w:p>
    <w:p>
      <w:pPr>
        <w:ind w:right="20" w:firstLine="374"/>
        <w:spacing w:after="0" w:line="245" w:lineRule="auto"/>
        <w:rPr>
          <w:sz w:val="20"/>
          <w:szCs w:val="20"/>
          <w:color w:val="auto"/>
        </w:rPr>
      </w:pPr>
      <w:r>
        <w:rPr>
          <w:rFonts w:ascii="Times New Roman" w:cs="Times New Roman" w:eastAsia="Times New Roman" w:hAnsi="Times New Roman"/>
          <w:sz w:val="18"/>
          <w:szCs w:val="18"/>
          <w:color w:val="auto"/>
        </w:rPr>
        <w:t>Our near-term research and development activities are focused on improving customer experience, expanding our indications for use, reducing manufacturing costs and lifecycle management and enhancements to the RxSight system to improve clinical outcomes to drive product adoption. We believe that over time, our adjustable lens solution can be used to address a broad range of cataract surgery patients, including those that would otherwise elect for a conventional cataract procedure today. Additional development and clinical studies that are designed to provide clinical evidence of the safety and effectiveness of our existing and future generations of products are also anticipated. Finally, we may in the future seek to acquire or invest in additional businesses, products or technologies that we believe could complement or expand our portfolio, enhance our technical capabilities or otherwise offer growth opportunities.</w:t>
      </w:r>
    </w:p>
    <w:p>
      <w:pPr>
        <w:spacing w:after="0" w:line="73" w:lineRule="exact"/>
        <w:rPr>
          <w:sz w:val="20"/>
          <w:szCs w:val="20"/>
          <w:color w:val="auto"/>
        </w:rPr>
      </w:pPr>
    </w:p>
    <w:p>
      <w:pPr>
        <w:ind w:firstLine="374"/>
        <w:spacing w:after="0" w:line="250" w:lineRule="auto"/>
        <w:rPr>
          <w:sz w:val="20"/>
          <w:szCs w:val="20"/>
          <w:color w:val="auto"/>
        </w:rPr>
      </w:pPr>
      <w:r>
        <w:rPr>
          <w:rFonts w:ascii="Times New Roman" w:cs="Times New Roman" w:eastAsia="Times New Roman" w:hAnsi="Times New Roman"/>
          <w:sz w:val="18"/>
          <w:szCs w:val="18"/>
          <w:color w:val="auto"/>
        </w:rPr>
        <w:t>On July 29, 2021, we completed our Initial Public Offering (“IPO”), which resulted in the issuance and sale of 8,248,549 shares of common stock, including 898,549 shares sold pursuant to the exercise of the underwriters’ over-allotment option at the IPO price of $16.00 per share. We received net proceeds of approximately $119.6 million from the IPO, after deducting underwriters’ discounts and commissions of $9.2 million and offering costs of $3.2 million.</w:t>
      </w:r>
    </w:p>
    <w:p>
      <w:pPr>
        <w:spacing w:after="0" w:line="69" w:lineRule="exact"/>
        <w:rPr>
          <w:sz w:val="20"/>
          <w:szCs w:val="20"/>
          <w:color w:val="auto"/>
        </w:rPr>
      </w:pPr>
    </w:p>
    <w:p>
      <w:pPr>
        <w:ind w:right="80" w:firstLine="374"/>
        <w:spacing w:after="0" w:line="245" w:lineRule="auto"/>
        <w:rPr>
          <w:sz w:val="20"/>
          <w:szCs w:val="20"/>
          <w:color w:val="auto"/>
        </w:rPr>
      </w:pPr>
      <w:r>
        <w:rPr>
          <w:rFonts w:ascii="Times New Roman" w:cs="Times New Roman" w:eastAsia="Times New Roman" w:hAnsi="Times New Roman"/>
          <w:sz w:val="18"/>
          <w:szCs w:val="18"/>
          <w:color w:val="auto"/>
        </w:rPr>
        <w:t>Prior to our IPO, our primary sources of capital had been private placements of preferred stock, a structured transaction with a strategic partner, debt financing and revenue from sales of our products. Since inception, we raised a total of $191.3 million in net proceeds from private placements of preferred stock, $120 million from a strategic partner, approximately $39.2 million in net proceeds from a credit facility, and approximately $11.3 million from issuance of common stock primarily from stock option exercises. As of March 31, 2022, we had cash and cash equivalents of $24.1 million, short-term investments of $119.7 million, long-term debt of $39.9 million and an accumulated deficit of $496.9 million. We generated net sales of $8.9 million and had a net loss of $17.6 million for the three months ended March 31, 2022, as compared to sales of $3.5 million and net loss of $6.8 million for the three months ended March 31, 2021.</w:t>
      </w:r>
    </w:p>
    <w:p>
      <w:pPr>
        <w:spacing w:after="0" w:line="73" w:lineRule="exact"/>
        <w:rPr>
          <w:sz w:val="20"/>
          <w:szCs w:val="20"/>
          <w:color w:val="auto"/>
        </w:rPr>
      </w:pPr>
    </w:p>
    <w:p>
      <w:pPr>
        <w:ind w:right="40" w:firstLine="374"/>
        <w:spacing w:after="0" w:line="246" w:lineRule="auto"/>
        <w:rPr>
          <w:sz w:val="20"/>
          <w:szCs w:val="20"/>
          <w:color w:val="auto"/>
        </w:rPr>
      </w:pPr>
      <w:r>
        <w:rPr>
          <w:rFonts w:ascii="Times New Roman" w:cs="Times New Roman" w:eastAsia="Times New Roman" w:hAnsi="Times New Roman"/>
          <w:sz w:val="18"/>
          <w:szCs w:val="18"/>
          <w:color w:val="auto"/>
        </w:rPr>
        <w:t>We have made, and intend to continue to make significant investments in our sales and marketing organization, primarily sales representatives, clinical applications specialists and technical service personnel to support new customers and upgrades and practice development personnel to facilitate adoption of use of our LALs among existing accounts. We will expand our marketing efforts with additional advertising and customer tools to expand their local advertising. We will also continue to make significant investments in research and development and clinical expenses to make enhancements in our current products. As a public company, we have incurred, and will continue to incur costs that we have not previously incurred or have previously incurred at lower rates, including increased costs for employee-related expenses, director and officer insurance premiums, audit and legal fees, investor relations fees, fees to members of our Board of Directors and expenses for compliance with public-company reporting requirements. Because of these and other factors, we expect to continue to incur substantial net losses and negative cash flows from operations for at least the next several years.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21" w:lineRule="exact"/>
        <w:rPr>
          <w:sz w:val="20"/>
          <w:szCs w:val="20"/>
          <w:color w:val="auto"/>
        </w:rPr>
      </w:pPr>
    </w:p>
    <w:p>
      <w:pPr>
        <w:ind w:firstLine="374"/>
        <w:spacing w:after="0" w:line="247" w:lineRule="auto"/>
        <w:rPr>
          <w:sz w:val="20"/>
          <w:szCs w:val="20"/>
          <w:color w:val="auto"/>
        </w:rPr>
      </w:pPr>
      <w:r>
        <w:rPr>
          <w:rFonts w:ascii="Times New Roman" w:cs="Times New Roman" w:eastAsia="Times New Roman" w:hAnsi="Times New Roman"/>
          <w:sz w:val="18"/>
          <w:szCs w:val="18"/>
          <w:color w:val="auto"/>
        </w:rPr>
        <w:t>We regularly review several operating and financial metrics to evaluate our business, measure our performance, identify trends affecting our business, formulate our business plan and make strategic decisions. We believe the number of LDDs installed, LALs implanted and the number of doctors performing surgery with our products are indicators of our ability to drive adoption and generate revenue. We believe these are important metrics for our business. Due to our limited commercial history, all but eight months of which have occurred during the COVID-19 pandemic, we are not yet able to assess seasonality and other trends, and we will continue to evaluate our business in the future using these and other financial metrics as we observe trends in our business.</w:t>
      </w:r>
    </w:p>
    <w:p>
      <w:pPr>
        <w:spacing w:after="0" w:line="72" w:lineRule="exact"/>
        <w:rPr>
          <w:sz w:val="20"/>
          <w:szCs w:val="20"/>
          <w:color w:val="auto"/>
        </w:rPr>
      </w:pPr>
    </w:p>
    <w:p>
      <w:pPr>
        <w:ind w:right="140" w:firstLine="374"/>
        <w:spacing w:after="0" w:line="266" w:lineRule="auto"/>
        <w:rPr>
          <w:sz w:val="20"/>
          <w:szCs w:val="20"/>
          <w:color w:val="auto"/>
        </w:rPr>
      </w:pPr>
      <w:r>
        <w:rPr>
          <w:rFonts w:ascii="Times New Roman" w:cs="Times New Roman" w:eastAsia="Times New Roman" w:hAnsi="Times New Roman"/>
          <w:sz w:val="18"/>
          <w:szCs w:val="18"/>
          <w:color w:val="auto"/>
        </w:rPr>
        <w:t>We believe the number of LDDs sold in each quarter and our LDD installed base at the end of each period are important metrics as they represent an installed base into which we can sell our LALs.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9" w:right="35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87"/>
        </w:trPr>
        <w:tc>
          <w:tcPr>
            <w:tcW w:w="4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7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69"/>
        </w:trPr>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Borders>
              <w:top w:val="single" w:sz="8" w:color="auto"/>
            </w:tcBorders>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Q1</w:t>
            </w:r>
          </w:p>
        </w:tc>
        <w:tc>
          <w:tcPr>
            <w:tcW w:w="36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Borders>
              <w:top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Q1</w:t>
            </w:r>
          </w:p>
        </w:tc>
        <w:tc>
          <w:tcPr>
            <w:tcW w:w="28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Q2</w:t>
            </w:r>
          </w:p>
        </w:tc>
        <w:tc>
          <w:tcPr>
            <w:tcW w:w="1120" w:type="dxa"/>
            <w:vAlign w:val="bottom"/>
            <w:tcBorders>
              <w:top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Q3</w:t>
            </w:r>
          </w:p>
        </w:tc>
        <w:tc>
          <w:tcPr>
            <w:tcW w:w="2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Q4</w:t>
            </w:r>
          </w:p>
        </w:tc>
        <w:tc>
          <w:tcPr>
            <w:tcW w:w="280" w:type="dxa"/>
            <w:vAlign w:val="bottom"/>
          </w:tcPr>
          <w:p>
            <w:pPr>
              <w:spacing w:after="0"/>
              <w:rPr>
                <w:sz w:val="14"/>
                <w:szCs w:val="14"/>
                <w:color w:val="auto"/>
              </w:rPr>
            </w:pPr>
          </w:p>
        </w:tc>
      </w:tr>
      <w:tr>
        <w:trPr>
          <w:trHeight w:val="209"/>
        </w:trPr>
        <w:tc>
          <w:tcPr>
            <w:tcW w:w="40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LDDs Sold</w:t>
            </w:r>
          </w:p>
        </w:tc>
        <w:tc>
          <w:tcPr>
            <w:tcW w:w="20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0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shd w:val="clear" w:color="auto" w:fill="CFF0FC"/>
          </w:tcPr>
          <w:p>
            <w:pPr>
              <w:spacing w:after="0"/>
              <w:rPr>
                <w:sz w:val="18"/>
                <w:szCs w:val="18"/>
                <w:color w:val="auto"/>
              </w:rPr>
            </w:pPr>
          </w:p>
        </w:tc>
      </w:tr>
      <w:tr>
        <w:trPr>
          <w:trHeight w:val="216"/>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Installed Base at End of Period</w:t>
            </w:r>
          </w:p>
        </w:tc>
        <w:tc>
          <w:tcPr>
            <w:tcW w:w="7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3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8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6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80" w:type="dxa"/>
            <w:vAlign w:val="bottom"/>
          </w:tcPr>
          <w:p>
            <w:pPr>
              <w:spacing w:after="0"/>
              <w:rPr>
                <w:sz w:val="18"/>
                <w:szCs w:val="18"/>
                <w:color w:val="auto"/>
              </w:rPr>
            </w:pPr>
          </w:p>
        </w:tc>
      </w:tr>
    </w:tbl>
    <w:p>
      <w:pPr>
        <w:spacing w:after="0" w:line="211" w:lineRule="exact"/>
        <w:rPr>
          <w:sz w:val="20"/>
          <w:szCs w:val="20"/>
          <w:color w:val="auto"/>
        </w:rPr>
      </w:pPr>
    </w:p>
    <w:p>
      <w:pPr>
        <w:ind w:right="180" w:firstLine="374"/>
        <w:spacing w:after="0" w:line="247" w:lineRule="auto"/>
        <w:rPr>
          <w:sz w:val="20"/>
          <w:szCs w:val="20"/>
          <w:color w:val="auto"/>
        </w:rPr>
      </w:pPr>
      <w:r>
        <w:rPr>
          <w:rFonts w:ascii="Times New Roman" w:cs="Times New Roman" w:eastAsia="Times New Roman" w:hAnsi="Times New Roman"/>
          <w:sz w:val="18"/>
          <w:szCs w:val="18"/>
          <w:color w:val="auto"/>
        </w:rPr>
        <w:t>We believe the number of LALs sold (reported as implanted in a patient) in each quarter is an important metric indicative of adoption and utilization of our RxSight system. While an important metric, the COVID-19 pandemic and severe weather in the first quarter 2021 impacted trends in our business. The U.S. saw a resurgence in COVID-19 cases attributed to holiday travel and gatherings and severe weather in Texas and other southern states, resulting in reduced LAL sales for such period. During the quarter ended March 31, 2022, we saw increased LDD sales of 27 and increased LAL sales of 2,599 when compared to March 31, 2021 from strong adoption of our RxSight technology by practices and doctors combined with an increased LDD installed base.</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5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169"/>
        </w:trPr>
        <w:tc>
          <w:tcPr>
            <w:tcW w:w="2500" w:type="dxa"/>
            <w:vAlign w:val="bottom"/>
          </w:tcPr>
          <w:p>
            <w:pPr>
              <w:spacing w:after="0"/>
              <w:rPr>
                <w:sz w:val="14"/>
                <w:szCs w:val="14"/>
                <w:color w:val="auto"/>
              </w:rPr>
            </w:pPr>
          </w:p>
        </w:tc>
        <w:tc>
          <w:tcPr>
            <w:tcW w:w="840" w:type="dxa"/>
            <w:vAlign w:val="bottom"/>
            <w:tcBorders>
              <w:top w:val="single" w:sz="8" w:color="auto"/>
            </w:tcBorders>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Q1</w:t>
            </w:r>
          </w:p>
        </w:tc>
        <w:tc>
          <w:tcPr>
            <w:tcW w:w="46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Q1</w:t>
            </w:r>
          </w:p>
        </w:tc>
        <w:tc>
          <w:tcPr>
            <w:tcW w:w="380" w:type="dxa"/>
            <w:vAlign w:val="bottom"/>
            <w:tcBorders>
              <w:top w:val="single" w:sz="8" w:color="auto"/>
            </w:tcBorders>
          </w:tcPr>
          <w:p>
            <w:pPr>
              <w:spacing w:after="0"/>
              <w:rPr>
                <w:sz w:val="14"/>
                <w:szCs w:val="14"/>
                <w:color w:val="auto"/>
              </w:rPr>
            </w:pPr>
          </w:p>
        </w:tc>
        <w:tc>
          <w:tcPr>
            <w:tcW w:w="2120" w:type="dxa"/>
            <w:vAlign w:val="bottom"/>
            <w:tcBorders>
              <w:top w:val="single" w:sz="8" w:color="auto"/>
            </w:tcBorders>
            <w:gridSpan w:val="2"/>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Q2</w:t>
            </w:r>
          </w:p>
        </w:tc>
        <w:tc>
          <w:tcPr>
            <w:tcW w:w="1280" w:type="dxa"/>
            <w:vAlign w:val="bottom"/>
            <w:tcBorders>
              <w:top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Q3</w:t>
            </w:r>
          </w:p>
        </w:tc>
        <w:tc>
          <w:tcPr>
            <w:tcW w:w="3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Q4</w:t>
            </w:r>
          </w:p>
        </w:tc>
        <w:tc>
          <w:tcPr>
            <w:tcW w:w="360" w:type="dxa"/>
            <w:vAlign w:val="bottom"/>
          </w:tcPr>
          <w:p>
            <w:pPr>
              <w:spacing w:after="0"/>
              <w:rPr>
                <w:sz w:val="14"/>
                <w:szCs w:val="14"/>
                <w:color w:val="auto"/>
              </w:rPr>
            </w:pPr>
          </w:p>
        </w:tc>
      </w:tr>
      <w:tr>
        <w:trPr>
          <w:trHeight w:val="210"/>
        </w:trPr>
        <w:tc>
          <w:tcPr>
            <w:tcW w:w="3340" w:type="dxa"/>
            <w:vAlign w:val="bottom"/>
            <w:tcBorders>
              <w:top w:val="single" w:sz="8" w:color="auto"/>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LALs Sold</w:t>
            </w: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380" w:type="dxa"/>
            <w:vAlign w:val="bottom"/>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380" w:type="dxa"/>
            <w:vAlign w:val="bottom"/>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380" w:type="dxa"/>
            <w:vAlign w:val="bottom"/>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360" w:type="dxa"/>
            <w:vAlign w:val="bottom"/>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2,959</w:t>
            </w:r>
          </w:p>
        </w:tc>
        <w:tc>
          <w:tcPr>
            <w:tcW w:w="360" w:type="dxa"/>
            <w:vAlign w:val="bottom"/>
            <w:shd w:val="clear" w:color="auto" w:fill="CFF0FC"/>
          </w:tcPr>
          <w:p>
            <w:pPr>
              <w:spacing w:after="0"/>
              <w:rPr>
                <w:sz w:val="18"/>
                <w:szCs w:val="18"/>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121" w:lineRule="exact"/>
        <w:rPr>
          <w:sz w:val="20"/>
          <w:szCs w:val="20"/>
          <w:color w:val="auto"/>
        </w:rPr>
      </w:pPr>
    </w:p>
    <w:p>
      <w:pPr>
        <w:ind w:firstLine="374"/>
        <w:spacing w:after="0" w:line="244" w:lineRule="auto"/>
        <w:rPr>
          <w:sz w:val="20"/>
          <w:szCs w:val="20"/>
          <w:color w:val="auto"/>
        </w:rPr>
      </w:pPr>
      <w:r>
        <w:rPr>
          <w:rFonts w:ascii="Times New Roman" w:cs="Times New Roman" w:eastAsia="Times New Roman" w:hAnsi="Times New Roman"/>
          <w:sz w:val="18"/>
          <w:szCs w:val="18"/>
          <w:color w:val="auto"/>
        </w:rPr>
        <w:t>Our sales consists of the sale of LALs used in cataract surgeries, the LDDs for delivering light to the LALs to adjust the lens post-surgery, as needed, and service and accessories. Revenue is derived from sales of products primarily in the U.S. and sales to a single customer in each of Germany and Mexico. Customers are primarily comprised of ophthalmic practices (LDD sales) and ambulatory surgery centers (LAL sales). We expect revenue to increase in absolute dollars as we expand our sales organization and sales territories, add customers, expand the base of doctors that are trained to use our products, and expand awareness of our products including our ActivShield™ Technology with new and existing customers and as doctors perform more procedures using our products.</w:t>
      </w:r>
    </w:p>
    <w:p>
      <w:pPr>
        <w:spacing w:after="0" w:line="74" w:lineRule="exact"/>
        <w:rPr>
          <w:sz w:val="20"/>
          <w:szCs w:val="20"/>
          <w:color w:val="auto"/>
        </w:rPr>
      </w:pPr>
    </w:p>
    <w:p>
      <w:pPr>
        <w:ind w:right="200" w:firstLine="374"/>
        <w:spacing w:after="0" w:line="282" w:lineRule="auto"/>
        <w:rPr>
          <w:sz w:val="20"/>
          <w:szCs w:val="20"/>
          <w:color w:val="auto"/>
        </w:rPr>
      </w:pPr>
      <w:r>
        <w:rPr>
          <w:rFonts w:ascii="Times New Roman" w:cs="Times New Roman" w:eastAsia="Times New Roman" w:hAnsi="Times New Roman"/>
          <w:sz w:val="18"/>
          <w:szCs w:val="18"/>
          <w:color w:val="auto"/>
        </w:rPr>
        <w:t>LALs are held at customer sites on consignment. The single performance obligation is satisfied, and revenue is recognized for LALs upon customer notification that the LALs have been implanted in a patient.</w:t>
      </w:r>
    </w:p>
    <w:p>
      <w:pPr>
        <w:spacing w:after="0" w:line="40" w:lineRule="exact"/>
        <w:rPr>
          <w:sz w:val="20"/>
          <w:szCs w:val="20"/>
          <w:color w:val="auto"/>
        </w:rPr>
      </w:pPr>
    </w:p>
    <w:p>
      <w:pPr>
        <w:ind w:right="40" w:firstLine="374"/>
        <w:spacing w:after="0" w:line="247" w:lineRule="auto"/>
        <w:rPr>
          <w:sz w:val="20"/>
          <w:szCs w:val="20"/>
          <w:color w:val="auto"/>
        </w:rPr>
      </w:pPr>
      <w:r>
        <w:rPr>
          <w:rFonts w:ascii="Times New Roman" w:cs="Times New Roman" w:eastAsia="Times New Roman" w:hAnsi="Times New Roman"/>
          <w:sz w:val="18"/>
          <w:szCs w:val="18"/>
          <w:color w:val="auto"/>
        </w:rPr>
        <w:t>Our LDD contracts contain multiple performance obligations bundled into one transaction price, with all obligations generally satisfied within one year. The LDD capital asset and related components revenue is recognized upon installation and customer acceptance, training is recognized upon completion of training by at least one doctor, and the initial warranty and service agreement are recognized ratably over the service period. After the first year, service contracts can be purchased separately on a standalone basis. The Company recorded contract liabilities of $622,000 and $540,000 related to such service agreements as of March 31, 2022 and December 31, 2021, respectively. Revenue for such service agreements will be recognized over the term of each contract.</w:t>
      </w:r>
    </w:p>
    <w:p>
      <w:pPr>
        <w:spacing w:after="0" w:line="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the three months ended March 31, 2022 and 2021, sales from contracts with customers consisted of the following:</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80" w:type="dxa"/>
            <w:vAlign w:val="bottom"/>
          </w:tcPr>
          <w:p>
            <w:pPr>
              <w:spacing w:after="0"/>
              <w:rPr>
                <w:sz w:val="20"/>
                <w:szCs w:val="20"/>
                <w:color w:val="auto"/>
              </w:rPr>
            </w:pPr>
          </w:p>
        </w:tc>
        <w:tc>
          <w:tcPr>
            <w:tcW w:w="31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09"/>
        </w:trPr>
        <w:tc>
          <w:tcPr>
            <w:tcW w:w="7580" w:type="dxa"/>
            <w:vAlign w:val="bottom"/>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5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69"/>
        </w:trPr>
        <w:tc>
          <w:tcPr>
            <w:tcW w:w="758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(in</w:t>
            </w:r>
          </w:p>
        </w:tc>
        <w:tc>
          <w:tcPr>
            <w:tcW w:w="1420" w:type="dxa"/>
            <w:vAlign w:val="bottom"/>
            <w:tcBorders>
              <w:bottom w:val="single" w:sz="8" w:color="auto"/>
            </w:tcBorders>
            <w:gridSpan w:val="2"/>
          </w:tcPr>
          <w:p>
            <w:pPr>
              <w:jc w:val="right"/>
              <w:ind w:right="77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10"/>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LDD (including training)</w:t>
            </w:r>
          </w:p>
        </w:tc>
        <w:tc>
          <w:tcPr>
            <w:tcW w:w="1140" w:type="dxa"/>
            <w:vAlign w:val="bottom"/>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4,569</w:t>
            </w:r>
          </w:p>
        </w:tc>
        <w:tc>
          <w:tcPr>
            <w:tcW w:w="1420" w:type="dxa"/>
            <w:vAlign w:val="bottom"/>
            <w:gridSpan w:val="2"/>
            <w:shd w:val="clear" w:color="auto" w:fill="CFF0FC"/>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60" w:type="dxa"/>
            <w:vAlign w:val="bottom"/>
            <w:shd w:val="clear" w:color="auto" w:fill="CFF0FC"/>
          </w:tcPr>
          <w:p>
            <w:pPr>
              <w:spacing w:after="0"/>
              <w:rPr>
                <w:sz w:val="18"/>
                <w:szCs w:val="18"/>
                <w:color w:val="auto"/>
              </w:rPr>
            </w:pPr>
          </w:p>
        </w:tc>
      </w:tr>
      <w:tr>
        <w:trPr>
          <w:trHeight w:val="216"/>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LALs</w:t>
            </w:r>
          </w:p>
        </w:tc>
        <w:tc>
          <w:tcPr>
            <w:tcW w:w="1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4,105</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60" w:type="dxa"/>
            <w:vAlign w:val="bottom"/>
          </w:tcPr>
          <w:p>
            <w:pPr>
              <w:spacing w:after="0"/>
              <w:rPr>
                <w:sz w:val="18"/>
                <w:szCs w:val="18"/>
                <w:color w:val="auto"/>
              </w:rPr>
            </w:pPr>
          </w:p>
        </w:tc>
      </w:tr>
      <w:tr>
        <w:trPr>
          <w:trHeight w:val="216"/>
        </w:trPr>
        <w:tc>
          <w:tcPr>
            <w:tcW w:w="7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Accessories and Service Warranty</w:t>
            </w:r>
          </w:p>
        </w:tc>
        <w:tc>
          <w:tcPr>
            <w:tcW w:w="114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6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09"/>
        </w:trPr>
        <w:tc>
          <w:tcPr>
            <w:tcW w:w="7580" w:type="dxa"/>
            <w:vAlign w:val="bottom"/>
          </w:tcPr>
          <w:p>
            <w:pPr>
              <w:spacing w:after="0"/>
              <w:rPr>
                <w:sz w:val="18"/>
                <w:szCs w:val="18"/>
                <w:color w:val="auto"/>
              </w:rPr>
            </w:pP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8,942</w:t>
            </w:r>
          </w:p>
        </w:tc>
        <w:tc>
          <w:tcPr>
            <w:tcW w:w="1420" w:type="dxa"/>
            <w:vAlign w:val="bottom"/>
            <w:gridSpan w:val="2"/>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3,484</w:t>
            </w:r>
          </w:p>
        </w:tc>
        <w:tc>
          <w:tcPr>
            <w:tcW w:w="60" w:type="dxa"/>
            <w:vAlign w:val="bottom"/>
          </w:tcPr>
          <w:p>
            <w:pPr>
              <w:spacing w:after="0"/>
              <w:rPr>
                <w:sz w:val="18"/>
                <w:szCs w:val="18"/>
                <w:color w:val="auto"/>
              </w:rPr>
            </w:pPr>
          </w:p>
        </w:tc>
      </w:tr>
      <w:tr>
        <w:trPr>
          <w:trHeight w:val="20"/>
        </w:trPr>
        <w:tc>
          <w:tcPr>
            <w:tcW w:w="75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-170815</wp:posOffset>
            </wp:positionV>
            <wp:extent cx="514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-170815</wp:posOffset>
            </wp:positionV>
            <wp:extent cx="431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70" w:lineRule="exact"/>
        <w:rPr>
          <w:sz w:val="20"/>
          <w:szCs w:val="20"/>
          <w:color w:val="auto"/>
        </w:rPr>
      </w:pPr>
    </w:p>
    <w:p>
      <w:pPr>
        <w:ind w:right="180" w:firstLine="374"/>
        <w:spacing w:after="0" w:line="383" w:lineRule="auto"/>
        <w:rPr>
          <w:sz w:val="20"/>
          <w:szCs w:val="20"/>
          <w:color w:val="auto"/>
        </w:rPr>
      </w:pPr>
      <w:r>
        <w:rPr>
          <w:rFonts w:ascii="Times New Roman" w:cs="Times New Roman" w:eastAsia="Times New Roman" w:hAnsi="Times New Roman"/>
          <w:sz w:val="18"/>
          <w:szCs w:val="18"/>
          <w:color w:val="auto"/>
        </w:rPr>
        <w:t xml:space="preserve">For the three months ended March 31, 2022 and 2021 we did not have any one customer who individually accounted for more than 10% of revenue. </w:t>
      </w:r>
      <w:r>
        <w:rPr>
          <w:rFonts w:ascii="Times New Roman" w:cs="Times New Roman" w:eastAsia="Times New Roman" w:hAnsi="Times New Roman"/>
          <w:sz w:val="18"/>
          <w:szCs w:val="18"/>
          <w:b w:val="1"/>
          <w:bCs w:val="1"/>
          <w:i w:val="1"/>
          <w:iCs w:val="1"/>
          <w:color w:val="auto"/>
        </w:rPr>
        <w:t>Cost of sales</w:t>
      </w:r>
    </w:p>
    <w:p>
      <w:pPr>
        <w:spacing w:after="0" w:line="1" w:lineRule="exact"/>
        <w:rPr>
          <w:sz w:val="20"/>
          <w:szCs w:val="20"/>
          <w:color w:val="auto"/>
        </w:rPr>
      </w:pPr>
    </w:p>
    <w:p>
      <w:pPr>
        <w:ind w:right="20" w:firstLine="374"/>
        <w:spacing w:after="0" w:line="280" w:lineRule="auto"/>
        <w:rPr>
          <w:sz w:val="20"/>
          <w:szCs w:val="20"/>
          <w:color w:val="auto"/>
        </w:rPr>
      </w:pPr>
      <w:r>
        <w:rPr>
          <w:rFonts w:ascii="Times New Roman" w:cs="Times New Roman" w:eastAsia="Times New Roman" w:hAnsi="Times New Roman"/>
          <w:sz w:val="17"/>
          <w:szCs w:val="17"/>
          <w:color w:val="auto"/>
        </w:rPr>
        <w:t>Cost of sales consists of materials, labor and manufacturing overhead internally to produce the Company’s products as well as the cost of shipping and handling. Overhead costs include the cost of quality assurance, material procurement, inventory control, facilities, equipment and operations supervision and management, including stock-based compensation. Cost of sales also includes depreciation expense for production equipment and certain direct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30" w:name="page31"/>
    <w:bookmarkEnd w:id="30"/>
    <w:p>
      <w:pPr>
        <w:ind w:right="600"/>
        <w:spacing w:after="0" w:line="266" w:lineRule="auto"/>
        <w:rPr>
          <w:sz w:val="20"/>
          <w:szCs w:val="20"/>
          <w:color w:val="auto"/>
        </w:rPr>
      </w:pPr>
      <w:r>
        <w:rPr>
          <w:rFonts w:ascii="Times New Roman" w:cs="Times New Roman" w:eastAsia="Times New Roman" w:hAnsi="Times New Roman"/>
          <w:sz w:val="18"/>
          <w:szCs w:val="18"/>
          <w:color w:val="auto"/>
        </w:rPr>
        <w:t>costs such as shipping costs and royalty and license fee expense. Shipping costs billed to customers are included in sales. We expect cost of sales to increase in absolute dollars as our revenue grows and more of our products are sold.</w:t>
      </w:r>
    </w:p>
    <w:p>
      <w:pPr>
        <w:spacing w:after="0" w:line="54" w:lineRule="exact"/>
        <w:rPr>
          <w:sz w:val="20"/>
          <w:szCs w:val="20"/>
          <w:color w:val="auto"/>
        </w:rPr>
      </w:pPr>
    </w:p>
    <w:p>
      <w:pPr>
        <w:ind w:right="220" w:firstLine="374"/>
        <w:spacing w:after="0" w:line="250" w:lineRule="auto"/>
        <w:rPr>
          <w:sz w:val="20"/>
          <w:szCs w:val="20"/>
          <w:color w:val="auto"/>
        </w:rPr>
      </w:pPr>
      <w:r>
        <w:rPr>
          <w:rFonts w:ascii="Times New Roman" w:cs="Times New Roman" w:eastAsia="Times New Roman" w:hAnsi="Times New Roman"/>
          <w:sz w:val="18"/>
          <w:szCs w:val="18"/>
          <w:color w:val="auto"/>
        </w:rPr>
        <w:t>We calculate gross margin as gross profit/loss divided by sales. Our gross margin has been and will continue to be affected by a variety of factors, including average selling prices, product sales mix, production and ordering volumes, manufacturing costs, product yields, headcount and cost-reduction strategies. Our gross margin could fluctuate from quarter to quarter as we introduce new products, and as we adopt new manufacturing processes and technologies.</w:t>
      </w:r>
    </w:p>
    <w:p>
      <w:pPr>
        <w:spacing w:after="0" w:line="83" w:lineRule="exact"/>
        <w:rPr>
          <w:sz w:val="20"/>
          <w:szCs w:val="20"/>
          <w:color w:val="auto"/>
        </w:rPr>
      </w:pPr>
    </w:p>
    <w:p>
      <w:pPr>
        <w:ind w:right="60" w:firstLine="374"/>
        <w:spacing w:after="0" w:line="250" w:lineRule="auto"/>
        <w:rPr>
          <w:sz w:val="20"/>
          <w:szCs w:val="20"/>
          <w:color w:val="auto"/>
        </w:rPr>
      </w:pPr>
      <w:r>
        <w:rPr>
          <w:rFonts w:ascii="Times New Roman" w:cs="Times New Roman" w:eastAsia="Times New Roman" w:hAnsi="Times New Roman"/>
          <w:sz w:val="18"/>
          <w:szCs w:val="18"/>
          <w:color w:val="auto"/>
        </w:rPr>
        <w:t>Our LDD, as is typical of many medical device capital equipment products, has a low gross margin, as the material cost of the LDD is significant, representing over 60% of the total cost to manufacture. In addition, we do not mark up our LDD substantially, as LDDs, as sold, generate LAL procedures. Our LAL gross margin is higher, with low material cost but high fixed overhead costs. As our manufacturing volume of the LAL increases, we expect the gross margin may improve significantly.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08" w:lineRule="exact"/>
        <w:rPr>
          <w:sz w:val="20"/>
          <w:szCs w:val="20"/>
          <w:color w:val="auto"/>
        </w:rPr>
      </w:pPr>
    </w:p>
    <w:p>
      <w:pPr>
        <w:ind w:right="20" w:firstLine="374"/>
        <w:spacing w:after="0" w:line="243" w:lineRule="auto"/>
        <w:rPr>
          <w:sz w:val="20"/>
          <w:szCs w:val="20"/>
          <w:color w:val="auto"/>
        </w:rPr>
      </w:pPr>
      <w:r>
        <w:rPr>
          <w:rFonts w:ascii="Times New Roman" w:cs="Times New Roman" w:eastAsia="Times New Roman" w:hAnsi="Times New Roman"/>
          <w:sz w:val="18"/>
          <w:szCs w:val="18"/>
          <w:color w:val="auto"/>
        </w:rPr>
        <w:t>Selling, general and administrative, or SG&amp;A, expenses consist primarily of personnel-related expenses, including wages, incentive bonuses, stock-based compensation and benefits related to administrative, selling and marketing functions, education programs for doctors, commercial operations and analytics, finance, information technology and human resource functions. Other SG&amp;A expenses include sales commissions, travel expenses, promotional activities, marketing initiatives, market research and analysis, conferences and trade shows, training for doctors, professional services fees such as legal, patent registration costs, accounting, audit and tax fees, board of directors’ expenses, insurance costs, general corporate expenses and facilities-related expenses. We expect SG&amp;A expenses to continue to increase in absolute dollars as we expand our sales and marketing organization and infrastructure to both drive and support the anticipated growth in revenue and due to additional legal, accounting audit and tax fees, insurance and other expenses associated with being a public company.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firstLine="374"/>
        <w:spacing w:after="0" w:line="243" w:lineRule="auto"/>
        <w:rPr>
          <w:sz w:val="20"/>
          <w:szCs w:val="20"/>
          <w:color w:val="auto"/>
        </w:rPr>
      </w:pPr>
      <w:r>
        <w:rPr>
          <w:rFonts w:ascii="Times New Roman" w:cs="Times New Roman" w:eastAsia="Times New Roman" w:hAnsi="Times New Roman"/>
          <w:sz w:val="18"/>
          <w:szCs w:val="18"/>
          <w:color w:val="auto"/>
        </w:rPr>
        <w:t>Research and development expenses consist of expenses incurred in performing research and development and engineering activities for new products and technology, clinical studies and regulatory submissions and compliance. The expenses include personnel-related expenses, including wages, incentive bonuses, stock-based compensation and benefits, costs incurred at clinical trial sites, regulatory and manufacturing engineering costs, including those related to various laboratory and research equipment and supplies, expense of pre-approved inventory utilized for clinical trial and research purposes, costs incurred in the development of manufacturing processes in excess of capitalizable value, fees paid to consultants and contract clinical organizations and direct FDA related costs and costs related to FDA premarket approval submission preparation. Research and development expenses are expensed as incurred. We expect R&amp;D expenses as a percentage of revenue to vary over time depending on the level and timing of our new product development efforts, as well as our clinical development, clinical trials and registries and other related activities.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warrants</w:t>
      </w:r>
    </w:p>
    <w:p>
      <w:pPr>
        <w:spacing w:after="0" w:line="108" w:lineRule="exact"/>
        <w:rPr>
          <w:sz w:val="20"/>
          <w:szCs w:val="20"/>
          <w:color w:val="auto"/>
        </w:rPr>
      </w:pPr>
    </w:p>
    <w:p>
      <w:pPr>
        <w:ind w:right="120" w:firstLine="374"/>
        <w:spacing w:after="0" w:line="250" w:lineRule="auto"/>
        <w:rPr>
          <w:sz w:val="20"/>
          <w:szCs w:val="20"/>
          <w:color w:val="auto"/>
        </w:rPr>
      </w:pPr>
      <w:r>
        <w:rPr>
          <w:rFonts w:ascii="Times New Roman" w:cs="Times New Roman" w:eastAsia="Times New Roman" w:hAnsi="Times New Roman"/>
          <w:sz w:val="18"/>
          <w:szCs w:val="18"/>
          <w:color w:val="auto"/>
        </w:rPr>
        <w:t>Change in fair value of warrants consists of gains and losses resulting from the remeasurement of the fair value of our preferred stock warrant liabilities at each balance sheet date. We continued to record adjustments to the estimated fair value of the preferred stock warrants until the conversion of the underlying convertible preferred stock into common stock which occurred immediately prior to the completion of our IPO in July 2021. There was no change in fair value of warrants for the three months ended March 31, 2021.</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08" w:lineRule="exact"/>
        <w:rPr>
          <w:sz w:val="20"/>
          <w:szCs w:val="20"/>
          <w:color w:val="auto"/>
        </w:rPr>
      </w:pPr>
    </w:p>
    <w:p>
      <w:pPr>
        <w:ind w:right="500" w:firstLine="374"/>
        <w:spacing w:after="0" w:line="282" w:lineRule="auto"/>
        <w:rPr>
          <w:sz w:val="20"/>
          <w:szCs w:val="20"/>
          <w:color w:val="auto"/>
        </w:rPr>
      </w:pPr>
      <w:r>
        <w:rPr>
          <w:rFonts w:ascii="Times New Roman" w:cs="Times New Roman" w:eastAsia="Times New Roman" w:hAnsi="Times New Roman"/>
          <w:sz w:val="18"/>
          <w:szCs w:val="18"/>
          <w:color w:val="auto"/>
        </w:rPr>
        <w:t>Interest expense consists primarily of interest incurred on our outstanding indebtedness and non-cash interest related to the amortization of debt discount and issuance costs associated with our indebtedness.</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net</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Interest and other income, net consists primarily of interest income earned on our cash and cash equivalents.</w:t>
      </w: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9"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08" w:lineRule="exact"/>
        <w:rPr>
          <w:sz w:val="20"/>
          <w:szCs w:val="20"/>
          <w:color w:val="auto"/>
        </w:rPr>
      </w:pPr>
    </w:p>
    <w:p>
      <w:pPr>
        <w:ind w:right="80" w:firstLine="374"/>
        <w:spacing w:after="0" w:line="250" w:lineRule="auto"/>
        <w:rPr>
          <w:sz w:val="20"/>
          <w:szCs w:val="20"/>
          <w:color w:val="auto"/>
        </w:rPr>
      </w:pPr>
      <w:r>
        <w:rPr>
          <w:rFonts w:ascii="Times New Roman" w:cs="Times New Roman" w:eastAsia="Times New Roman" w:hAnsi="Times New Roman"/>
          <w:sz w:val="18"/>
          <w:szCs w:val="18"/>
          <w:color w:val="auto"/>
        </w:rPr>
        <w:t>All components of comprehensive loss, including net loss, are reported in the condensed consolidated financial statements in the period in which they are recognized. Comprehensive loss is defined as the change in equity during a period from transactions and other events and circumstances from non-owner sources, including unrealized gains and losses on short-term investments and foreign currency translation adjustments.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2022 and 2021</w:t>
      </w:r>
    </w:p>
    <w:p>
      <w:pPr>
        <w:spacing w:after="0" w:line="108" w:lineRule="exact"/>
        <w:rPr>
          <w:sz w:val="20"/>
          <w:szCs w:val="20"/>
          <w:color w:val="auto"/>
        </w:rPr>
      </w:pPr>
    </w:p>
    <w:p>
      <w:pPr>
        <w:ind w:right="320"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2022 and 2021 together with the dollar increase or decrease and percentage change in those items.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 except share amounts, per-share data and</w:t>
            </w:r>
          </w:p>
        </w:tc>
        <w:tc>
          <w:tcPr>
            <w:tcW w:w="220" w:type="dxa"/>
            <w:vAlign w:val="bottom"/>
          </w:tcPr>
          <w:p>
            <w:pPr>
              <w:spacing w:after="0"/>
              <w:rPr>
                <w:sz w:val="20"/>
                <w:szCs w:val="20"/>
                <w:color w:val="auto"/>
              </w:rPr>
            </w:pPr>
          </w:p>
        </w:tc>
        <w:tc>
          <w:tcPr>
            <w:tcW w:w="3180" w:type="dxa"/>
            <w:vAlign w:val="bottom"/>
            <w:gridSpan w:val="5"/>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40" w:type="dxa"/>
            <w:vAlign w:val="bottom"/>
          </w:tcPr>
          <w:p>
            <w:pPr>
              <w:spacing w:after="0"/>
              <w:rPr>
                <w:sz w:val="20"/>
                <w:szCs w:val="20"/>
                <w:color w:val="auto"/>
              </w:rPr>
            </w:pPr>
          </w:p>
        </w:tc>
        <w:tc>
          <w:tcPr>
            <w:tcW w:w="1560" w:type="dxa"/>
            <w:vAlign w:val="bottom"/>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4660" w:type="dxa"/>
            <w:vAlign w:val="bottom"/>
            <w:vMerge w:val="continue"/>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percentages)</w:t>
            </w: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8,942</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3,484</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5,458</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5,181</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13,620</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5,611</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8,009</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3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6,719</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6,643</w:t>
            </w: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660" w:type="dxa"/>
            <w:vAlign w:val="bottom"/>
            <w:tcBorders>
              <w:top w:val="single" w:sz="8" w:color="CFF0FC"/>
              <w:bottom w:val="single" w:sz="8" w:color="CFF0FC"/>
            </w:tcBorders>
            <w:shd w:val="clear" w:color="auto" w:fill="CFF0FC"/>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CFF0FC"/>
              <w:bottom w:val="single" w:sz="8" w:color="auto"/>
            </w:tcBorders>
            <w:shd w:val="clear" w:color="auto" w:fill="CFF0FC"/>
          </w:tcPr>
          <w:p>
            <w:pPr>
              <w:spacing w:after="0"/>
              <w:rPr>
                <w:sz w:val="17"/>
                <w:szCs w:val="17"/>
                <w:color w:val="auto"/>
              </w:rPr>
            </w:pPr>
          </w:p>
        </w:tc>
        <w:tc>
          <w:tcPr>
            <w:tcW w:w="1220" w:type="dxa"/>
            <w:vAlign w:val="bottom"/>
            <w:tcBorders>
              <w:top w:val="single" w:sz="8" w:color="CFF0FC"/>
              <w:bottom w:val="single" w:sz="8" w:color="auto"/>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20,339</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320" w:type="dxa"/>
            <w:vAlign w:val="bottom"/>
            <w:tcBorders>
              <w:top w:val="single" w:sz="8" w:color="CFF0FC"/>
              <w:bottom w:val="single" w:sz="8" w:color="auto"/>
            </w:tcBorders>
            <w:shd w:val="clear" w:color="auto" w:fill="CFF0FC"/>
          </w:tcPr>
          <w:p>
            <w:pPr>
              <w:spacing w:after="0"/>
              <w:rPr>
                <w:sz w:val="17"/>
                <w:szCs w:val="17"/>
                <w:color w:val="auto"/>
              </w:rPr>
            </w:pPr>
          </w:p>
        </w:tc>
        <w:tc>
          <w:tcPr>
            <w:tcW w:w="1120" w:type="dxa"/>
            <w:vAlign w:val="bottom"/>
            <w:tcBorders>
              <w:top w:val="single" w:sz="8" w:color="CFF0FC"/>
              <w:bottom w:val="single" w:sz="8" w:color="auto"/>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12,254</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340" w:type="dxa"/>
            <w:vAlign w:val="bottom"/>
            <w:tcBorders>
              <w:top w:val="single" w:sz="8" w:color="CFF0FC"/>
              <w:bottom w:val="single" w:sz="8" w:color="auto"/>
            </w:tcBorders>
            <w:shd w:val="clear" w:color="auto" w:fill="CFF0FC"/>
          </w:tcPr>
          <w:p>
            <w:pPr>
              <w:spacing w:after="0"/>
              <w:rPr>
                <w:sz w:val="17"/>
                <w:szCs w:val="17"/>
                <w:color w:val="auto"/>
              </w:rPr>
            </w:pPr>
          </w:p>
        </w:tc>
        <w:tc>
          <w:tcPr>
            <w:tcW w:w="1060" w:type="dxa"/>
            <w:vAlign w:val="bottom"/>
            <w:tcBorders>
              <w:top w:val="single" w:sz="8" w:color="CFF0FC"/>
              <w:bottom w:val="single" w:sz="8" w:color="auto"/>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8,085</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66.0</w:t>
            </w:r>
          </w:p>
        </w:tc>
        <w:tc>
          <w:tcPr>
            <w:tcW w:w="36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(16,578 )</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(11,135 )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(5,443 )</w:t>
            </w:r>
          </w:p>
        </w:tc>
        <w:tc>
          <w:tcPr>
            <w:tcW w:w="260" w:type="dxa"/>
            <w:vAlign w:val="bottom"/>
          </w:tcPr>
          <w:p>
            <w:pPr>
              <w:spacing w:after="0"/>
              <w:rPr>
                <w:sz w:val="18"/>
                <w:szCs w:val="18"/>
                <w:color w:val="auto"/>
              </w:rPr>
            </w:pPr>
          </w:p>
        </w:tc>
        <w:tc>
          <w:tcPr>
            <w:tcW w:w="1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48.9 %</w:t>
            </w: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Expiration of warrant</w:t>
            </w:r>
          </w:p>
        </w:tc>
        <w:tc>
          <w:tcPr>
            <w:tcW w:w="220" w:type="dxa"/>
            <w:vAlign w:val="bottom"/>
          </w:tcPr>
          <w:p>
            <w:pPr>
              <w:spacing w:after="0"/>
              <w:rPr>
                <w:sz w:val="18"/>
                <w:szCs w:val="18"/>
                <w:color w:val="auto"/>
              </w:rPr>
            </w:pPr>
          </w:p>
        </w:tc>
        <w:tc>
          <w:tcPr>
            <w:tcW w:w="14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5,018</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(5,018 )</w:t>
            </w:r>
          </w:p>
        </w:tc>
        <w:tc>
          <w:tcPr>
            <w:tcW w:w="260" w:type="dxa"/>
            <w:vAlign w:val="bottom"/>
          </w:tcPr>
          <w:p>
            <w:pPr>
              <w:spacing w:after="0"/>
              <w:rPr>
                <w:sz w:val="18"/>
                <w:szCs w:val="18"/>
                <w:color w:val="auto"/>
              </w:rPr>
            </w:pPr>
          </w:p>
        </w:tc>
        <w:tc>
          <w:tcPr>
            <w:tcW w:w="1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(1,060 )</w:t>
            </w:r>
          </w:p>
        </w:tc>
        <w:tc>
          <w:tcPr>
            <w:tcW w:w="3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(698 )</w:t>
            </w: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(362 )</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3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2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4,337</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(5,351</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tcPr>
          <w:p>
            <w:pPr>
              <w:spacing w:after="0"/>
              <w:rPr>
                <w:sz w:val="18"/>
                <w:szCs w:val="18"/>
                <w:color w:val="auto"/>
              </w:rPr>
            </w:pPr>
          </w:p>
        </w:tc>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(17,592 )</w:t>
            </w:r>
          </w:p>
        </w:tc>
        <w:tc>
          <w:tcPr>
            <w:tcW w:w="320" w:type="dxa"/>
            <w:vAlign w:val="bottom"/>
          </w:tcPr>
          <w:p>
            <w:pPr>
              <w:spacing w:after="0"/>
              <w:rPr>
                <w:sz w:val="18"/>
                <w:szCs w:val="18"/>
                <w:color w:val="auto"/>
              </w:rPr>
            </w:pPr>
          </w:p>
        </w:tc>
        <w:tc>
          <w:tcPr>
            <w:tcW w:w="1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(6,798 )</w:t>
            </w:r>
          </w:p>
        </w:tc>
        <w:tc>
          <w:tcPr>
            <w:tcW w:w="340" w:type="dxa"/>
            <w:vAlign w:val="bottom"/>
          </w:tcPr>
          <w:p>
            <w:pPr>
              <w:spacing w:after="0"/>
              <w:rPr>
                <w:sz w:val="18"/>
                <w:szCs w:val="18"/>
                <w:color w:val="auto"/>
              </w:rPr>
            </w:pPr>
          </w:p>
        </w:tc>
        <w:tc>
          <w:tcPr>
            <w:tcW w:w="1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(10,794 )</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(17,596 )</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(6,805 )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(10,791 )</w:t>
            </w:r>
          </w:p>
        </w:tc>
        <w:tc>
          <w:tcPr>
            <w:tcW w:w="260" w:type="dxa"/>
            <w:vAlign w:val="bottom"/>
          </w:tcPr>
          <w:p>
            <w:pPr>
              <w:spacing w:after="0"/>
              <w:rPr>
                <w:sz w:val="18"/>
                <w:szCs w:val="18"/>
                <w:color w:val="auto"/>
              </w:rPr>
            </w:pPr>
          </w:p>
        </w:tc>
        <w:tc>
          <w:tcPr>
            <w:tcW w:w="1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158.6 %</w:t>
            </w:r>
          </w:p>
        </w:tc>
        <w:tc>
          <w:tcPr>
            <w:tcW w:w="0" w:type="dxa"/>
            <w:vAlign w:val="bottom"/>
          </w:tcPr>
          <w:p>
            <w:pPr>
              <w:spacing w:after="0"/>
              <w:rPr>
                <w:sz w:val="1"/>
                <w:szCs w:val="1"/>
                <w:color w:val="auto"/>
              </w:rPr>
            </w:pPr>
          </w:p>
        </w:tc>
      </w:tr>
      <w:tr>
        <w:trPr>
          <w:trHeight w:val="210"/>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2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(loss) income on short-term investments</w:t>
            </w:r>
          </w:p>
        </w:tc>
        <w:tc>
          <w:tcPr>
            <w:tcW w:w="220" w:type="dxa"/>
            <w:vAlign w:val="bottom"/>
          </w:tcPr>
          <w:p>
            <w:pPr>
              <w:spacing w:after="0"/>
              <w:rPr>
                <w:sz w:val="18"/>
                <w:szCs w:val="18"/>
                <w:color w:val="auto"/>
              </w:rPr>
            </w:pPr>
          </w:p>
        </w:tc>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(74 )</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(81 )</w:t>
            </w:r>
          </w:p>
        </w:tc>
        <w:tc>
          <w:tcPr>
            <w:tcW w:w="260" w:type="dxa"/>
            <w:vAlign w:val="bottom"/>
          </w:tcPr>
          <w:p>
            <w:pPr>
              <w:spacing w:after="0"/>
              <w:rPr>
                <w:sz w:val="18"/>
                <w:szCs w:val="18"/>
                <w:color w:val="auto"/>
              </w:rPr>
            </w:pPr>
          </w:p>
        </w:tc>
        <w:tc>
          <w:tcPr>
            <w:tcW w:w="12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(1,156.9 )</w:t>
            </w: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(4 )</w:t>
            </w:r>
          </w:p>
        </w:tc>
        <w:tc>
          <w:tcPr>
            <w:tcW w:w="3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(4 )</w:t>
            </w: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0"/>
        </w:trPr>
        <w:tc>
          <w:tcPr>
            <w:tcW w:w="46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220" w:type="dxa"/>
            <w:vAlign w:val="bottom"/>
          </w:tcPr>
          <w:p>
            <w:pPr>
              <w:spacing w:after="0"/>
              <w:rPr>
                <w:sz w:val="18"/>
                <w:szCs w:val="18"/>
                <w:color w:val="auto"/>
              </w:rPr>
            </w:pPr>
          </w:p>
        </w:tc>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(78 )</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(81 )</w:t>
            </w:r>
          </w:p>
        </w:tc>
        <w:tc>
          <w:tcPr>
            <w:tcW w:w="260" w:type="dxa"/>
            <w:vAlign w:val="bottom"/>
          </w:tcPr>
          <w:p>
            <w:pPr>
              <w:spacing w:after="0"/>
              <w:rPr>
                <w:sz w:val="18"/>
                <w:szCs w:val="18"/>
                <w:color w:val="auto"/>
              </w:rPr>
            </w:pPr>
          </w:p>
        </w:tc>
        <w:tc>
          <w:tcPr>
            <w:tcW w:w="12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(2,696.3 )</w:t>
            </w:r>
          </w:p>
        </w:tc>
        <w:tc>
          <w:tcPr>
            <w:tcW w:w="0" w:type="dxa"/>
            <w:vAlign w:val="bottom"/>
          </w:tcPr>
          <w:p>
            <w:pPr>
              <w:spacing w:after="0"/>
              <w:rPr>
                <w:sz w:val="1"/>
                <w:szCs w:val="1"/>
                <w:color w:val="auto"/>
              </w:rPr>
            </w:pPr>
          </w:p>
        </w:tc>
      </w:tr>
      <w:tr>
        <w:trPr>
          <w:trHeight w:val="250"/>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(17,674</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(6,802</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(10,872</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auto"/>
              <w:bottom w:val="single" w:sz="8" w:color="auto"/>
            </w:tcBorders>
            <w:shd w:val="clear" w:color="auto" w:fill="CFF0FC"/>
          </w:tcPr>
          <w:p>
            <w:pPr>
              <w:spacing w:after="0"/>
              <w:rPr>
                <w:sz w:val="21"/>
                <w:szCs w:val="21"/>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-2579370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-2579370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-2579370</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-2579370</wp:posOffset>
            </wp:positionV>
            <wp:extent cx="22288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-2005330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-2005330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-2005330</wp:posOffset>
            </wp:positionV>
            <wp:extent cx="603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6901815</wp:posOffset>
            </wp:positionH>
            <wp:positionV relativeFrom="paragraph">
              <wp:posOffset>-2163445</wp:posOffset>
            </wp:positionV>
            <wp:extent cx="248285" cy="1797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48285" cy="17970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-1165225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-1165225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-1165225</wp:posOffset>
            </wp:positionV>
            <wp:extent cx="603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-1165225</wp:posOffset>
            </wp:positionV>
            <wp:extent cx="22288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-316865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-316865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-316865</wp:posOffset>
            </wp:positionV>
            <wp:extent cx="603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-316865</wp:posOffset>
            </wp:positionV>
            <wp:extent cx="22288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-24765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-24765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603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03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-24765</wp:posOffset>
            </wp:positionV>
            <wp:extent cx="22288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-7620</wp:posOffset>
            </wp:positionV>
            <wp:extent cx="22288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108" w:lineRule="exact"/>
        <w:rPr>
          <w:sz w:val="20"/>
          <w:szCs w:val="20"/>
          <w:color w:val="auto"/>
        </w:rPr>
      </w:pPr>
    </w:p>
    <w:p>
      <w:pPr>
        <w:ind w:right="100" w:firstLine="374"/>
        <w:spacing w:after="0" w:line="258" w:lineRule="auto"/>
        <w:rPr>
          <w:sz w:val="20"/>
          <w:szCs w:val="20"/>
          <w:color w:val="auto"/>
        </w:rPr>
      </w:pPr>
      <w:r>
        <w:rPr>
          <w:rFonts w:ascii="Times New Roman" w:cs="Times New Roman" w:eastAsia="Times New Roman" w:hAnsi="Times New Roman"/>
          <w:sz w:val="18"/>
          <w:szCs w:val="18"/>
          <w:color w:val="auto"/>
        </w:rPr>
        <w:t>Sales increased by $5.4 million, or 156.6%, to $8.9 million for the three months ended March 31, 2022, from $3.5 million for the three months ended March 31, 2021. The increase in total sales was primarily due to sales of 2,599 more LALs and 27 more LDDs from strong adoption of our RxSight technology by practices and doctors combined with an increased LDD installed base.</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21" w:lineRule="exact"/>
        <w:rPr>
          <w:sz w:val="20"/>
          <w:szCs w:val="20"/>
          <w:color w:val="auto"/>
        </w:rPr>
      </w:pPr>
    </w:p>
    <w:p>
      <w:pPr>
        <w:ind w:right="60" w:firstLine="374"/>
        <w:spacing w:after="0" w:line="250" w:lineRule="auto"/>
        <w:rPr>
          <w:sz w:val="20"/>
          <w:szCs w:val="20"/>
          <w:color w:val="auto"/>
        </w:rPr>
      </w:pPr>
      <w:r>
        <w:rPr>
          <w:rFonts w:ascii="Times New Roman" w:cs="Times New Roman" w:eastAsia="Times New Roman" w:hAnsi="Times New Roman"/>
          <w:sz w:val="18"/>
          <w:szCs w:val="18"/>
          <w:color w:val="auto"/>
        </w:rPr>
        <w:t>Cost of sales increased by $2.8 million, or 119.1%, to $5.2 million for the three months ended March 31, 2022, from $2.4 million for the three months ended March 31, 2021, primarily due to the increase in the number of LALs and LDDs sold during the period. Gross margin increased to 42.1% in the three months ended March 31, 2022, from 32.1% for the three months ended March 31, 2021 due to improved operating leverage.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08" w:lineRule="exact"/>
        <w:rPr>
          <w:sz w:val="20"/>
          <w:szCs w:val="20"/>
          <w:color w:val="auto"/>
        </w:rPr>
      </w:pPr>
    </w:p>
    <w:p>
      <w:pPr>
        <w:ind w:right="40" w:firstLine="374"/>
        <w:spacing w:after="0" w:line="242" w:lineRule="auto"/>
        <w:rPr>
          <w:sz w:val="20"/>
          <w:szCs w:val="20"/>
          <w:color w:val="auto"/>
        </w:rPr>
      </w:pPr>
      <w:r>
        <w:rPr>
          <w:rFonts w:ascii="Times New Roman" w:cs="Times New Roman" w:eastAsia="Times New Roman" w:hAnsi="Times New Roman"/>
          <w:sz w:val="18"/>
          <w:szCs w:val="18"/>
          <w:color w:val="auto"/>
        </w:rPr>
        <w:t>Selling, general and administrative expenses increased by $8.0 million, or 142.8%, to $13.6 million for the three months ended March 31, 2022, from $5.6 million for the three months ended March 31, 2021. This increase was primarily attributable to an increase in selling and marketing personnel costs of $5.8 million mainly due to increased salaries, sales commissions, incentive bonuses and employee benefits of $3.4 million, $0.5 million of increased stock-based compensation expense due to increased headcount, $1.0 million in additional post market study costs, new customer acquisition costs and IPO related costs and increased travel costs of $0.7 million due to travel restrictions during the first quarter of 2021 due to COVID-19 when compared to the three months ended March 31, 2021. General and administrative expenses increased by $2.2 million due primarily to $1.0 million in increased costs related to operating as a public company, increased personnel costs of $0.5 million due to increased salaries, reinstatement of incentive bonuses and employee benefits due to increased headcount and $0.8 million of increased stock-based compensation expense due to increased headcount as well as temporary reductions in salaries that were in place for the three months ended March 31, 2021.</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by $0.1 million, or 1.1%, to $6.7 million for the three months ended March 31, 2022, from $6.6 million for the three months ended March 31, 2021. This increase was primarily attributable to increased clinical study costs.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08" w:lineRule="exact"/>
        <w:rPr>
          <w:sz w:val="20"/>
          <w:szCs w:val="20"/>
          <w:color w:val="auto"/>
        </w:rPr>
      </w:pPr>
    </w:p>
    <w:p>
      <w:pPr>
        <w:jc w:val="both"/>
        <w:ind w:right="420" w:firstLine="374"/>
        <w:spacing w:after="0" w:line="258" w:lineRule="auto"/>
        <w:rPr>
          <w:sz w:val="20"/>
          <w:szCs w:val="20"/>
          <w:color w:val="auto"/>
        </w:rPr>
      </w:pPr>
      <w:r>
        <w:rPr>
          <w:rFonts w:ascii="Times New Roman" w:cs="Times New Roman" w:eastAsia="Times New Roman" w:hAnsi="Times New Roman"/>
          <w:sz w:val="18"/>
          <w:szCs w:val="18"/>
          <w:color w:val="auto"/>
        </w:rPr>
        <w:t>Other income (expense), net, decreased by $5.3 million to a loss of $1.0 million for the three months ended March 31, 2022 from income of $4.3 million for the three months ended March 31, 2021 due to the expiration of the warrants on March 31, 2021 of $5.0 million and an increase in interest expense of $0.4 million on our term loan.</w:t>
      </w:r>
    </w:p>
    <w:p>
      <w:pPr>
        <w:spacing w:after="0" w:line="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liquidity</w:t>
      </w:r>
    </w:p>
    <w:p>
      <w:pPr>
        <w:spacing w:after="0" w:line="106" w:lineRule="exact"/>
        <w:rPr>
          <w:sz w:val="20"/>
          <w:szCs w:val="20"/>
          <w:color w:val="auto"/>
        </w:rPr>
      </w:pPr>
    </w:p>
    <w:p>
      <w:pPr>
        <w:ind w:right="40" w:firstLine="374"/>
        <w:spacing w:after="0" w:line="250" w:lineRule="auto"/>
        <w:rPr>
          <w:sz w:val="20"/>
          <w:szCs w:val="20"/>
          <w:color w:val="auto"/>
        </w:rPr>
      </w:pPr>
      <w:r>
        <w:rPr>
          <w:rFonts w:ascii="Times New Roman" w:cs="Times New Roman" w:eastAsia="Times New Roman" w:hAnsi="Times New Roman"/>
          <w:sz w:val="18"/>
          <w:szCs w:val="18"/>
          <w:color w:val="auto"/>
        </w:rPr>
        <w:t>We have incurred significant operating losses and negative cash flows from operations since our inception, and we anticipate that we will incur significant losses for at least the next several years. As of March 31, 2022, we had cash, cash equivalents and short-term investments of $143.8 million. For the three months ended March 31, 2022, and 2021, our loss from operations was $16.6 million and $11.1 million, respectively. We had an accumulated deficit of $496.9 million as of March 31, 2022.</w:t>
      </w:r>
    </w:p>
    <w:p>
      <w:pPr>
        <w:spacing w:after="0" w:line="83" w:lineRule="exact"/>
        <w:rPr>
          <w:sz w:val="20"/>
          <w:szCs w:val="20"/>
          <w:color w:val="auto"/>
        </w:rPr>
      </w:pPr>
    </w:p>
    <w:p>
      <w:pPr>
        <w:ind w:right="40" w:firstLine="374"/>
        <w:spacing w:after="0" w:line="266" w:lineRule="auto"/>
        <w:rPr>
          <w:sz w:val="20"/>
          <w:szCs w:val="20"/>
          <w:color w:val="auto"/>
        </w:rPr>
      </w:pPr>
      <w:r>
        <w:rPr>
          <w:rFonts w:ascii="Times New Roman" w:cs="Times New Roman" w:eastAsia="Times New Roman" w:hAnsi="Times New Roman"/>
          <w:sz w:val="18"/>
          <w:szCs w:val="18"/>
          <w:color w:val="auto"/>
        </w:rPr>
        <w:t>Prior to our IPO, which we completed in July 2021, our primary sources of capital were private placements of preferred stock, a structured transaction with a strategic partner, debt financing and from sales of our products.</w:t>
      </w:r>
    </w:p>
    <w:p>
      <w:pPr>
        <w:spacing w:after="0" w:line="54" w:lineRule="exact"/>
        <w:rPr>
          <w:sz w:val="20"/>
          <w:szCs w:val="20"/>
          <w:color w:val="auto"/>
        </w:rPr>
      </w:pPr>
    </w:p>
    <w:p>
      <w:pPr>
        <w:ind w:right="100" w:firstLine="374"/>
        <w:spacing w:after="0" w:line="247" w:lineRule="auto"/>
        <w:rPr>
          <w:sz w:val="20"/>
          <w:szCs w:val="20"/>
          <w:color w:val="auto"/>
        </w:rPr>
      </w:pPr>
      <w:r>
        <w:rPr>
          <w:rFonts w:ascii="Times New Roman" w:cs="Times New Roman" w:eastAsia="Times New Roman" w:hAnsi="Times New Roman"/>
          <w:sz w:val="18"/>
          <w:szCs w:val="18"/>
          <w:color w:val="auto"/>
        </w:rPr>
        <w:t>On July 29, 2021, we completed our IPO which resulted in the issuance and sale of 8,248,549 shares of common stock at a price of $16.00 per share. The aggregate net proceeds from the offering, inclusive of an additional 898,549 common shares sold pursuant to the partial exercise of the underwriters’ over-allotment option, after deducting underwriting discounts and commissions and other offering expenses, were approximately $119.6 million. On July 29, 2021, we restated our Certificate of Incorporation and bylaws which provide for, among other things, that our authorized capital stock consist of 900,000,000 shares of common stock, par value $0.001 per share, and 100,000,000 shares of convertible preferred stock, par value $0.001 per share. The restated certificate defines the voting rights, dividends, liquidation, rights and preferences of each class of stock.</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w:t>
      </w:r>
    </w:p>
    <w:p>
      <w:pPr>
        <w:spacing w:after="0" w:line="106" w:lineRule="exact"/>
        <w:rPr>
          <w:sz w:val="20"/>
          <w:szCs w:val="20"/>
          <w:color w:val="auto"/>
        </w:rPr>
      </w:pPr>
    </w:p>
    <w:p>
      <w:pPr>
        <w:ind w:right="40" w:firstLine="374"/>
        <w:spacing w:after="0" w:line="246" w:lineRule="auto"/>
        <w:rPr>
          <w:sz w:val="20"/>
          <w:szCs w:val="20"/>
          <w:color w:val="auto"/>
        </w:rPr>
      </w:pPr>
      <w:r>
        <w:rPr>
          <w:rFonts w:ascii="Times New Roman" w:cs="Times New Roman" w:eastAsia="Times New Roman" w:hAnsi="Times New Roman"/>
          <w:sz w:val="18"/>
          <w:szCs w:val="18"/>
          <w:color w:val="auto"/>
        </w:rPr>
        <w:t>On May 3, 2022, we entered into a Second Amendment the (“Second Amendment”) to our existing loan and security agreement (as amended through the Second Amendment, the (“Amended Term Loan”) dated as of October 29, 2020 (“Term Loan”), with Oxford Finance LLC, (“Oxford Finance”), as the lender and collateral agent thereunder. The Amended Term Loan increased the loan and security agreement to $60.0 million, of which $40.0 million was fully funded as of May 3, 2022. Under the Amended Term Loan, we may borrow an additional term loan of up to $10.0 million through June 30, 2023, provided we satisfy the applicable drawdown conditions and achieve trailing twelve-month sales revenues of not less than $40,000,000 for the measurement period ending February 28, 2023, the measurement period ending March 31, 2023 or the measurement period ending April 30, 2023. Subject to the terms and conditions of the Amended Term Loan, we may also borrow another term loan of up to $10.0 million through September 30, 2023, provided we satisfy the applicable drawdown conditions and achieve</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33" w:name="page34"/>
    <w:bookmarkEnd w:id="33"/>
    <w:p>
      <w:pPr>
        <w:ind w:right="40"/>
        <w:spacing w:after="0" w:line="260" w:lineRule="auto"/>
        <w:rPr>
          <w:sz w:val="20"/>
          <w:szCs w:val="20"/>
          <w:color w:val="auto"/>
        </w:rPr>
      </w:pPr>
      <w:r>
        <w:rPr>
          <w:rFonts w:ascii="Times New Roman" w:cs="Times New Roman" w:eastAsia="Times New Roman" w:hAnsi="Times New Roman"/>
          <w:sz w:val="17"/>
          <w:szCs w:val="17"/>
          <w:color w:val="auto"/>
        </w:rPr>
        <w:t>trailing twelve-month sales revenues of not less than $50.0 million for the measurement period ending May 31, 2023, the measurement period ending June 30, 2023 or the measurement period ending July 31, 2023. The Amended Term Loan bears interest at a rate per annum equal to the greater of (i) 9.25% or</w:t>
      </w:r>
    </w:p>
    <w:p>
      <w:pPr>
        <w:spacing w:after="0" w:line="1" w:lineRule="exact"/>
        <w:rPr>
          <w:sz w:val="20"/>
          <w:szCs w:val="20"/>
          <w:color w:val="auto"/>
        </w:rPr>
      </w:pPr>
    </w:p>
    <w:p>
      <w:pPr>
        <w:ind w:right="240" w:firstLine="8"/>
        <w:spacing w:after="0" w:line="246" w:lineRule="auto"/>
        <w:tabs>
          <w:tab w:leader="none" w:pos="2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1-Month Term SOFR (or, if greater, 0.16%) plus an applicable margin of 9.09%. If an event of default under the Amended Term Loan is continuing, additional interest of 5% applies. The Amended Term Loan extends the maturity date of the loan and security agreement, which was due to expire on October 1, 2025, to February 1, 2027. We refer to our $60 million Amended Term Loan as our credit facility.</w:t>
      </w:r>
    </w:p>
    <w:p>
      <w:pPr>
        <w:spacing w:after="0" w:line="73" w:lineRule="exact"/>
        <w:rPr>
          <w:sz w:val="20"/>
          <w:szCs w:val="20"/>
          <w:color w:val="auto"/>
        </w:rPr>
      </w:pPr>
    </w:p>
    <w:p>
      <w:pPr>
        <w:ind w:firstLine="374"/>
        <w:spacing w:after="0" w:line="250" w:lineRule="auto"/>
        <w:rPr>
          <w:sz w:val="20"/>
          <w:szCs w:val="20"/>
          <w:color w:val="auto"/>
        </w:rPr>
      </w:pPr>
      <w:r>
        <w:rPr>
          <w:rFonts w:ascii="Times New Roman" w:cs="Times New Roman" w:eastAsia="Times New Roman" w:hAnsi="Times New Roman"/>
          <w:sz w:val="18"/>
          <w:szCs w:val="18"/>
          <w:color w:val="auto"/>
        </w:rPr>
        <w:t>The Amended Term Loan is secured by substantially all of our personal property other than our intellectual property, but includes any accounts receivable, other amounts owed and any proceeds of intellectual property. We also entered into a negative pledge arrangement with the collateral agent and lenders where we agreed not to encumber any of our intellectual property. The Amended Term Loan also includes certain customary representations and warranties, affirmative and negative covenants, and events of default, including a financial performance to plan covenant that requires us to achieve certain minimum net sales revenues, measured on a trailing twelve month basis, as set forth in the Second Amendment.</w:t>
      </w:r>
    </w:p>
    <w:p>
      <w:pPr>
        <w:spacing w:after="0" w:line="69" w:lineRule="exact"/>
        <w:rPr>
          <w:sz w:val="20"/>
          <w:szCs w:val="20"/>
          <w:color w:val="auto"/>
        </w:rPr>
      </w:pPr>
    </w:p>
    <w:p>
      <w:pPr>
        <w:ind w:right="20" w:firstLine="374"/>
        <w:spacing w:after="0" w:line="242" w:lineRule="auto"/>
        <w:rPr>
          <w:sz w:val="20"/>
          <w:szCs w:val="20"/>
          <w:color w:val="auto"/>
        </w:rPr>
      </w:pPr>
      <w:r>
        <w:rPr>
          <w:rFonts w:ascii="Times New Roman" w:cs="Times New Roman" w:eastAsia="Times New Roman" w:hAnsi="Times New Roman"/>
          <w:sz w:val="18"/>
          <w:szCs w:val="18"/>
          <w:color w:val="auto"/>
        </w:rPr>
        <w:t>The Amended Term Loan requires 36 months of interest-only payments, followed by 22-months of amortization. If we are in compliance with its performance to plan covenant through April 1, 2025 and have not provided an IP lien election notice before May 1, 2025, the interest-only period is extended by 12 months, and the amortization period is reduced to nine months. Payments are due on the first day of each month in arrears. All unpaid amounts under the Amended Term Loan mature on February 1, 2027. We may elect to prepay the loans under the credit facility at any time in full or in part; however, we may only elect to prepay the loans in part once, in an amount not less than $5.0 million. Any amounts prepaid may not be subsequently reborrowed. Under the Amended Term Loan, a final payment (the “Final Payment”) will be due at the earlier of the maturity date, acceleration of the loans, or a voluntary or mandatory prepayment of the loans, in an amount equal to (a) if the Final Payment is due on or after January 1, 2022 through and including October 31, 2022, three percent (3.00%) of the original principal amount (or, in the case of a partial prepayment, the amount of principal to be prepaid) of the loans, (b) if the Final Payment is due on or after November 1, 2022 through and including October 31, 2023, four percent (4.00%) of the original principal amount (or, in the case of a partial prepayment, the amount of principal to be prepaid) of the loans, and (c) if the Final Payment is due on or after November 1, 2023, five percent (5.00%) of the original principal amount (or, in the case of a partial prepayment, the amount of principal to be prepaid) of the loans. The Final Payment is being accreted to the carrying value of the debt as a debt premium and interest expense over the life of the loan using the effective interest method.</w:t>
      </w:r>
    </w:p>
    <w:p>
      <w:pPr>
        <w:spacing w:after="0" w:line="81" w:lineRule="exact"/>
        <w:rPr>
          <w:sz w:val="20"/>
          <w:szCs w:val="20"/>
          <w:color w:val="auto"/>
        </w:rPr>
      </w:pPr>
    </w:p>
    <w:p>
      <w:pPr>
        <w:jc w:val="both"/>
        <w:ind w:right="80" w:firstLine="374"/>
        <w:spacing w:after="0" w:line="258" w:lineRule="auto"/>
        <w:rPr>
          <w:sz w:val="20"/>
          <w:szCs w:val="20"/>
          <w:color w:val="auto"/>
        </w:rPr>
      </w:pPr>
      <w:r>
        <w:rPr>
          <w:rFonts w:ascii="Times New Roman" w:cs="Times New Roman" w:eastAsia="Times New Roman" w:hAnsi="Times New Roman"/>
          <w:sz w:val="18"/>
          <w:szCs w:val="18"/>
          <w:color w:val="auto"/>
        </w:rPr>
        <w:t>We are required to pay an amendment fee of $125,000 to the lenders that is directly attributable to execution of the Amended Term Loan transaction. These issuance costs will be recorded as a discount to the carrying amount of the debt and will be amortized to interest expense over the effective term of the debt using the effective interest method. The loans may be accelerated by Oxford Finance in the event of a default.</w:t>
      </w:r>
    </w:p>
    <w:p>
      <w:pPr>
        <w:spacing w:after="0" w:line="61" w:lineRule="exact"/>
        <w:rPr>
          <w:sz w:val="20"/>
          <w:szCs w:val="20"/>
          <w:color w:val="auto"/>
        </w:rPr>
      </w:pPr>
    </w:p>
    <w:p>
      <w:pPr>
        <w:ind w:right="60" w:firstLine="374"/>
        <w:spacing w:after="0" w:line="266" w:lineRule="auto"/>
        <w:rPr>
          <w:sz w:val="20"/>
          <w:szCs w:val="20"/>
          <w:color w:val="auto"/>
        </w:rPr>
      </w:pPr>
      <w:r>
        <w:rPr>
          <w:rFonts w:ascii="Times New Roman" w:cs="Times New Roman" w:eastAsia="Times New Roman" w:hAnsi="Times New Roman"/>
          <w:sz w:val="18"/>
          <w:szCs w:val="18"/>
          <w:color w:val="auto"/>
        </w:rPr>
        <w:t>A copy of the Second Amendment is attached hereto as Exhibit 10.3. The foregoing description of the Second Amendment and Amended Term Loan do not purport to be complete and are qualified in their entirety by reference to the Second Amendment.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Funding requirements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liquidity and capital funding requirements will depend on numerous factors, including:</w:t>
      </w:r>
    </w:p>
    <w:p>
      <w:pPr>
        <w:spacing w:after="0" w:line="104" w:lineRule="exact"/>
        <w:rPr>
          <w:sz w:val="20"/>
          <w:szCs w:val="20"/>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growth;</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efforts;</w:t>
      </w:r>
    </w:p>
    <w:p>
      <w:pPr>
        <w:spacing w:after="0" w:line="10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and marketing activities;</w:t>
      </w:r>
    </w:p>
    <w:p>
      <w:pPr>
        <w:spacing w:after="0" w:line="10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funds to finance our operations;</w:t>
      </w:r>
    </w:p>
    <w:p>
      <w:pPr>
        <w:spacing w:after="0" w:line="10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costs and timing of any clinical trial results for our current or future products;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and effect of competing or complementary products;</w:t>
      </w:r>
    </w:p>
    <w:p>
      <w:pPr>
        <w:spacing w:after="0" w:line="103" w:lineRule="exact"/>
        <w:rPr>
          <w:rFonts w:ascii="Times New Roman" w:cs="Times New Roman" w:eastAsia="Times New Roman" w:hAnsi="Times New Roman"/>
          <w:sz w:val="18"/>
          <w:szCs w:val="18"/>
          <w:color w:val="auto"/>
        </w:rPr>
      </w:pPr>
    </w:p>
    <w:p>
      <w:pPr>
        <w:jc w:val="both"/>
        <w:ind w:left="380" w:right="120" w:hanging="372"/>
        <w:spacing w:after="0" w:line="258"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expand, enforce and defend our intellectual property portfolio, including the amount and timing of any payments we may be required to make, or that we may receive, in connection with the licensing, filing, prosecution, maintenance, defense and enforcement of any patents or other intellectual property rights;</w:t>
      </w:r>
    </w:p>
    <w:p>
      <w:pPr>
        <w:spacing w:after="0" w:line="1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59" w:right="399" w:bottom="1440" w:gutter="0" w:footer="0" w:header="0"/>
        </w:sectPr>
      </w:pPr>
    </w:p>
    <w:bookmarkStart w:id="34" w:name="page35"/>
    <w:bookmarkEnd w:id="34"/>
    <w:p>
      <w:pPr>
        <w:ind w:left="380" w:right="360" w:hanging="372"/>
        <w:spacing w:after="0" w:line="266"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current employees and the need and ability to hire additional management, sales, research and development, scientific and customer support personnel;</w:t>
      </w:r>
    </w:p>
    <w:p>
      <w:pPr>
        <w:spacing w:after="0" w:line="5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collaborative, licensing or other arrangements that we have or may establish;</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requirements;</w:t>
      </w:r>
    </w:p>
    <w:p>
      <w:pPr>
        <w:spacing w:after="0" w:line="10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finance lease payments for our facilities;</w:t>
      </w:r>
    </w:p>
    <w:p>
      <w:pPr>
        <w:spacing w:after="0" w:line="10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or technologies;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w:t>
      </w:r>
    </w:p>
    <w:p>
      <w:pPr>
        <w:spacing w:after="0" w:line="104" w:lineRule="exact"/>
        <w:rPr>
          <w:sz w:val="20"/>
          <w:szCs w:val="20"/>
          <w:color w:val="auto"/>
        </w:rPr>
      </w:pPr>
    </w:p>
    <w:p>
      <w:pPr>
        <w:ind w:firstLine="374"/>
        <w:spacing w:after="0" w:line="242" w:lineRule="auto"/>
        <w:rPr>
          <w:sz w:val="20"/>
          <w:szCs w:val="20"/>
          <w:color w:val="auto"/>
        </w:rPr>
      </w:pPr>
      <w:r>
        <w:rPr>
          <w:rFonts w:ascii="Times New Roman" w:cs="Times New Roman" w:eastAsia="Times New Roman" w:hAnsi="Times New Roman"/>
          <w:sz w:val="18"/>
          <w:szCs w:val="18"/>
          <w:color w:val="auto"/>
        </w:rPr>
        <w:t>Based on our current planned operations, we expect that our current cash, cash equivalents and short-term investments will be sufficient to fund our operations for the next 12 months after the date our most recent financial statements were issued. Our ability to continue as a going concern is dependent upon our ability to successfully secure sources of financing from equity or debt securities, loans or collaborative agreements and ultimately achieve profitable operations. In the long-term it is likely we will require additional financing from debt or equity to satisfy our liquidity requirements, fund working capital and pay our obligations. There can be no assurance that we will be successful in acquiring additional funding at levels sufficient to fund our operations or on terms favorable to us, if at all. If adequate funds are not available on acceptable terms when needed, we may be required to significantly reduce operating activities, which may have a material adverse effect on our business and/or results of operations and financial condition. If we do raise additional capital through public or private equity or convertible debt offerings, the ownership interest of our existing stockholders will be diluted, and the terms of these securities may include liquidation or other preferences that adversely affect our existing stockholders’ rights. If we raise additional capital through debt financing, we may be subject to covenants limiting or restricting our ability to take specific actions, such as incurring additional debt, making capital expenditures or declaring dividends. Additional capital may not be available on reasonable terms, or at all.</w:t>
      </w:r>
    </w:p>
    <w:p>
      <w:pPr>
        <w:spacing w:after="0" w:line="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the section of this Quarterly Report on Form 10-Q titled “Risk Factors” for additional risks associated with our substantial capital requirements.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statement of 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primary sources and uses of cash, cash equivalents, and restricted cash for each of the periods presented below:</w:t>
      </w:r>
    </w:p>
    <w:p>
      <w:pPr>
        <w:spacing w:after="0" w:line="194" w:lineRule="exact"/>
        <w:rPr>
          <w:sz w:val="20"/>
          <w:szCs w:val="20"/>
          <w:color w:val="auto"/>
        </w:rPr>
      </w:pPr>
    </w:p>
    <w:p>
      <w:pPr>
        <w:jc w:val="center"/>
        <w:ind w:left="7520"/>
        <w:spacing w:after="0"/>
        <w:rPr>
          <w:sz w:val="20"/>
          <w:szCs w:val="20"/>
          <w:color w:val="auto"/>
        </w:rPr>
      </w:pPr>
      <w:r>
        <w:rPr>
          <w:rFonts w:ascii="Times New Roman" w:cs="Times New Roman" w:eastAsia="Times New Roman" w:hAnsi="Times New Roman"/>
          <w:sz w:val="18"/>
          <w:szCs w:val="18"/>
          <w:b w:val="1"/>
          <w:bCs w:val="1"/>
          <w:color w:val="auto"/>
        </w:rPr>
        <w:t>For the three months</w:t>
      </w:r>
    </w:p>
    <w:p>
      <w:pPr>
        <w:spacing w:after="0" w:line="6" w:lineRule="exact"/>
        <w:rPr>
          <w:sz w:val="20"/>
          <w:szCs w:val="20"/>
          <w:color w:val="auto"/>
        </w:rPr>
      </w:pPr>
    </w:p>
    <w:p>
      <w:pPr>
        <w:jc w:val="center"/>
        <w:ind w:left="7520"/>
        <w:spacing w:after="0"/>
        <w:rPr>
          <w:sz w:val="20"/>
          <w:szCs w:val="20"/>
          <w:color w:val="auto"/>
        </w:rPr>
      </w:pPr>
      <w:r>
        <w:rPr>
          <w:rFonts w:ascii="Times New Roman" w:cs="Times New Roman" w:eastAsia="Times New Roman" w:hAnsi="Times New Roman"/>
          <w:sz w:val="18"/>
          <w:szCs w:val="18"/>
          <w:b w:val="1"/>
          <w:bCs w:val="1"/>
          <w:color w:val="auto"/>
        </w:rPr>
        <w:t>ended 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640" w:type="dxa"/>
            <w:vAlign w:val="bottom"/>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1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4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10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activities</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(14,985 )</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(10,252 )</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Investing activities</w:t>
            </w:r>
          </w:p>
        </w:tc>
        <w:tc>
          <w:tcPr>
            <w:tcW w:w="10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14,859</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activities</w:t>
            </w:r>
          </w:p>
        </w:tc>
        <w:tc>
          <w:tcPr>
            <w:tcW w:w="10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(98 )</w:t>
            </w: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764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Effect of foreign exchange rate on cash, cash equivalents</w:t>
            </w:r>
          </w:p>
        </w:tc>
        <w:tc>
          <w:tcPr>
            <w:tcW w:w="1020" w:type="dxa"/>
            <w:vAlign w:val="bottom"/>
            <w:shd w:val="clear" w:color="auto" w:fill="CFF0FC"/>
          </w:tcPr>
          <w:p>
            <w:pPr>
              <w:spacing w:after="0"/>
              <w:rPr>
                <w:sz w:val="14"/>
                <w:szCs w:val="14"/>
                <w:color w:val="auto"/>
              </w:rPr>
            </w:pPr>
          </w:p>
        </w:tc>
        <w:tc>
          <w:tcPr>
            <w:tcW w:w="88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(5 )</w:t>
            </w:r>
          </w:p>
        </w:tc>
        <w:tc>
          <w:tcPr>
            <w:tcW w:w="460" w:type="dxa"/>
            <w:vAlign w:val="bottom"/>
            <w:shd w:val="clear" w:color="auto" w:fill="CFF0FC"/>
          </w:tcPr>
          <w:p>
            <w:pPr>
              <w:spacing w:after="0"/>
              <w:rPr>
                <w:sz w:val="14"/>
                <w:szCs w:val="14"/>
                <w:color w:val="auto"/>
              </w:rPr>
            </w:pPr>
          </w:p>
        </w:tc>
        <w:tc>
          <w:tcPr>
            <w:tcW w:w="12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1"/>
        </w:trPr>
        <w:tc>
          <w:tcPr>
            <w:tcW w:w="76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and restricted cash</w:t>
            </w:r>
          </w:p>
        </w:tc>
        <w:tc>
          <w:tcPr>
            <w:tcW w:w="1020" w:type="dxa"/>
            <w:vAlign w:val="bottom"/>
            <w:shd w:val="clear" w:color="auto" w:fill="CFF0FC"/>
          </w:tcPr>
          <w:p>
            <w:pPr>
              <w:spacing w:after="0"/>
              <w:rPr>
                <w:sz w:val="19"/>
                <w:szCs w:val="19"/>
                <w:color w:val="auto"/>
              </w:rPr>
            </w:pPr>
          </w:p>
        </w:tc>
        <w:tc>
          <w:tcPr>
            <w:tcW w:w="880" w:type="dxa"/>
            <w:vAlign w:val="bottom"/>
            <w:gridSpan w:val="2"/>
            <w:vMerge w:val="continue"/>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4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(229 )</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-170815</wp:posOffset>
            </wp:positionV>
            <wp:extent cx="6032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-170815</wp:posOffset>
            </wp:positionV>
            <wp:extent cx="5969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used in operating activities</w:t>
      </w:r>
    </w:p>
    <w:p>
      <w:pPr>
        <w:spacing w:after="0" w:line="121" w:lineRule="exact"/>
        <w:rPr>
          <w:sz w:val="20"/>
          <w:szCs w:val="20"/>
          <w:color w:val="auto"/>
        </w:rPr>
      </w:pPr>
    </w:p>
    <w:p>
      <w:pPr>
        <w:ind w:right="60" w:firstLine="374"/>
        <w:spacing w:after="0" w:line="250"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2022, was $15.0 million, consisting primarily of a net loss of $17.6 million and a net increase in operating assets and a net decrease in operating liabilities of $1.2 million, which was partially offset by non-cash stock-based compensation of $2.6 million and depreciation and amortization of $1.0 million.</w:t>
      </w:r>
    </w:p>
    <w:p>
      <w:pPr>
        <w:spacing w:after="0" w:line="69" w:lineRule="exact"/>
        <w:rPr>
          <w:sz w:val="20"/>
          <w:szCs w:val="20"/>
          <w:color w:val="auto"/>
        </w:rPr>
      </w:pPr>
    </w:p>
    <w:p>
      <w:pPr>
        <w:ind w:right="100" w:firstLine="374"/>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2021, was $10.3 million, consisting primarily of net loss of $6.8 million, a non-cash gain on expiration of an unexercised warrant of $5.0 million, an increase in operating assets and liabilities of $0.7 million, offset by non-cash stock-based compensation of $1.2 million and depreciation and amortization of $1.0 million.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Cash used in investing activities</w:t>
      </w:r>
    </w:p>
    <w:p>
      <w:pPr>
        <w:spacing w:after="0" w:line="108" w:lineRule="exact"/>
        <w:rPr>
          <w:sz w:val="20"/>
          <w:szCs w:val="20"/>
          <w:color w:val="auto"/>
        </w:rPr>
      </w:pPr>
    </w:p>
    <w:p>
      <w:pPr>
        <w:ind w:right="400" w:firstLine="374"/>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for the three months ended March 31, 2022, was $14.9 million, consisting primarily of net maturities of short-term investments of $15.2 million.</w:t>
      </w:r>
    </w:p>
    <w:p>
      <w:pPr>
        <w:spacing w:after="0" w:line="54" w:lineRule="exact"/>
        <w:rPr>
          <w:sz w:val="20"/>
          <w:szCs w:val="20"/>
          <w:color w:val="auto"/>
        </w:rPr>
      </w:pPr>
    </w:p>
    <w:p>
      <w:pPr>
        <w:ind w:right="320" w:firstLine="374"/>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for the three months ended March 31, 2021, was $14.5 million, consisting of net maturities of short-term investments of $15.0 million, offset by net purchases of property and equipment of $0.5 million.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from financing activities</w:t>
      </w:r>
    </w:p>
    <w:p>
      <w:pPr>
        <w:spacing w:after="0" w:line="108" w:lineRule="exact"/>
        <w:rPr>
          <w:sz w:val="20"/>
          <w:szCs w:val="20"/>
          <w:color w:val="auto"/>
        </w:rPr>
      </w:pPr>
    </w:p>
    <w:p>
      <w:pPr>
        <w:ind w:right="320" w:firstLine="374"/>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three months ended March 31, 2022, was $0.1 million, primarily consisting of payments for employee taxes related to stock compensation of $0.4 million offset by proceeds from stock options exercised of $0.3 million.</w:t>
      </w:r>
    </w:p>
    <w:p>
      <w:pPr>
        <w:spacing w:after="0" w:line="68" w:lineRule="exact"/>
        <w:rPr>
          <w:sz w:val="20"/>
          <w:szCs w:val="20"/>
          <w:color w:val="auto"/>
        </w:rPr>
      </w:pPr>
    </w:p>
    <w:p>
      <w:pPr>
        <w:ind w:right="80" w:firstLine="37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2021, was $6.1 million, consisting primarily of proceeds from a draw on the Company’s term loan of $5.0 million and proceeds from stock options exercised of $1.2 million.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324" w:lineRule="exact"/>
        <w:rPr>
          <w:sz w:val="20"/>
          <w:szCs w:val="20"/>
          <w:color w:val="auto"/>
        </w:rPr>
      </w:pPr>
    </w:p>
    <w:p>
      <w:pPr>
        <w:ind w:right="260" w:firstLine="374"/>
        <w:spacing w:after="0" w:line="266" w:lineRule="auto"/>
        <w:rPr>
          <w:sz w:val="20"/>
          <w:szCs w:val="20"/>
          <w:color w:val="auto"/>
        </w:rPr>
      </w:pPr>
      <w:r>
        <w:rPr>
          <w:rFonts w:ascii="Times New Roman" w:cs="Times New Roman" w:eastAsia="Times New Roman" w:hAnsi="Times New Roman"/>
          <w:sz w:val="18"/>
          <w:szCs w:val="18"/>
          <w:color w:val="auto"/>
        </w:rPr>
        <w:t>We have a standby letter of credit, expiring September 30, 2024, issued by a financial institution as a required security for one operating lease. The aggregate amount of the letter of credit was $0.3 million as of March 31, 2022 and December 31, 2021.</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significant judgments and use of estimates</w:t>
      </w:r>
    </w:p>
    <w:p>
      <w:pPr>
        <w:spacing w:after="0" w:line="108" w:lineRule="exact"/>
        <w:rPr>
          <w:sz w:val="20"/>
          <w:szCs w:val="20"/>
          <w:color w:val="auto"/>
        </w:rPr>
      </w:pPr>
    </w:p>
    <w:p>
      <w:pPr>
        <w:ind w:firstLine="374"/>
        <w:spacing w:after="0" w:line="243"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is based on our financial statements, which have been prepared in accordance with accounting principles generally accepted in the United States of America, (“GAAP”). The preparation of these financial statements requires us to make estimates and assumptions that affect the reported amounts of assets and liabilities, the disclosure of contingent assets and liabilities at the date of the financial statements and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which may affect our future financial statement presentation, financial condition, results of operations and cash flows. Our significant accounting policies are more fully described in the notes to our financial statements included in our Annual Report on Form 10-K filed with the SEC on March 8, 2022. We believe that the accounting policies we use are critical to the process of making significant judgments and estimates in the preparation of our financial statements and understanding and evaluating our reported financial results.</w:t>
      </w:r>
    </w:p>
    <w:p>
      <w:pPr>
        <w:spacing w:after="0" w:line="78" w:lineRule="exact"/>
        <w:rPr>
          <w:sz w:val="20"/>
          <w:szCs w:val="20"/>
          <w:color w:val="auto"/>
        </w:rPr>
      </w:pPr>
    </w:p>
    <w:p>
      <w:pPr>
        <w:ind w:right="160" w:firstLine="374"/>
        <w:spacing w:after="0" w:line="250" w:lineRule="auto"/>
        <w:rPr>
          <w:sz w:val="20"/>
          <w:szCs w:val="20"/>
          <w:color w:val="auto"/>
        </w:rPr>
      </w:pPr>
      <w:r>
        <w:rPr>
          <w:rFonts w:ascii="Times New Roman" w:cs="Times New Roman" w:eastAsia="Times New Roman" w:hAnsi="Times New Roman"/>
          <w:sz w:val="18"/>
          <w:szCs w:val="18"/>
          <w:color w:val="auto"/>
        </w:rPr>
        <w:t>There were no material changes to our critical accounting policies or in the methodology used for estimates from those described in “Management's Discussion and Analysis of Financial Condition and Results of Operations” included in our Annual Report on Form 10-K filed with the SEC on March 8, 2022. We believe that the accounting policies we use are critical to the process of making significant judgments and estimates in the preparation of our financial statements and understanding and evaluating our reported financial results.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right="60" w:firstLine="374"/>
        <w:spacing w:after="0" w:line="244" w:lineRule="auto"/>
        <w:rPr>
          <w:sz w:val="20"/>
          <w:szCs w:val="20"/>
          <w:color w:val="auto"/>
        </w:rPr>
      </w:pPr>
      <w:r>
        <w:rPr>
          <w:rFonts w:ascii="Times New Roman" w:cs="Times New Roman" w:eastAsia="Times New Roman" w:hAnsi="Times New Roman"/>
          <w:sz w:val="18"/>
          <w:szCs w:val="18"/>
          <w:color w:val="auto"/>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misappropriation or other violation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5"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08" w:lineRule="exact"/>
        <w:rPr>
          <w:sz w:val="20"/>
          <w:szCs w:val="20"/>
          <w:color w:val="auto"/>
        </w:rPr>
      </w:pPr>
    </w:p>
    <w:p>
      <w:pPr>
        <w:ind w:right="460" w:firstLine="374"/>
        <w:spacing w:after="0" w:line="266" w:lineRule="auto"/>
        <w:rPr>
          <w:sz w:val="20"/>
          <w:szCs w:val="20"/>
          <w:color w:val="auto"/>
        </w:rPr>
      </w:pPr>
      <w:r>
        <w:rPr>
          <w:rFonts w:ascii="Times New Roman" w:cs="Times New Roman" w:eastAsia="Times New Roman" w:hAnsi="Times New Roman"/>
          <w:sz w:val="18"/>
          <w:szCs w:val="18"/>
          <w:color w:val="auto"/>
        </w:rPr>
        <w:t>See the section titled “Summary of Significant Accounting Policies—Recent Accounting Pronouncements” in Note 2 to our financial statements included elsewhere in this Quarterly Report on Form 10-Q for additional information.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08" w:lineRule="exact"/>
        <w:rPr>
          <w:sz w:val="20"/>
          <w:szCs w:val="20"/>
          <w:color w:val="auto"/>
        </w:rPr>
      </w:pPr>
    </w:p>
    <w:p>
      <w:pPr>
        <w:ind w:firstLine="374"/>
        <w:spacing w:after="0" w:line="245"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As such, we are eligible for exemptions from various reporting requirements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and an exemption from the requirements to obtain a non-binding advisory vote on executive compensation or golden parachute arrangements. We have elected to take advantage of certain of the reduced disclosure obligations in this Quarterly Report on Form 10-Q and may elect to take advantage of other reduced reporting requirements in our future filings with the SEC. As a result, the information that we provide to our stockholders may be different than you might receive from other public reporting companies in which you hold equity interests.</w:t>
      </w:r>
    </w:p>
    <w:p>
      <w:pPr>
        <w:spacing w:after="0" w:line="87" w:lineRule="exact"/>
        <w:rPr>
          <w:sz w:val="20"/>
          <w:szCs w:val="20"/>
          <w:color w:val="auto"/>
        </w:rPr>
      </w:pPr>
    </w:p>
    <w:p>
      <w:pPr>
        <w:ind w:right="60" w:firstLine="374"/>
        <w:spacing w:after="0" w:line="250" w:lineRule="auto"/>
        <w:rPr>
          <w:sz w:val="20"/>
          <w:szCs w:val="20"/>
          <w:color w:val="auto"/>
        </w:rPr>
      </w:pPr>
      <w:r>
        <w:rPr>
          <w:rFonts w:ascii="Times New Roman" w:cs="Times New Roman" w:eastAsia="Times New Roman" w:hAnsi="Times New Roman"/>
          <w:sz w:val="18"/>
          <w:szCs w:val="18"/>
          <w:color w:val="auto"/>
        </w:rPr>
        <w:t>The JOBS Act permits an “emerging growth company” such as us to take advantage of an extended transition period to comply with new or revised accounting standards applicable to public companies. However, we have chosen to irrevocably “opt out” of such extended transition period, and as a result, we will comply with new or revised accounting standards on the relevant dates on which adoption of such standards is required for non-emerging growth companies.</w:t>
      </w:r>
    </w:p>
    <w:p>
      <w:pPr>
        <w:spacing w:after="0" w:line="69" w:lineRule="exact"/>
        <w:rPr>
          <w:sz w:val="20"/>
          <w:szCs w:val="20"/>
          <w:color w:val="auto"/>
        </w:rPr>
      </w:pPr>
    </w:p>
    <w:p>
      <w:pPr>
        <w:ind w:right="100" w:firstLine="374"/>
        <w:spacing w:after="0" w:line="244"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the last day of the fiscal year following the fifth anniversary of the consummation of our initial public offering (i.e. December 31, 2026); (ii) the last day of the fiscal year in which we have total annual gross revenue of at least $1.07 billion;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87" w:lineRule="exact"/>
        <w:rPr>
          <w:sz w:val="20"/>
          <w:szCs w:val="20"/>
          <w:color w:val="auto"/>
        </w:rPr>
      </w:pPr>
    </w:p>
    <w:p>
      <w:pPr>
        <w:ind w:right="100" w:firstLine="374"/>
        <w:spacing w:after="0" w:line="244"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w:t>
      </w:r>
    </w:p>
    <w:p>
      <w:pPr>
        <w:spacing w:after="0" w:line="135" w:lineRule="exact"/>
        <w:rPr>
          <w:sz w:val="20"/>
          <w:szCs w:val="20"/>
          <w:color w:val="auto"/>
        </w:rPr>
      </w:pPr>
    </w:p>
    <w:p>
      <w:pPr>
        <w:ind w:right="20" w:firstLine="374"/>
        <w:spacing w:after="0" w:line="241" w:lineRule="auto"/>
        <w:rPr>
          <w:sz w:val="20"/>
          <w:szCs w:val="20"/>
          <w:color w:val="auto"/>
        </w:rPr>
      </w:pPr>
      <w:r>
        <w:rPr>
          <w:rFonts w:ascii="Times New Roman" w:cs="Times New Roman" w:eastAsia="Times New Roman" w:hAnsi="Times New Roman"/>
          <w:sz w:val="18"/>
          <w:szCs w:val="18"/>
          <w:color w:val="auto"/>
        </w:rPr>
        <w:t>We are subject to the continuing risks related to the public health crises, primarily the global pandemic associated with COVID-19. The COVID-19 outbreak has negatively impacted and may continue to negatively impact our operations and revenues and overall financial condition by decreasing the number of our RxSight systems sold. The number of our RxSight systems sold, similar to other ophthalmic procedures, has decreased as health care organizations globally have prioritized the treatment of patients with COVID-19. For example, in the United States, governmental authorities have recommended, and in certain cases required, that elective, specialty and other procedures and appointments, including those related to cataract treatments, be suspended or canceled to avoid non-essential patient exposure to medical environments and potential infection with COVID-19 and to focus limited resources and personnel capacity toward the treatment of COVID-19. These measures and challenges may continue for the duration of the pandemic, which is uncertain, and will reduce our revenue and continue to interrupt the commercialization of our products while the pandemic continues. Further, once the pandemic subsides, we anticipate there will be a substantial backlog of patients seeking appointments with doctors and surgeries to be performed at ophthalmic practices and ambulatory surgery centers relating to a variety of medical conditions, and as a result, patients seeking to receive, or who have received, our LAL will have to navigate limited provider capacity. We believe this limited provider capacity could have an adverse effect on our sales following the end of the pandemic.</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37" w:name="page38"/>
    <w:bookmarkEnd w:id="37"/>
    <w:p>
      <w:pPr>
        <w:ind w:right="60" w:firstLine="374"/>
        <w:spacing w:after="0" w:line="244" w:lineRule="auto"/>
        <w:rPr>
          <w:sz w:val="20"/>
          <w:szCs w:val="20"/>
          <w:color w:val="auto"/>
        </w:rPr>
      </w:pPr>
      <w:r>
        <w:rPr>
          <w:rFonts w:ascii="Times New Roman" w:cs="Times New Roman" w:eastAsia="Times New Roman" w:hAnsi="Times New Roman"/>
          <w:sz w:val="18"/>
          <w:szCs w:val="18"/>
          <w:color w:val="auto"/>
        </w:rPr>
        <w:t>As we continue to actively advance our clinical, discovery and research programs, we are in close contact with the third parties we engage with, who are primarily located in the United States, and are assessing the impact of the COVID-19 pandemic on each of our programs, expected timelines and costs on an ongoing basis. In light of ongoing developments relating to the COVID-19 pandemic, the focus of healthcare providers on fighting the virus, and consistent with the FDA’s industry guidance for conducting clinical trials, we and our contract research organizations have made certain adjustments to the operation of our clinical trials in an effort to ensure the monitoring and safety of patients and minimize risk to trial integrity during the pandemic and generally.</w:t>
      </w:r>
    </w:p>
    <w:p>
      <w:pPr>
        <w:spacing w:after="0" w:line="87" w:lineRule="exact"/>
        <w:rPr>
          <w:sz w:val="20"/>
          <w:szCs w:val="20"/>
          <w:color w:val="auto"/>
        </w:rPr>
      </w:pPr>
    </w:p>
    <w:p>
      <w:pPr>
        <w:ind w:right="100" w:firstLine="374"/>
        <w:spacing w:after="0" w:line="244" w:lineRule="auto"/>
        <w:rPr>
          <w:sz w:val="20"/>
          <w:szCs w:val="20"/>
          <w:color w:val="auto"/>
        </w:rPr>
      </w:pPr>
      <w:r>
        <w:rPr>
          <w:rFonts w:ascii="Times New Roman" w:cs="Times New Roman" w:eastAsia="Times New Roman" w:hAnsi="Times New Roman"/>
          <w:sz w:val="18"/>
          <w:szCs w:val="18"/>
          <w:color w:val="auto"/>
        </w:rPr>
        <w:t>Further, the expansion of global lead times related to the COVID-19 pandemic, has resulted in the lack of availability of raw materials, including semiconductors, computers, monitors electronic parts, metals, packaging, adhesives, resins and subcontract painted components. Certain suppliers have passed on higher prices, surcharges and expedited shipping fees to defray the higher commodity prices they are paying due to short supply. Our suppliers may cease producing the components we purchase from them or otherwise decide to cease doing business with us. Any supply interruption from our suppliers or failure to obtain additional suppliers for any of the components or subcomponents used in our products would limit our ability to manufacture our current and new products and could have a material adverse effect on our business, financial condition and results of operations.</w:t>
      </w:r>
    </w:p>
    <w:p>
      <w:pPr>
        <w:spacing w:after="0" w:line="87" w:lineRule="exact"/>
        <w:rPr>
          <w:sz w:val="20"/>
          <w:szCs w:val="20"/>
          <w:color w:val="auto"/>
        </w:rPr>
      </w:pPr>
    </w:p>
    <w:p>
      <w:pPr>
        <w:ind w:right="20" w:firstLine="374"/>
        <w:spacing w:after="0" w:line="243" w:lineRule="auto"/>
        <w:rPr>
          <w:sz w:val="20"/>
          <w:szCs w:val="20"/>
          <w:color w:val="auto"/>
        </w:rPr>
      </w:pPr>
      <w:r>
        <w:rPr>
          <w:rFonts w:ascii="Times New Roman" w:cs="Times New Roman" w:eastAsia="Times New Roman" w:hAnsi="Times New Roman"/>
          <w:sz w:val="18"/>
          <w:szCs w:val="18"/>
          <w:color w:val="auto"/>
        </w:rPr>
        <w:t>While the potential economic impact brought by and the duration of COVID-19 may be difficult to assess or predict, the widespread pandemic has resulted in, and may continue to result in, significant disruption of global financial markets, reducing our ability to access capital, which could in the future negatively affect our liquidity. We expect any new shelter-in-place policies and restrictions on elective surgical procedures worldwide to have a substantial near-term impact on our revenue. During the COVID-19 pandemic, our customers, including doctors, have experienced financial hardship and some of them may not fully recover. This could lead to some of these customers temporarily or permanently shutting down, filing for bankruptcy or being acquired by larger health systems, leading to reduced procedures and/or additional pricing pressure on our products. The COVID-19 pandemic has also resulted in a significant increase in unemployment in the United States which may continue even after the pandemic. The occurrence of any such events may lead to reduced disposable income and access to health insurance which could adversely affect the number of RxSight systems sold after the pandemic has ended.</w:t>
      </w:r>
    </w:p>
    <w:p>
      <w:pPr>
        <w:spacing w:after="0" w:line="200" w:lineRule="exact"/>
        <w:rPr>
          <w:sz w:val="20"/>
          <w:szCs w:val="20"/>
          <w:color w:val="auto"/>
        </w:rPr>
      </w:pPr>
    </w:p>
    <w:p>
      <w:pPr>
        <w:spacing w:after="0" w:line="320" w:lineRule="exact"/>
        <w:rPr>
          <w:sz w:val="20"/>
          <w:szCs w:val="20"/>
          <w:color w:val="auto"/>
        </w:rPr>
      </w:pPr>
    </w:p>
    <w:p>
      <w:pPr>
        <w:ind w:right="4040"/>
        <w:spacing w:after="0" w:line="412" w:lineRule="auto"/>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 Quantitative and Qualitative Disclosures About Market Risk</w:t>
      </w:r>
    </w:p>
    <w:p>
      <w:pPr>
        <w:spacing w:after="0" w:line="13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disclosure under this item.</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08" w:lineRule="exact"/>
        <w:rPr>
          <w:sz w:val="20"/>
          <w:szCs w:val="20"/>
          <w:color w:val="auto"/>
        </w:rPr>
      </w:pPr>
    </w:p>
    <w:p>
      <w:pPr>
        <w:ind w:firstLine="374"/>
        <w:spacing w:after="0" w:line="242" w:lineRule="auto"/>
        <w:rPr>
          <w:sz w:val="20"/>
          <w:szCs w:val="20"/>
          <w:color w:val="auto"/>
        </w:rPr>
      </w:pPr>
      <w:r>
        <w:rPr>
          <w:rFonts w:ascii="Times New Roman" w:cs="Times New Roman" w:eastAsia="Times New Roman" w:hAnsi="Times New Roman"/>
          <w:sz w:val="18"/>
          <w:szCs w:val="18"/>
          <w:color w:val="auto"/>
        </w:rPr>
        <w:t>As of March 31, 2022, our management, with the participation and supervision of our principal executive officer and our principal financial officer, evaluated our disclosure controls and procedures (as defined in Rules 13a-15(e) and 15d-15(e) under the Exchange Act). Based on this evaluation, our principal executive officer and principal financial officer concluded that our disclosure controls and procedures were effective at the reasonable assurance level as of March 31, 2022.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 benefit relationship of possible controls and procedures.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59"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08" w:lineRule="exact"/>
        <w:rPr>
          <w:sz w:val="20"/>
          <w:szCs w:val="20"/>
          <w:color w:val="auto"/>
        </w:rPr>
      </w:pPr>
    </w:p>
    <w:p>
      <w:pPr>
        <w:jc w:val="both"/>
        <w:ind w:right="240" w:firstLine="374"/>
        <w:spacing w:after="0" w:line="296"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(as defined in Rules 13a-15(f) and 15d-15(f) under the Exchange Act) during the quarter ended March 31, 2022 that have materially affected, or are reasonably likely to materially affect, our internal control over financial reporting.</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Effectiveness of Controls</w:t>
      </w:r>
    </w:p>
    <w:p>
      <w:pPr>
        <w:spacing w:after="0" w:line="108" w:lineRule="exact"/>
        <w:rPr>
          <w:sz w:val="20"/>
          <w:szCs w:val="20"/>
          <w:color w:val="auto"/>
        </w:rPr>
      </w:pPr>
    </w:p>
    <w:p>
      <w:pPr>
        <w:ind w:right="80" w:firstLine="374"/>
        <w:spacing w:after="0" w:line="250" w:lineRule="auto"/>
        <w:rPr>
          <w:sz w:val="20"/>
          <w:szCs w:val="20"/>
          <w:color w:val="auto"/>
        </w:rPr>
      </w:pPr>
      <w:r>
        <w:rPr>
          <w:rFonts w:ascii="Times New Roman" w:cs="Times New Roman" w:eastAsia="Times New Roman" w:hAnsi="Times New Roman"/>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ind w:firstLine="374"/>
        <w:spacing w:after="0" w:line="245" w:lineRule="auto"/>
        <w:rPr>
          <w:sz w:val="20"/>
          <w:szCs w:val="20"/>
          <w:color w:val="auto"/>
        </w:rPr>
      </w:pPr>
      <w:r>
        <w:rPr>
          <w:rFonts w:ascii="Times New Roman" w:cs="Times New Roman" w:eastAsia="Times New Roman" w:hAnsi="Times New Roman"/>
          <w:sz w:val="18"/>
          <w:szCs w:val="18"/>
          <w:color w:val="auto"/>
        </w:rPr>
        <w:t>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 We are currently not a party to any legal proceedings the outcome of which, if determined adversely to us, would individually or in the aggregate have a material adverse effect on our business, financial condition, and results of operations. Accordingly, the Company cannot determine the final amount, if any, of its liability beyond the amount accrued in the condensed consolidated financial statements as of March 31, 2022, nor is it possible to estimate what litigation-related costs will be in the future; however, the Company believes that the likelihood that claims related to litigation would result in a material loss to the Company, either individually or in the aggregate, is remote.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107251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072515" cy="8255"/>
                    </a:xfrm>
                    <a:prstGeom prst="rect">
                      <a:avLst/>
                    </a:prstGeom>
                    <a:noFill/>
                  </pic:spPr>
                </pic:pic>
              </a:graphicData>
            </a:graphic>
          </wp:anchor>
        </w:drawing>
      </w:r>
    </w:p>
    <w:p>
      <w:pPr>
        <w:spacing w:after="0" w:line="99" w:lineRule="exact"/>
        <w:rPr>
          <w:sz w:val="20"/>
          <w:szCs w:val="20"/>
          <w:color w:val="auto"/>
        </w:rPr>
      </w:pPr>
    </w:p>
    <w:p>
      <w:pPr>
        <w:ind w:right="120" w:firstLine="374"/>
        <w:spacing w:after="0" w:line="246" w:lineRule="auto"/>
        <w:rPr>
          <w:sz w:val="20"/>
          <w:szCs w:val="20"/>
          <w:color w:val="auto"/>
        </w:rPr>
      </w:pPr>
      <w:r>
        <w:rPr>
          <w:rFonts w:ascii="Times New Roman" w:cs="Times New Roman" w:eastAsia="Times New Roman" w:hAnsi="Times New Roman"/>
          <w:sz w:val="18"/>
          <w:szCs w:val="18"/>
          <w:i w:val="1"/>
          <w:iCs w:val="1"/>
          <w:color w:val="auto"/>
        </w:rPr>
        <w:t>We operate in a rapidly changing environment that involves numerous uncertainties and risks. In addition to the other information included in this Quarterly Report on Form 10-Q, the following risks and uncertainties may have a material and adverse effect on our business, financial condition, results of operations, or stock price. You should consider these risks and uncertainties carefully, together with all of the other information included or incorporated by reference in this Quarterly Report on Form 10-Q. The risks and uncertainties described below may not be the only ones we face. If any of the risks or uncertainties we face were to occur, the trading price of our securities could decline, and you may lose all or part of your investment. This Quarterly Report on Form 10-Q also contains forward-looking statements that involve risks and uncertainties. See the section titled “Special Note Regarding Forward-Looking Statements” appearing elsewhere in this Quarterly Report. Our actual results could differ materially from those anticipated in the forward-looking statements as a result of factors that are described below and elsewhere in this report.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21" w:lineRule="exact"/>
        <w:rPr>
          <w:sz w:val="20"/>
          <w:szCs w:val="20"/>
          <w:color w:val="auto"/>
        </w:rPr>
      </w:pPr>
    </w:p>
    <w:p>
      <w:pPr>
        <w:ind w:right="80" w:firstLine="374"/>
        <w:spacing w:after="0" w:line="266" w:lineRule="auto"/>
        <w:rPr>
          <w:sz w:val="20"/>
          <w:szCs w:val="20"/>
          <w:color w:val="auto"/>
        </w:rPr>
      </w:pPr>
      <w:r>
        <w:rPr>
          <w:rFonts w:ascii="Times New Roman" w:cs="Times New Roman" w:eastAsia="Times New Roman" w:hAnsi="Times New Roman"/>
          <w:sz w:val="18"/>
          <w:szCs w:val="18"/>
          <w:color w:val="auto"/>
        </w:rPr>
        <w:t>Our following risks and uncertainties are among the most significant we face, however, the risks and uncertainties identified in this subsection are not the only ones we face and are qualified in their entirety by reference to all of the risk factors described herein:</w:t>
      </w:r>
    </w:p>
    <w:p>
      <w:pPr>
        <w:spacing w:after="0" w:line="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Risks related to our business and products:</w:t>
      </w:r>
    </w:p>
    <w:p>
      <w:pPr>
        <w:spacing w:after="0" w:line="175" w:lineRule="exact"/>
        <w:rPr>
          <w:sz w:val="20"/>
          <w:szCs w:val="20"/>
          <w:color w:val="auto"/>
        </w:rPr>
      </w:pPr>
    </w:p>
    <w:p>
      <w:pPr>
        <w:ind w:left="1140" w:right="500" w:hanging="383"/>
        <w:spacing w:after="0" w:line="266"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if we fail to effectively train our sales force, increase our sales and marketing capabilities, or develop broad brand awareness in a cost-effective manner, our growth will be impeded, and our business will suffer.</w:t>
      </w:r>
    </w:p>
    <w:p>
      <w:pPr>
        <w:spacing w:after="0" w:line="94" w:lineRule="exact"/>
        <w:rPr>
          <w:rFonts w:ascii="Times New Roman" w:cs="Times New Roman" w:eastAsia="Times New Roman" w:hAnsi="Times New Roman"/>
          <w:sz w:val="18"/>
          <w:szCs w:val="18"/>
          <w:color w:val="auto"/>
        </w:rPr>
      </w:pPr>
    </w:p>
    <w:p>
      <w:pPr>
        <w:ind w:left="1140" w:right="840" w:hanging="383"/>
        <w:spacing w:after="0" w:line="266"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net operating losses, and we expect to continue to incur losses for the foreseeable future. If we ever achieve profitability, we may not be able to sustain it.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39" w:name="page40"/>
    <w:bookmarkEnd w:id="39"/>
    <w:p>
      <w:pPr>
        <w:ind w:left="1140" w:hanging="383"/>
        <w:spacing w:after="0" w:line="266"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in large part on our RxSight system. If we are unable to successfully market and sell our RxSight system, our business prospects will be significantly harmed, and we may be unable to achieve revenue growth.</w:t>
      </w:r>
    </w:p>
    <w:p>
      <w:pPr>
        <w:spacing w:after="0" w:line="94" w:lineRule="exact"/>
        <w:rPr>
          <w:rFonts w:ascii="Times New Roman" w:cs="Times New Roman" w:eastAsia="Times New Roman" w:hAnsi="Times New Roman"/>
          <w:sz w:val="18"/>
          <w:szCs w:val="18"/>
          <w:color w:val="auto"/>
        </w:rPr>
      </w:pPr>
    </w:p>
    <w:p>
      <w:pPr>
        <w:ind w:left="1140" w:right="80" w:hanging="383"/>
        <w:spacing w:after="0" w:line="266"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and if we are unable to compete effectively, we may not be able to achieve or maintain significant market penetration or improve our results of operations.</w:t>
      </w:r>
    </w:p>
    <w:p>
      <w:pPr>
        <w:spacing w:after="0" w:line="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75" w:lineRule="exact"/>
        <w:rPr>
          <w:sz w:val="20"/>
          <w:szCs w:val="20"/>
          <w:color w:val="auto"/>
        </w:rPr>
      </w:pPr>
    </w:p>
    <w:p>
      <w:pPr>
        <w:ind w:left="1140" w:right="140" w:hanging="383"/>
        <w:spacing w:after="0" w:line="250"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maintain, protect and enforce patent and other intellectual property protection for our technology and products, or if the scope of the patent and other intellectual property protection obtained is not sufficiently broad, we may not be able to compete effectively in our markets.</w:t>
      </w:r>
    </w:p>
    <w:p>
      <w:pPr>
        <w:spacing w:after="0" w:line="109" w:lineRule="exact"/>
        <w:rPr>
          <w:rFonts w:ascii="Times New Roman" w:cs="Times New Roman" w:eastAsia="Times New Roman" w:hAnsi="Times New Roman"/>
          <w:sz w:val="18"/>
          <w:szCs w:val="18"/>
          <w:color w:val="auto"/>
        </w:rPr>
      </w:pPr>
    </w:p>
    <w:p>
      <w:pPr>
        <w:ind w:left="1140" w:right="120" w:hanging="383"/>
        <w:spacing w:after="0" w:line="282"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protect the confidentiality of our trade secrets and other proprietary information, our business and competitive position may be harmed.</w:t>
      </w:r>
    </w:p>
    <w:p>
      <w:pPr>
        <w:spacing w:after="0" w:line="6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our intellectual property rights throughout the world, which could impair our business.</w:t>
      </w:r>
    </w:p>
    <w:p>
      <w:pPr>
        <w:spacing w:after="0" w:line="1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75" w:lineRule="exact"/>
        <w:rPr>
          <w:sz w:val="20"/>
          <w:szCs w:val="20"/>
          <w:color w:val="auto"/>
        </w:rPr>
      </w:pPr>
    </w:p>
    <w:p>
      <w:pPr>
        <w:ind w:left="1140" w:right="400" w:hanging="383"/>
        <w:spacing w:after="0" w:line="266"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obtain and maintain necessary regulatory clearances or approvals for our products, or if clearances or approvals for future products and indications are delayed or not issued, our commercial operations may be harmed.</w:t>
      </w:r>
    </w:p>
    <w:p>
      <w:pPr>
        <w:spacing w:after="0" w:line="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Risks related to reliance on third parties:</w:t>
      </w:r>
    </w:p>
    <w:p>
      <w:pPr>
        <w:spacing w:after="0" w:line="162" w:lineRule="exact"/>
        <w:rPr>
          <w:sz w:val="20"/>
          <w:szCs w:val="20"/>
          <w:color w:val="auto"/>
        </w:rPr>
      </w:pPr>
    </w:p>
    <w:p>
      <w:pPr>
        <w:ind w:left="1140" w:right="280" w:hanging="383"/>
        <w:spacing w:after="0" w:line="266"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upon third parties, including single and sole source suppliers, to manufacture certain components and subcomponents of the RxSight system, making us vulnerable to supply disruptions and price fluctuations.</w:t>
      </w:r>
    </w:p>
    <w:p>
      <w:pPr>
        <w:spacing w:after="0" w:line="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75" w:lineRule="exact"/>
        <w:rPr>
          <w:sz w:val="20"/>
          <w:szCs w:val="20"/>
          <w:color w:val="auto"/>
        </w:rPr>
      </w:pPr>
    </w:p>
    <w:p>
      <w:pPr>
        <w:ind w:left="1140" w:hanging="383"/>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stock may be volatile, and you could lose all or part of your investment.</w:t>
      </w:r>
    </w:p>
    <w:p>
      <w:pPr>
        <w:spacing w:after="0" w:line="144" w:lineRule="exact"/>
        <w:rPr>
          <w:rFonts w:ascii="Times New Roman" w:cs="Times New Roman" w:eastAsia="Times New Roman" w:hAnsi="Times New Roman"/>
          <w:sz w:val="18"/>
          <w:szCs w:val="18"/>
          <w:color w:val="auto"/>
        </w:rPr>
      </w:pPr>
    </w:p>
    <w:p>
      <w:pPr>
        <w:ind w:left="1140" w:right="340" w:hanging="383"/>
        <w:spacing w:after="0" w:line="266"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stockholders and management own a significant percentage of our stock and will be able to exert significant control over matters subject to stockholder approval.</w:t>
      </w:r>
    </w:p>
    <w:p>
      <w:pPr>
        <w:spacing w:after="0" w:line="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Risks related to COVID-19:</w:t>
      </w:r>
    </w:p>
    <w:p>
      <w:pPr>
        <w:spacing w:after="0" w:line="162" w:lineRule="exact"/>
        <w:rPr>
          <w:sz w:val="20"/>
          <w:szCs w:val="20"/>
          <w:color w:val="auto"/>
        </w:rPr>
      </w:pPr>
    </w:p>
    <w:p>
      <w:pPr>
        <w:ind w:left="1140" w:right="180" w:hanging="383"/>
        <w:spacing w:after="0" w:line="266"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financial condition, results of operations and growth have been harmed by the effects of the COVID-19 pandemic and may continue to be harmed.</w:t>
      </w:r>
    </w:p>
    <w:p>
      <w:pPr>
        <w:spacing w:after="0" w:line="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62" w:lineRule="exact"/>
        <w:rPr>
          <w:sz w:val="20"/>
          <w:szCs w:val="20"/>
          <w:color w:val="auto"/>
        </w:rPr>
      </w:pPr>
    </w:p>
    <w:p>
      <w:pPr>
        <w:ind w:left="1140" w:right="140" w:hanging="383"/>
        <w:spacing w:after="0" w:line="282"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recruit, retain, manage and motivate qualified executives as we build out the management team, and we are highly dependent on our management team.</w:t>
      </w:r>
    </w:p>
    <w:p>
      <w:pPr>
        <w:spacing w:after="0" w:line="80"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litigation proceedings could adversely affect our business.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products</w:t>
      </w:r>
    </w:p>
    <w:p>
      <w:pPr>
        <w:spacing w:after="0" w:line="117" w:lineRule="exact"/>
        <w:rPr>
          <w:sz w:val="20"/>
          <w:szCs w:val="20"/>
          <w:color w:val="auto"/>
        </w:rPr>
      </w:pPr>
    </w:p>
    <w:p>
      <w:pPr>
        <w:ind w:right="300"/>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if we fail to effectively train our sales force, increase our sales and marketing capabilities or develop broad brand awareness in a cost-effective manner, our growth will be impeded, and our business will suffer.</w:t>
      </w:r>
    </w:p>
    <w:p>
      <w:pPr>
        <w:spacing w:after="0" w:line="77" w:lineRule="exact"/>
        <w:rPr>
          <w:sz w:val="20"/>
          <w:szCs w:val="20"/>
          <w:color w:val="auto"/>
        </w:rPr>
      </w:pPr>
    </w:p>
    <w:p>
      <w:pPr>
        <w:ind w:right="40" w:firstLine="374"/>
        <w:spacing w:after="0" w:line="297" w:lineRule="auto"/>
        <w:rPr>
          <w:sz w:val="20"/>
          <w:szCs w:val="20"/>
          <w:color w:val="auto"/>
        </w:rPr>
      </w:pPr>
      <w:r>
        <w:rPr>
          <w:rFonts w:ascii="Times New Roman" w:cs="Times New Roman" w:eastAsia="Times New Roman" w:hAnsi="Times New Roman"/>
          <w:sz w:val="17"/>
          <w:szCs w:val="17"/>
          <w:color w:val="auto"/>
        </w:rPr>
        <w:t>We were incorporated in March 1997 and began commercializing our products in the second half of 2019, when we initiated a full launch of our light adjustable lenses and light delivery devices. Accordingly, our limited commercialization experience and limited number of approved or cleared products make it difficult to evaluate our current business and assess our prospects. We also currently have limited sales and marketing experience. If we are</w:t>
      </w:r>
    </w:p>
    <w:p>
      <w:pPr>
        <w:spacing w:after="0" w:line="1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51" w:right="399" w:bottom="1440" w:gutter="0" w:footer="0" w:header="0"/>
        </w:sectPr>
      </w:pPr>
    </w:p>
    <w:bookmarkStart w:id="40" w:name="page41"/>
    <w:bookmarkEnd w:id="40"/>
    <w:p>
      <w:pPr>
        <w:ind w:right="80"/>
        <w:spacing w:after="0" w:line="274" w:lineRule="auto"/>
        <w:rPr>
          <w:sz w:val="20"/>
          <w:szCs w:val="20"/>
          <w:color w:val="auto"/>
        </w:rPr>
      </w:pPr>
      <w:r>
        <w:rPr>
          <w:rFonts w:ascii="Times New Roman" w:cs="Times New Roman" w:eastAsia="Times New Roman" w:hAnsi="Times New Roman"/>
          <w:sz w:val="18"/>
          <w:szCs w:val="18"/>
          <w:color w:val="auto"/>
        </w:rPr>
        <w:t>unable to establish or scale effective sales and marketing capabilities, or if we are unable to commercialize any of our products, we may not be able to generate sufficient product revenue, sustain revenue growth and compete effectively. In order to generate future growth, we plan to continue to expand and leverage our sales and marketing infrastructure to increase our customer base and grow our business.</w:t>
      </w:r>
    </w:p>
    <w:p>
      <w:pPr>
        <w:spacing w:after="0" w:line="101" w:lineRule="exact"/>
        <w:rPr>
          <w:sz w:val="20"/>
          <w:szCs w:val="20"/>
          <w:color w:val="auto"/>
        </w:rPr>
      </w:pPr>
    </w:p>
    <w:p>
      <w:pPr>
        <w:ind w:firstLine="374"/>
        <w:spacing w:after="0" w:line="262" w:lineRule="auto"/>
        <w:rPr>
          <w:sz w:val="20"/>
          <w:szCs w:val="20"/>
          <w:color w:val="auto"/>
        </w:rPr>
      </w:pPr>
      <w:r>
        <w:rPr>
          <w:rFonts w:ascii="Times New Roman" w:cs="Times New Roman" w:eastAsia="Times New Roman" w:hAnsi="Times New Roman"/>
          <w:sz w:val="18"/>
          <w:szCs w:val="18"/>
          <w:color w:val="auto"/>
        </w:rPr>
        <w:t>Identifying and recruiting qualified sales and marketing personnel and training them on our products, applicable federal and state laws and regulations, and on our internal policies and procedures requires significant time, expense and attention. It often takes several months or more before a sales representative is fully trained and productive. Our business may be harmed if our efforts to expand and train our sales force do not generate a corresponding increase in revenue, or in the event we are unable to reduce costs in the face of an unexpected decline in demand for our products. Any failure to hire, develop and retain talented sales and marketing personnel, to achieve desired productivity levels in a reasonable timeframe or timely leverage our fixed costs could have a material adverse effect on our business, financial condition and results of operations. Moreover, the members of our direct sales force are at-will employees. The loss of these personnel to competitors or otherwise could materially harm our business. If we are unable to retain our direct sales force personnel or replace them with individuals of equivalent technical expertise and qualifications, or if we are unable to successfully instill technical expertise in replacement personnel, our revenue and results of operations could be materially harmed.</w:t>
      </w:r>
    </w:p>
    <w:p>
      <w:pPr>
        <w:spacing w:after="0" w:line="126" w:lineRule="exact"/>
        <w:rPr>
          <w:sz w:val="20"/>
          <w:szCs w:val="20"/>
          <w:color w:val="auto"/>
        </w:rPr>
      </w:pPr>
    </w:p>
    <w:p>
      <w:pPr>
        <w:ind w:right="40" w:firstLine="374"/>
        <w:spacing w:after="0" w:line="263" w:lineRule="auto"/>
        <w:rPr>
          <w:sz w:val="20"/>
          <w:szCs w:val="20"/>
          <w:color w:val="auto"/>
        </w:rPr>
      </w:pPr>
      <w:r>
        <w:rPr>
          <w:rFonts w:ascii="Times New Roman" w:cs="Times New Roman" w:eastAsia="Times New Roman" w:hAnsi="Times New Roman"/>
          <w:sz w:val="18"/>
          <w:szCs w:val="18"/>
          <w:color w:val="auto"/>
        </w:rPr>
        <w:t>Our ability to increase our customer base and achieve broader market acceptance of our products will also depend to a significant extent on our ability to expand our marketing efforts. Our business may be harmed if our marketing efforts and expenditures do not generate a corresponding increase in revenue. In addition, we believe that developing and maintaining broad awareness of our brand in a cost-effective manner is critical to achieving broad acceptance of our products and penetrating new customer accounts. Brand promotion activities may not generate patient or doctor awareness or increased revenue, and even if they do, any increase in revenue may not offset the costs and expenses we incur in building our brand. If we fail to successfully promote, maintain and protect our brand, we may fail to attract or retain the doctor acceptance necessary to realize a sufficient return on our brand building efforts, or to achieve the level of brand awareness that is critical for broad adoption of our products.</w:t>
      </w:r>
    </w:p>
    <w:p>
      <w:pPr>
        <w:spacing w:after="0" w:line="113" w:lineRule="exact"/>
        <w:rPr>
          <w:sz w:val="20"/>
          <w:szCs w:val="20"/>
          <w:color w:val="auto"/>
        </w:rPr>
      </w:pPr>
    </w:p>
    <w:p>
      <w:pPr>
        <w:ind w:right="160" w:firstLine="374"/>
        <w:spacing w:after="0" w:line="263" w:lineRule="auto"/>
        <w:rPr>
          <w:sz w:val="20"/>
          <w:szCs w:val="20"/>
          <w:color w:val="auto"/>
        </w:rPr>
      </w:pPr>
      <w:r>
        <w:rPr>
          <w:rFonts w:ascii="Times New Roman" w:cs="Times New Roman" w:eastAsia="Times New Roman" w:hAnsi="Times New Roman"/>
          <w:sz w:val="18"/>
          <w:szCs w:val="18"/>
          <w:color w:val="auto"/>
        </w:rPr>
        <w:t>These factors also make it difficult for us to forecast our financial performance and growth, and such forecasts are subject to a number of uncertainties, including our ability to successfully develop additional products that add functionality, reduce the cost of products sold, and broaden our commercial portfolio offerings and our ability to obtain the required regulatory approvals and clearances under applicable law both domestically and internationally, including FDA 510(k) clearance or pre-market approval, or PMA, for, and successfully commercialize, market and sell, our planned or future products in the United States or in international markets. If our assumptions regarding the risks and uncertainties we face, which we use to plan our business, are incorrect or change due to circumstances in our business or our markets, or if we do not address these risks successfully, our operating and financial results could differ materially from our expectations and our business could suffer.</w:t>
      </w:r>
    </w:p>
    <w:p>
      <w:pPr>
        <w:spacing w:after="0" w:line="109" w:lineRule="exact"/>
        <w:rPr>
          <w:sz w:val="20"/>
          <w:szCs w:val="20"/>
          <w:color w:val="auto"/>
        </w:rPr>
      </w:pPr>
    </w:p>
    <w:p>
      <w:pPr>
        <w:ind w:right="100"/>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net losses, and we expect to continue to incur losses for the foreseeable future. If we ever achieve profitability, we may not be able to sustain it.</w:t>
      </w:r>
    </w:p>
    <w:p>
      <w:pPr>
        <w:spacing w:after="0" w:line="37" w:lineRule="exact"/>
        <w:rPr>
          <w:sz w:val="20"/>
          <w:szCs w:val="20"/>
          <w:color w:val="auto"/>
        </w:rPr>
      </w:pPr>
    </w:p>
    <w:p>
      <w:pPr>
        <w:ind w:right="60" w:firstLine="374"/>
        <w:spacing w:after="0" w:line="266" w:lineRule="auto"/>
        <w:rPr>
          <w:sz w:val="20"/>
          <w:szCs w:val="20"/>
          <w:color w:val="auto"/>
        </w:rPr>
      </w:pPr>
      <w:r>
        <w:rPr>
          <w:rFonts w:ascii="Times New Roman" w:cs="Times New Roman" w:eastAsia="Times New Roman" w:hAnsi="Times New Roman"/>
          <w:sz w:val="18"/>
          <w:szCs w:val="18"/>
          <w:color w:val="auto"/>
        </w:rPr>
        <w:t>We have incurred losses from operations since our inception and expect to continue to incur losses from operations for the foreseeable future. We reported losses from operations of $52.8 million and $35.4 million for the years ended December 31, 2021 and 2020, respectively and $16.6 million for the three months ended March 31, 2022. As a result of these losses, as of March 31, 2022, we had an accumulated deficit of $496.9 million. We expect to continue to incur significant sales and marketing, research and development, regulatory and other expenses as we expand our marketing efforts to increase adoption of our products, expand existing relationships with our customers, obtain regulatory clearances or approvals for our planned or future products, conduct clinical trials on our existing and planned or future products and develop new products or add new features to our existing products. In addition, we expect our general and administrative expenses to increase due to the additional costs associated with being a public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1" w:name="page42"/>
    <w:bookmarkEnd w:id="41"/>
    <w:p>
      <w:pPr>
        <w:ind w:right="420" w:firstLine="374"/>
        <w:spacing w:after="0" w:line="312" w:lineRule="auto"/>
        <w:rPr>
          <w:sz w:val="20"/>
          <w:szCs w:val="20"/>
          <w:color w:val="auto"/>
        </w:rPr>
      </w:pPr>
      <w:r>
        <w:rPr>
          <w:rFonts w:ascii="Times New Roman" w:cs="Times New Roman" w:eastAsia="Times New Roman" w:hAnsi="Times New Roman"/>
          <w:sz w:val="17"/>
          <w:szCs w:val="17"/>
          <w:color w:val="auto"/>
        </w:rPr>
        <w:t>The net losses that we incur may fluctuate significantly from period to period. We will need to generate significant additional revenue in order to achieve and sustain profitability. Even if we achieve profitability, we cannot be sure that we will remain profitable for any substantial period of time.</w:t>
      </w:r>
    </w:p>
    <w:p>
      <w:pPr>
        <w:spacing w:after="0" w:line="8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support our continued operations and the growth of our business, we may seek to raise additional capital, which may not be available to us on acceptable terms, or at all.</w:t>
      </w:r>
    </w:p>
    <w:p>
      <w:pPr>
        <w:spacing w:after="0" w:line="64" w:lineRule="exact"/>
        <w:rPr>
          <w:sz w:val="20"/>
          <w:szCs w:val="20"/>
          <w:color w:val="auto"/>
        </w:rPr>
      </w:pPr>
    </w:p>
    <w:p>
      <w:pPr>
        <w:ind w:right="120" w:firstLine="374"/>
        <w:spacing w:after="0" w:line="263" w:lineRule="auto"/>
        <w:rPr>
          <w:sz w:val="20"/>
          <w:szCs w:val="20"/>
          <w:color w:val="auto"/>
        </w:rPr>
      </w:pPr>
      <w:r>
        <w:rPr>
          <w:rFonts w:ascii="Times New Roman" w:cs="Times New Roman" w:eastAsia="Times New Roman" w:hAnsi="Times New Roman"/>
          <w:sz w:val="18"/>
          <w:szCs w:val="18"/>
          <w:color w:val="auto"/>
        </w:rPr>
        <w:t>We expect capital expenditures and operating expenses to increase over the next several years as we continue to operate our business and expand our infrastructure, commercial operations and research and development activities. Our primary uses of capital are, and we expect will continue to be, investment in our commercial organization and related expenses, clinical research and development services, laboratory and related supplies, legal and other regulatory expenses, general administrative costs and working capital. In addition, we may in the future seek to acquire or invest in additional businesses, products, services or technologies that we believe could complement or expand our product portfolio, enhance our technical capabilities or otherwise offer growth opportunities.</w:t>
      </w:r>
    </w:p>
    <w:p>
      <w:pPr>
        <w:spacing w:after="0" w:line="111" w:lineRule="exact"/>
        <w:rPr>
          <w:sz w:val="20"/>
          <w:szCs w:val="20"/>
          <w:color w:val="auto"/>
        </w:rPr>
      </w:pPr>
    </w:p>
    <w:p>
      <w:pPr>
        <w:ind w:right="180" w:firstLine="374"/>
        <w:spacing w:after="0" w:line="297" w:lineRule="auto"/>
        <w:rPr>
          <w:sz w:val="20"/>
          <w:szCs w:val="20"/>
          <w:color w:val="auto"/>
        </w:rPr>
      </w:pPr>
      <w:r>
        <w:rPr>
          <w:rFonts w:ascii="Times New Roman" w:cs="Times New Roman" w:eastAsia="Times New Roman" w:hAnsi="Times New Roman"/>
          <w:sz w:val="18"/>
          <w:szCs w:val="18"/>
          <w:color w:val="auto"/>
        </w:rPr>
        <w:t>Because of these and other factors, we expect to continue to incur substantial net losses and negative cash flows from operations for at least the next several years. Our future liquidity and capital funding requirements will depend on numerous factors, including:</w:t>
      </w:r>
    </w:p>
    <w:p>
      <w:pPr>
        <w:spacing w:after="0" w:line="82" w:lineRule="exact"/>
        <w:rPr>
          <w:sz w:val="20"/>
          <w:szCs w:val="20"/>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growth;</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efforts;</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and marketing activities;</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leveraging future strategic partnerships;</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funds to finance our operations;</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costs and timing of any clinical trial results for our current or future products;</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and effect of competing or complementary products;</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amount of reimbursement for procedures using our products;</w:t>
      </w:r>
    </w:p>
    <w:p>
      <w:pPr>
        <w:spacing w:after="0" w:line="144" w:lineRule="exact"/>
        <w:rPr>
          <w:rFonts w:ascii="Times New Roman" w:cs="Times New Roman" w:eastAsia="Times New Roman" w:hAnsi="Times New Roman"/>
          <w:sz w:val="18"/>
          <w:szCs w:val="18"/>
          <w:color w:val="auto"/>
        </w:rPr>
      </w:pPr>
    </w:p>
    <w:p>
      <w:pPr>
        <w:ind w:left="1140" w:right="20" w:hanging="383"/>
        <w:spacing w:after="0" w:line="258"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expand, enforce and defend our intellectual property portfolio, including the amount and timing of any payments we may be required to make, or that we may receive, in connection with the licensing, filing, prosecution, maintenance, defense and enforcement of any patents or other intellectual property rights;</w:t>
      </w:r>
    </w:p>
    <w:p>
      <w:pPr>
        <w:spacing w:after="0" w:line="10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employees and the need and ability to hire additional management and sales, scientific and medical personnel;</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collaborative, licensing or other arrangements that we have or may establish;</w:t>
      </w:r>
    </w:p>
    <w:p>
      <w:pPr>
        <w:spacing w:after="0" w:line="130"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requirements;</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or technologies; and</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w:t>
      </w:r>
    </w:p>
    <w:p>
      <w:pPr>
        <w:spacing w:after="0" w:line="144"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If we determine that we need to raise additional funds, we may do so through equity or debt financings, which may not be available to us when needed or on terms that we deem to be favorable. To the extent that we raise additional capital through the sale of equity or convertible debt securities, the ownership interests of our stockholders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are unable to</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42" w:name="page43"/>
    <w:bookmarkEnd w:id="42"/>
    <w:p>
      <w:pPr>
        <w:ind w:right="100"/>
        <w:spacing w:after="0" w:line="312" w:lineRule="auto"/>
        <w:rPr>
          <w:sz w:val="20"/>
          <w:szCs w:val="20"/>
          <w:color w:val="auto"/>
        </w:rPr>
      </w:pPr>
      <w:r>
        <w:rPr>
          <w:rFonts w:ascii="Times New Roman" w:cs="Times New Roman" w:eastAsia="Times New Roman" w:hAnsi="Times New Roman"/>
          <w:sz w:val="17"/>
          <w:szCs w:val="17"/>
          <w:color w:val="auto"/>
        </w:rPr>
        <w:t>maintain sufficient financial resources, our business, financial condition and results of operations will be materially and adversely affected, including potentially requiring us to delay, limit, reduce or terminate certain of our product discovery and development activities or future commercialization efforts.</w:t>
      </w:r>
    </w:p>
    <w:p>
      <w:pPr>
        <w:spacing w:after="0" w:line="86" w:lineRule="exact"/>
        <w:rPr>
          <w:sz w:val="20"/>
          <w:szCs w:val="20"/>
          <w:color w:val="auto"/>
        </w:rPr>
      </w:pPr>
    </w:p>
    <w:p>
      <w:pPr>
        <w:ind w:right="40" w:firstLine="374"/>
        <w:spacing w:after="0" w:line="266" w:lineRule="auto"/>
        <w:rPr>
          <w:sz w:val="20"/>
          <w:szCs w:val="20"/>
          <w:color w:val="auto"/>
        </w:rPr>
      </w:pPr>
      <w:r>
        <w:rPr>
          <w:rFonts w:ascii="Times New Roman" w:cs="Times New Roman" w:eastAsia="Times New Roman" w:hAnsi="Times New Roman"/>
          <w:sz w:val="18"/>
          <w:szCs w:val="18"/>
          <w:color w:val="auto"/>
        </w:rPr>
        <w:t>Moreover, in the event that we enter into collaborations or licensing arrangements to raise capital, we may be required to accept unfavorable terms. These agreements may require that we relinquish or license to a third party on unfavorable terms our rights to products or technologies we otherwise would seek to develop or commercialize ourselves, or reserve certain opportunities for future potential arrangements when we might be able to achieve more favorable terms.</w:t>
      </w:r>
    </w:p>
    <w:p>
      <w:pPr>
        <w:spacing w:after="0" w:line="108" w:lineRule="exact"/>
        <w:rPr>
          <w:sz w:val="20"/>
          <w:szCs w:val="20"/>
          <w:color w:val="auto"/>
        </w:rPr>
      </w:pPr>
    </w:p>
    <w:p>
      <w:pPr>
        <w:ind w:right="80" w:firstLine="374"/>
        <w:spacing w:after="0" w:line="266" w:lineRule="auto"/>
        <w:rPr>
          <w:sz w:val="20"/>
          <w:szCs w:val="20"/>
          <w:color w:val="auto"/>
        </w:rPr>
      </w:pPr>
      <w:r>
        <w:rPr>
          <w:rFonts w:ascii="Times New Roman" w:cs="Times New Roman" w:eastAsia="Times New Roman" w:hAnsi="Times New Roman"/>
          <w:sz w:val="18"/>
          <w:szCs w:val="18"/>
          <w:color w:val="auto"/>
        </w:rPr>
        <w:t>As of March 31, 2022 and December 31, 2021, we had $143.8 million and $159.3 million, respectively, in cash, cash equivalents and short-term investments. While we believe that our existing cash, cash equivalents and short-term investments and anticipated cash generated from sales of our products will be sufficient to meet our anticipated cash needs for at least 12 months following the date of this Quarterly Report on Form 10-Q, we cannot assure you that we will be able to generate sufficient liquidity as and when needed. We have based this estimate on assumptions that may prove to be wrong, and we could use our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05" w:lineRule="exact"/>
        <w:rPr>
          <w:sz w:val="20"/>
          <w:szCs w:val="20"/>
          <w:color w:val="auto"/>
        </w:rPr>
      </w:pPr>
    </w:p>
    <w:p>
      <w:pPr>
        <w:ind w:right="20" w:firstLine="374"/>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The terms of our amended term loan place restrictions on our operating and financial flexibility, and failure to comply with covenants or to satisfy certain conditions of the agreement governing the term loan may result in acceleration of our repayment obligations and foreclosure on our pledged assets, which could significantly harm our liquidity, financial condition, operating results, business and prospects and cause the price of our securities to decline.</w:t>
      </w:r>
    </w:p>
    <w:p>
      <w:pPr>
        <w:spacing w:after="0" w:line="102" w:lineRule="exact"/>
        <w:rPr>
          <w:sz w:val="20"/>
          <w:szCs w:val="20"/>
          <w:color w:val="auto"/>
        </w:rPr>
      </w:pPr>
    </w:p>
    <w:p>
      <w:pPr>
        <w:ind w:right="60" w:firstLine="374"/>
        <w:spacing w:after="0" w:line="271" w:lineRule="auto"/>
        <w:rPr>
          <w:sz w:val="20"/>
          <w:szCs w:val="20"/>
          <w:color w:val="auto"/>
        </w:rPr>
      </w:pPr>
      <w:r>
        <w:rPr>
          <w:rFonts w:ascii="Times New Roman" w:cs="Times New Roman" w:eastAsia="Times New Roman" w:hAnsi="Times New Roman"/>
          <w:sz w:val="18"/>
          <w:szCs w:val="18"/>
          <w:color w:val="auto"/>
        </w:rPr>
        <w:t>Our credit facility (“Amended Term Loan”) with Oxford Finance, provides for a $60.0 million term-loan facility scheduled to mature on February 1, 2027, of which $40.0 million was fully drawn on as of May 1, 2022. Subject to the terms and conditions of the Amended Term Loan, we may borrow up to $10.0 million during the second quarter of 2023 and up to another $10.0 million in the third quarter of 2023. We refer to our Amended Term Loan collectively as our credit facility.</w:t>
      </w:r>
    </w:p>
    <w:p>
      <w:pPr>
        <w:spacing w:after="0" w:line="105" w:lineRule="exact"/>
        <w:rPr>
          <w:sz w:val="20"/>
          <w:szCs w:val="20"/>
          <w:color w:val="auto"/>
        </w:rPr>
      </w:pPr>
    </w:p>
    <w:p>
      <w:pPr>
        <w:ind w:right="140" w:firstLine="374"/>
        <w:spacing w:after="0" w:line="266" w:lineRule="auto"/>
        <w:rPr>
          <w:sz w:val="20"/>
          <w:szCs w:val="20"/>
          <w:color w:val="auto"/>
        </w:rPr>
      </w:pPr>
      <w:r>
        <w:rPr>
          <w:rFonts w:ascii="Times New Roman" w:cs="Times New Roman" w:eastAsia="Times New Roman" w:hAnsi="Times New Roman"/>
          <w:sz w:val="18"/>
          <w:szCs w:val="18"/>
          <w:color w:val="auto"/>
        </w:rPr>
        <w:t>Our payment obligations under the Amended Term Loan reduce cash available to fund working capital, capital expenditures, research and development and general corporate needs. In addition, indebtedness under the Amended Term Loan bears interest at a variable rate, making us vulnerable to increases in market interest rates. If market rates increase, we will have to pay additional interest on this indebtedness, which would further reduce cash available for our other business needs.</w:t>
      </w:r>
    </w:p>
    <w:p>
      <w:pPr>
        <w:spacing w:after="0" w:line="122" w:lineRule="exact"/>
        <w:rPr>
          <w:sz w:val="20"/>
          <w:szCs w:val="20"/>
          <w:color w:val="auto"/>
        </w:rPr>
      </w:pPr>
    </w:p>
    <w:p>
      <w:pPr>
        <w:ind w:right="40" w:firstLine="374"/>
        <w:spacing w:after="0" w:line="263" w:lineRule="auto"/>
        <w:rPr>
          <w:sz w:val="20"/>
          <w:szCs w:val="20"/>
          <w:color w:val="auto"/>
        </w:rPr>
      </w:pPr>
      <w:r>
        <w:rPr>
          <w:rFonts w:ascii="Times New Roman" w:cs="Times New Roman" w:eastAsia="Times New Roman" w:hAnsi="Times New Roman"/>
          <w:sz w:val="18"/>
          <w:szCs w:val="18"/>
          <w:color w:val="auto"/>
        </w:rPr>
        <w:t>Our obligations under the Amended Term Loan are secured by substantially all of our assets, excluding intellectual property. The security interest granted over our assets could limit our ability to obtain additional debt financing. The Amended Term Loan also requires us to comply with a number of other covenants (affirmative and negative), including restrictive covenants that limit our ability to: incur additional indebtedness; encumber the collateral securing the loan; acquire, own or make investments; repurchase or redeem any class of stock or other equity interest; declare or pay any cash dividend or make a cash distribution on any class of stock or other equity interest; dispose of a portion of our assets; acquire other businesses; and merge or consolidate with or into any other organization or otherwise suffer a change in control, in each case subject to exceptions.</w:t>
      </w:r>
    </w:p>
    <w:p>
      <w:pPr>
        <w:spacing w:after="0" w:line="111"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In addition to other specified events of default, the lenders could declare an event of default upon the occurrence of any event that they interpret as having a material impairment on their lien on the collateral under the agreement, a material adverse change in our business, operations or condition (financial or otherwise) or a material impairment in the prospect of repayment of our obligations under the agreement. If we default under the credit facility, the lenders may accelerate all of our repayment obligations and, if we are unable to access funds to meet those obligations or to renegotiate our agreement, the lenders could take control of our pledged assets and we would have to immediately cease operations. During the continuance of an event of default, the then-applicable interest rate on the then-outstanding principal balance will increase by 5.0%. Upon an event of default, the lenders could also</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3" w:name="page44"/>
    <w:bookmarkEnd w:id="43"/>
    <w:p>
      <w:pPr>
        <w:ind w:right="20"/>
        <w:spacing w:after="0" w:line="266" w:lineRule="auto"/>
        <w:rPr>
          <w:sz w:val="20"/>
          <w:szCs w:val="20"/>
          <w:color w:val="auto"/>
        </w:rPr>
      </w:pPr>
      <w:r>
        <w:rPr>
          <w:rFonts w:ascii="Times New Roman" w:cs="Times New Roman" w:eastAsia="Times New Roman" w:hAnsi="Times New Roman"/>
          <w:sz w:val="18"/>
          <w:szCs w:val="18"/>
          <w:color w:val="auto"/>
        </w:rPr>
        <w:t>require us to repay the loan immediately, together with a final payment charge of 5.0% of the total term loan advances we borrowed, together with other fees. If we were to renegotiate the agreement under such circumstances, the terms may be significantly less favorable to us. If we were liquidated, the lenders’ right to repayment would be senior to the rights of our stockholders to receive any proceeds from the liquidation. Any declaration by the lenders of an event of default could significantly harm our liquidity, financial condition, operating results, business, and prospects and cause the price of our securities to decline.</w:t>
      </w:r>
    </w:p>
    <w:p>
      <w:pPr>
        <w:spacing w:after="0" w:line="108" w:lineRule="exact"/>
        <w:rPr>
          <w:sz w:val="20"/>
          <w:szCs w:val="20"/>
          <w:color w:val="auto"/>
        </w:rPr>
      </w:pPr>
    </w:p>
    <w:p>
      <w:pPr>
        <w:jc w:val="both"/>
        <w:ind w:right="260" w:firstLine="374"/>
        <w:spacing w:after="0" w:line="274" w:lineRule="auto"/>
        <w:rPr>
          <w:sz w:val="20"/>
          <w:szCs w:val="20"/>
          <w:color w:val="auto"/>
        </w:rPr>
      </w:pPr>
      <w:r>
        <w:rPr>
          <w:rFonts w:ascii="Times New Roman" w:cs="Times New Roman" w:eastAsia="Times New Roman" w:hAnsi="Times New Roman"/>
          <w:sz w:val="18"/>
          <w:szCs w:val="18"/>
          <w:color w:val="auto"/>
        </w:rPr>
        <w:t>We may incur additional indebtedness in the future. The debt instruments governing such indebtedness may contain provisions that are as, or more, restrictive than the provisions governing our existing indebtedness. If we are unable to repay, refinance or restructure our indebtedness when payment is due, the lenders could proceed against the collateral or force us into bankruptcy or liquidation.</w:t>
      </w:r>
    </w:p>
    <w:p>
      <w:pPr>
        <w:spacing w:after="0" w:line="97" w:lineRule="exact"/>
        <w:rPr>
          <w:sz w:val="20"/>
          <w:szCs w:val="20"/>
          <w:color w:val="auto"/>
        </w:rPr>
      </w:pPr>
    </w:p>
    <w:p>
      <w:pPr>
        <w:ind w:right="520" w:firstLine="374"/>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large part on our RxSight system. If we are unable to successfully market and sell our RxSight system, our business prospects will be significantly harmed, and we may be unable to achieve revenue growth.</w:t>
      </w:r>
    </w:p>
    <w:p>
      <w:pPr>
        <w:spacing w:after="0" w:line="77" w:lineRule="exact"/>
        <w:rPr>
          <w:sz w:val="20"/>
          <w:szCs w:val="20"/>
          <w:color w:val="auto"/>
        </w:rPr>
      </w:pPr>
    </w:p>
    <w:p>
      <w:pPr>
        <w:ind w:right="280" w:firstLine="374"/>
        <w:spacing w:after="0" w:line="274" w:lineRule="auto"/>
        <w:rPr>
          <w:sz w:val="20"/>
          <w:szCs w:val="20"/>
          <w:color w:val="auto"/>
        </w:rPr>
      </w:pPr>
      <w:r>
        <w:rPr>
          <w:rFonts w:ascii="Times New Roman" w:cs="Times New Roman" w:eastAsia="Times New Roman" w:hAnsi="Times New Roman"/>
          <w:sz w:val="18"/>
          <w:szCs w:val="18"/>
          <w:color w:val="auto"/>
        </w:rPr>
        <w:t>Our future financial success will depend substantially on our ability to effectively and profitably market and sell our RxSight system to ophthalmic practices. The commercial success of our RxSight system and any of our planned or future products will depend on a number of factors, including the following:</w:t>
      </w:r>
    </w:p>
    <w:p>
      <w:pPr>
        <w:spacing w:after="0" w:line="101" w:lineRule="exact"/>
        <w:rPr>
          <w:sz w:val="20"/>
          <w:szCs w:val="20"/>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and perceived effectiveness and reliability of our RxSight system, especially relative to alternative products;</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adverse patient events involving our RxSight system;</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relating to our RxSight system;</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sustain meaningful clinical benefits for our patients;</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 to market our planned or future products for use in the United States or internationally;</w:t>
      </w:r>
    </w:p>
    <w:p>
      <w:pPr>
        <w:spacing w:after="0" w:line="144" w:lineRule="exact"/>
        <w:rPr>
          <w:rFonts w:ascii="Times New Roman" w:cs="Times New Roman" w:eastAsia="Times New Roman" w:hAnsi="Times New Roman"/>
          <w:sz w:val="18"/>
          <w:szCs w:val="18"/>
          <w:color w:val="auto"/>
        </w:rPr>
      </w:pPr>
    </w:p>
    <w:p>
      <w:pPr>
        <w:ind w:left="1140" w:right="260" w:hanging="383"/>
        <w:spacing w:after="0" w:line="282"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relative cost and perceived advantages and disadvantages of alternative technologies or treatment methods for conditions treated by our products;</w:t>
      </w:r>
    </w:p>
    <w:p>
      <w:pPr>
        <w:spacing w:after="0" w:line="80" w:lineRule="exact"/>
        <w:rPr>
          <w:rFonts w:ascii="Times New Roman" w:cs="Times New Roman" w:eastAsia="Times New Roman" w:hAnsi="Times New Roman"/>
          <w:sz w:val="18"/>
          <w:szCs w:val="18"/>
          <w:color w:val="auto"/>
        </w:rPr>
      </w:pPr>
    </w:p>
    <w:p>
      <w:pPr>
        <w:ind w:left="1140" w:hanging="383"/>
        <w:spacing w:after="0" w:line="250"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to which treatments using our products are covered and receive adequate reimbursement from third-party payors, including governmental and private insurers, as well as patient willingness to pay for the additional costs associated with our premium intraocular lens out of pocket;</w:t>
      </w:r>
    </w:p>
    <w:p>
      <w:pPr>
        <w:spacing w:after="0" w:line="10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to which doctors adopt our RxSight system;</w:t>
      </w:r>
    </w:p>
    <w:p>
      <w:pPr>
        <w:spacing w:after="0" w:line="144" w:lineRule="exact"/>
        <w:rPr>
          <w:rFonts w:ascii="Times New Roman" w:cs="Times New Roman" w:eastAsia="Times New Roman" w:hAnsi="Times New Roman"/>
          <w:sz w:val="18"/>
          <w:szCs w:val="18"/>
          <w:color w:val="auto"/>
        </w:rPr>
      </w:pPr>
    </w:p>
    <w:p>
      <w:pPr>
        <w:ind w:left="1140" w:right="300" w:hanging="383"/>
        <w:spacing w:after="0" w:line="250"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governmental and private health care providers and payors around the world are increasingly utilizing managed care for the delivery of health care services, centralizing purchasing, limiting the number of vendors that may participate in purchasing programs, forming group purchasing organizations and integrated health delivery networks and pursuing consolidation to improve their purchasing leverage and using competitive bid processes to procure health care products and services;</w:t>
      </w:r>
    </w:p>
    <w:p>
      <w:pPr>
        <w:spacing w:after="0" w:line="10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protect and enforce our intellectual property rights in and to our RxSight system;</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to which patients value the customized vision delivered by the RxSight system and are satisfied with their results;</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and maintaining compliance with regulatory requirements applicable to our products;</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successful in educating doctors about IOLs in general, and the benefits of our RxSight system;</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among doctors;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4" w:name="page45"/>
    <w:bookmarkEnd w:id="44"/>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our marketing and commercial organization;</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marketing and sales efforts in the United States, including our efforts to build out our sales team;</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the commercialization of our products into international markets;</w:t>
      </w:r>
    </w:p>
    <w:p>
      <w:pPr>
        <w:spacing w:after="0" w:line="144" w:lineRule="exact"/>
        <w:rPr>
          <w:rFonts w:ascii="Times New Roman" w:cs="Times New Roman" w:eastAsia="Times New Roman" w:hAnsi="Times New Roman"/>
          <w:sz w:val="18"/>
          <w:szCs w:val="18"/>
          <w:color w:val="auto"/>
        </w:rPr>
      </w:pPr>
    </w:p>
    <w:p>
      <w:pPr>
        <w:ind w:left="1140" w:right="300" w:hanging="383"/>
        <w:spacing w:after="0" w:line="266"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develop, validate and maintain a commercially viable manufacturing process that is compliant with the Quality Systems Regulations (“QSR”), and other applicable foreign, federal and state regulatory requirements;</w:t>
      </w:r>
    </w:p>
    <w:p>
      <w:pPr>
        <w:spacing w:after="0" w:line="9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ongoing or future clinical trials; and</w:t>
      </w:r>
    </w:p>
    <w:p>
      <w:pPr>
        <w:spacing w:after="0" w:line="144" w:lineRule="exact"/>
        <w:rPr>
          <w:rFonts w:ascii="Times New Roman" w:cs="Times New Roman" w:eastAsia="Times New Roman" w:hAnsi="Times New Roman"/>
          <w:sz w:val="18"/>
          <w:szCs w:val="18"/>
          <w:color w:val="auto"/>
        </w:rPr>
      </w:pPr>
    </w:p>
    <w:p>
      <w:pPr>
        <w:ind w:left="1140" w:right="80" w:hanging="383"/>
        <w:spacing w:after="0" w:line="266"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required by the FDA or comparable non-U.S. regulatory authorities to conduct additional clinical trials for current or future indications.</w:t>
      </w:r>
    </w:p>
    <w:p>
      <w:pPr>
        <w:spacing w:after="0" w:line="95" w:lineRule="exact"/>
        <w:rPr>
          <w:sz w:val="20"/>
          <w:szCs w:val="20"/>
          <w:color w:val="auto"/>
        </w:rPr>
      </w:pPr>
    </w:p>
    <w:p>
      <w:pPr>
        <w:ind w:right="120" w:firstLine="374"/>
        <w:spacing w:after="0" w:line="245" w:lineRule="auto"/>
        <w:rPr>
          <w:sz w:val="20"/>
          <w:szCs w:val="20"/>
          <w:color w:val="auto"/>
        </w:rPr>
      </w:pPr>
      <w:r>
        <w:rPr>
          <w:rFonts w:ascii="Times New Roman" w:cs="Times New Roman" w:eastAsia="Times New Roman" w:hAnsi="Times New Roman"/>
          <w:sz w:val="18"/>
          <w:szCs w:val="18"/>
          <w:color w:val="auto"/>
        </w:rPr>
        <w:t>If we fail to successfully market and sell our products, we will not be able to grow our revenue or achieve profitability, which will have a material adverse effect on our business, financial condition and results of operations. Our ability to grow our revenue in future periods will depend on our ability to successfully penetrate our target markets and increase sales of our RxSight system and any new product or product indications that we introduce, which will, in turn, depend in part on our success in growing our user base and driving increased use of our products. New products or product indications will also need to be approved or cleared by the FDA and comparable non-U.S. regulatory agencies in any international markets we target in order to commercialize them. If we cannot achieve revenue growth or achieve or sustain profitability, it could have a material adverse effect on our business, financial condition and results of operations.</w:t>
      </w:r>
    </w:p>
    <w:p>
      <w:pPr>
        <w:spacing w:after="0" w:line="110" w:lineRule="exact"/>
        <w:rPr>
          <w:sz w:val="20"/>
          <w:szCs w:val="20"/>
          <w:color w:val="auto"/>
        </w:rPr>
      </w:pPr>
    </w:p>
    <w:p>
      <w:pPr>
        <w:ind w:right="6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Adoption of our products depends upon appropriate training for doctors, and inadequate training may lead to negative patient outcomes, affect adoption of our products and adversely affect our business.</w:t>
      </w:r>
    </w:p>
    <w:p>
      <w:pPr>
        <w:spacing w:after="0" w:line="63" w:lineRule="exact"/>
        <w:rPr>
          <w:sz w:val="20"/>
          <w:szCs w:val="20"/>
          <w:color w:val="auto"/>
        </w:rPr>
      </w:pPr>
    </w:p>
    <w:p>
      <w:pPr>
        <w:ind w:firstLine="374"/>
        <w:spacing w:after="0" w:line="242" w:lineRule="auto"/>
        <w:rPr>
          <w:sz w:val="20"/>
          <w:szCs w:val="20"/>
          <w:color w:val="auto"/>
        </w:rPr>
      </w:pPr>
      <w:r>
        <w:rPr>
          <w:rFonts w:ascii="Times New Roman" w:cs="Times New Roman" w:eastAsia="Times New Roman" w:hAnsi="Times New Roman"/>
          <w:sz w:val="18"/>
          <w:szCs w:val="18"/>
          <w:color w:val="auto"/>
        </w:rPr>
        <w:t>The success of our products depends in part on our customers’ adherence to appropriate patient selection and proper techniques provided in training sessions conducted by our training faculty. For example, we train our customers to ensure correct use of our RxSight system. However, doctors rely on their previous medical training and experience, and we cannot guarantee that all such doctors will have the necessary skills or training to effectively utilize our products. We do not control which doctors use our products or how much training they receive, and doctors who have not completed our training sessions may nonetheless attempt to use our products. In addition, doctors may use our products in a manner that is not consistent with their labeled indications for which no training is available. If doctors use our products in a manner that is inconsistent with their labeled indications, with components that are not compatible with our products or otherwise without adhering to or completing our training sessions, their patient outcomes may not be consistent with the outcomes achieved by other doctors or in our clinical trials. This result may negatively impact the perception of patient benefit and safety and limit adoption of our products, which would have a material adverse effect on our business, financial condition and results of operations.</w:t>
      </w:r>
    </w:p>
    <w:p>
      <w:pPr>
        <w:spacing w:after="0" w:line="120" w:lineRule="exact"/>
        <w:rPr>
          <w:sz w:val="20"/>
          <w:szCs w:val="20"/>
          <w:color w:val="auto"/>
        </w:rPr>
      </w:pPr>
    </w:p>
    <w:p>
      <w:pPr>
        <w:ind w:right="40" w:firstLine="374"/>
        <w:spacing w:after="0" w:line="250" w:lineRule="auto"/>
        <w:rPr>
          <w:sz w:val="20"/>
          <w:szCs w:val="20"/>
          <w:color w:val="auto"/>
        </w:rPr>
      </w:pPr>
      <w:r>
        <w:rPr>
          <w:rFonts w:ascii="Times New Roman" w:cs="Times New Roman" w:eastAsia="Times New Roman" w:hAnsi="Times New Roman"/>
          <w:sz w:val="18"/>
          <w:szCs w:val="18"/>
          <w:color w:val="auto"/>
        </w:rPr>
        <w:t>We currently require limited training in the use of our products because we market primarily to doctors who are experienced in the specific techniques required to use our devices. If demand for our products continues to grow, less experienced doctors will likely use our products, potentially leading to more injury and an increased risk of product liability claims. The use or misuse of our products may in the future result in complications and potentially lead to product liability claims.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commercial success of our RxSight system will depend upon attaining significant market acceptance of these products among patients and doctors.</w:t>
      </w:r>
    </w:p>
    <w:p>
      <w:pPr>
        <w:spacing w:after="0" w:line="108" w:lineRule="exact"/>
        <w:rPr>
          <w:sz w:val="20"/>
          <w:szCs w:val="20"/>
          <w:color w:val="auto"/>
        </w:rPr>
      </w:pPr>
    </w:p>
    <w:p>
      <w:pPr>
        <w:ind w:right="20" w:firstLine="374"/>
        <w:spacing w:after="0" w:line="264" w:lineRule="auto"/>
        <w:rPr>
          <w:sz w:val="20"/>
          <w:szCs w:val="20"/>
          <w:color w:val="auto"/>
        </w:rPr>
      </w:pPr>
      <w:r>
        <w:rPr>
          <w:rFonts w:ascii="Times New Roman" w:cs="Times New Roman" w:eastAsia="Times New Roman" w:hAnsi="Times New Roman"/>
          <w:sz w:val="17"/>
          <w:szCs w:val="17"/>
          <w:color w:val="auto"/>
        </w:rPr>
        <w:t>Our success will depend, in part, on the acceptance of our RxSight system as safe, effective and, with respect to doctors, cost-effective. We cannot predict how quickly, if at all, patients, doctors, or payors will accept our RxSight system or, if accepted, how frequently it will be used. Our RxSight system and planned or future products we may develop or market may never gain broad market acceptance for some or all of our targeted indications. Patients and doctors must believe that our products offer benefits over alternative treatment methods. To date, a substantial majority of our product sales and revenue have been derived from a limited number of customers who have adopted our RxSight system. Our future growth and profitability largely depend on our ability to increase doctors’ awareness of our system and our products and on the willingness of patients and doctors to adopt them. These parties may not</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5" w:name="page46"/>
    <w:bookmarkEnd w:id="45"/>
    <w:p>
      <w:pPr>
        <w:spacing w:after="0" w:line="270" w:lineRule="auto"/>
        <w:rPr>
          <w:sz w:val="20"/>
          <w:szCs w:val="20"/>
          <w:color w:val="auto"/>
        </w:rPr>
      </w:pPr>
      <w:r>
        <w:rPr>
          <w:rFonts w:ascii="Times New Roman" w:cs="Times New Roman" w:eastAsia="Times New Roman" w:hAnsi="Times New Roman"/>
          <w:sz w:val="17"/>
          <w:szCs w:val="17"/>
          <w:color w:val="auto"/>
        </w:rPr>
        <w:t>adopt our products unless they are able to determine, based on experience, clinical data, medical society recommendations and other analyses, that our products are safe, effective and, with respect to providers, cost-effective, on a stand-alone basis and relative to competitors’ products. Patients and doctors must believe that our products offer benefits over alternative treatment methods. Even if we are able to raise awareness, doctors tend to be slow in changing their medical treatment practices and may be hesitant to select our products for recommendation to their patients for a variety of reasons, including:</w:t>
      </w:r>
    </w:p>
    <w:p>
      <w:pPr>
        <w:spacing w:after="0" w:line="92" w:lineRule="exact"/>
        <w:rPr>
          <w:sz w:val="20"/>
          <w:szCs w:val="20"/>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long-standing relationships with competing companies and distributors that sell other products;</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response and negative selling efforts from providers of alternative products;</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experience with our products and concerns that we are relatively new to market;</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or perceived lack of sufficient clinical evidence, including long-term data, supporting safety or clinical benefits;</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commitment and skill development that may be required to gain familiarity and proficiency with our products;</w:t>
      </w:r>
    </w:p>
    <w:p>
      <w:pPr>
        <w:spacing w:after="0" w:line="144" w:lineRule="exact"/>
        <w:rPr>
          <w:rFonts w:ascii="Times New Roman" w:cs="Times New Roman" w:eastAsia="Times New Roman" w:hAnsi="Times New Roman"/>
          <w:sz w:val="18"/>
          <w:szCs w:val="18"/>
          <w:color w:val="auto"/>
        </w:rPr>
      </w:pPr>
    </w:p>
    <w:p>
      <w:pPr>
        <w:ind w:left="1140" w:right="40" w:hanging="383"/>
        <w:spacing w:after="0" w:line="266"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confusion regarding the wide range of commercially available premium IOL offerings and their ability to deliver promised results at near, middle and far distances without reliance on spectacles;</w:t>
      </w:r>
    </w:p>
    <w:p>
      <w:pPr>
        <w:spacing w:after="0" w:line="94" w:lineRule="exact"/>
        <w:rPr>
          <w:rFonts w:ascii="Times New Roman" w:cs="Times New Roman" w:eastAsia="Times New Roman" w:hAnsi="Times New Roman"/>
          <w:sz w:val="18"/>
          <w:szCs w:val="18"/>
          <w:color w:val="auto"/>
        </w:rPr>
      </w:pPr>
    </w:p>
    <w:p>
      <w:pPr>
        <w:ind w:left="1140" w:right="560" w:hanging="383"/>
        <w:spacing w:after="0" w:line="266"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reticence to select a premium IOL due to nonperformance and adverse side effects associated with competing products in the market;</w:t>
      </w:r>
    </w:p>
    <w:p>
      <w:pPr>
        <w:spacing w:after="0" w:line="94" w:lineRule="exact"/>
        <w:rPr>
          <w:rFonts w:ascii="Times New Roman" w:cs="Times New Roman" w:eastAsia="Times New Roman" w:hAnsi="Times New Roman"/>
          <w:sz w:val="18"/>
          <w:szCs w:val="18"/>
          <w:color w:val="auto"/>
        </w:rPr>
      </w:pPr>
    </w:p>
    <w:p>
      <w:pPr>
        <w:ind w:left="1140" w:right="100" w:hanging="383"/>
        <w:spacing w:after="0" w:line="258"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non-compliance with the RxSight system requirement to wear protective glasses following surgery until the LAL is locked to avoid UV exposure and an unintended change to the LAL, resulting in patient dissatisfaction with the results and possible need to remove the LAL; and</w:t>
      </w:r>
    </w:p>
    <w:p>
      <w:pPr>
        <w:spacing w:after="0" w:line="101" w:lineRule="exact"/>
        <w:rPr>
          <w:rFonts w:ascii="Times New Roman" w:cs="Times New Roman" w:eastAsia="Times New Roman" w:hAnsi="Times New Roman"/>
          <w:sz w:val="18"/>
          <w:szCs w:val="18"/>
          <w:color w:val="auto"/>
        </w:rPr>
      </w:pPr>
    </w:p>
    <w:p>
      <w:pPr>
        <w:ind w:left="1140" w:right="240" w:hanging="383"/>
        <w:spacing w:after="0" w:line="266"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generate patient referral due to dissatisfaction with results obtained through treatment with our products, the out-of-pocket cost of treatments using our products or otherwise.</w:t>
      </w:r>
    </w:p>
    <w:p>
      <w:pPr>
        <w:spacing w:after="0" w:line="95" w:lineRule="exact"/>
        <w:rPr>
          <w:sz w:val="20"/>
          <w:szCs w:val="20"/>
          <w:color w:val="auto"/>
        </w:rPr>
      </w:pPr>
    </w:p>
    <w:p>
      <w:pPr>
        <w:ind w:right="180" w:firstLine="374"/>
        <w:spacing w:after="0" w:line="258" w:lineRule="auto"/>
        <w:rPr>
          <w:sz w:val="20"/>
          <w:szCs w:val="20"/>
          <w:color w:val="auto"/>
        </w:rPr>
      </w:pPr>
      <w:r>
        <w:rPr>
          <w:rFonts w:ascii="Times New Roman" w:cs="Times New Roman" w:eastAsia="Times New Roman" w:hAnsi="Times New Roman"/>
          <w:sz w:val="18"/>
          <w:szCs w:val="18"/>
          <w:color w:val="auto"/>
        </w:rPr>
        <w:t>In order for doctors to use our RxSight system, they must make a significant up-front investment to purchase the LDD. This can result in a lengthy sales cycle and require extensive negotiations and management time. If we are unsuccessful in placing LDDs with providers, our sales may decrease, and our operating results may be harmed.</w:t>
      </w:r>
    </w:p>
    <w:p>
      <w:pPr>
        <w:spacing w:after="0" w:line="102" w:lineRule="exact"/>
        <w:rPr>
          <w:sz w:val="20"/>
          <w:szCs w:val="20"/>
          <w:color w:val="auto"/>
        </w:rPr>
      </w:pPr>
    </w:p>
    <w:p>
      <w:pPr>
        <w:jc w:val="both"/>
        <w:ind w:right="600" w:firstLine="374"/>
        <w:spacing w:after="0" w:line="272" w:lineRule="auto"/>
        <w:rPr>
          <w:sz w:val="20"/>
          <w:szCs w:val="20"/>
          <w:color w:val="auto"/>
        </w:rPr>
      </w:pPr>
      <w:r>
        <w:rPr>
          <w:rFonts w:ascii="Times New Roman" w:cs="Times New Roman" w:eastAsia="Times New Roman" w:hAnsi="Times New Roman"/>
          <w:sz w:val="17"/>
          <w:szCs w:val="17"/>
          <w:color w:val="auto"/>
        </w:rPr>
        <w:t>Doctors play a significant role in determining the course of a patient’s treatment, and, as a result, the type of treatment that will be utilized and provided to a patient. We focus our sales, marketing and education efforts primarily on doctors, and aim to educate referring doctors on the patient population that would benefit from our products. However, we cannot assure you that we will achieve broad market acceptance among doctors.</w:t>
      </w:r>
    </w:p>
    <w:p>
      <w:pPr>
        <w:spacing w:after="0" w:line="91" w:lineRule="exact"/>
        <w:rPr>
          <w:sz w:val="20"/>
          <w:szCs w:val="20"/>
          <w:color w:val="auto"/>
        </w:rPr>
      </w:pPr>
    </w:p>
    <w:p>
      <w:pPr>
        <w:ind w:right="80" w:firstLine="374"/>
        <w:spacing w:after="0" w:line="245" w:lineRule="auto"/>
        <w:rPr>
          <w:sz w:val="20"/>
          <w:szCs w:val="20"/>
          <w:color w:val="auto"/>
        </w:rPr>
      </w:pPr>
      <w:r>
        <w:rPr>
          <w:rFonts w:ascii="Times New Roman" w:cs="Times New Roman" w:eastAsia="Times New Roman" w:hAnsi="Times New Roman"/>
          <w:sz w:val="18"/>
          <w:szCs w:val="18"/>
          <w:color w:val="auto"/>
        </w:rPr>
        <w:t>For example, some doctors may choose to utilize our RxSight system on only a subset of their total patient population or may not adopt our RxSight system at all. If we are not able to effectively demonstrate that the use of our RxSight system is beneficial in a broad range of patients, adoption of our product will be limited and may not occur as rapidly as we anticipate or at all, which would have a material adverse effect on our business, financial condition and results of operations. We cannot assure you that our products will achieve broad market acceptance among doctors. Additionally, even if our products achieve market acceptance, they may not maintain that market acceptance over time if competing products, procedures or technologies are considered safer or more cost-effective or otherwise superior. Any failure of our products to generate sufficient demand or to achieve meaningful market acceptance and penetration will harm our future prospects and have a material adverse effect on our business, financial condition and results of operations.</w:t>
      </w:r>
    </w:p>
    <w:p>
      <w:pPr>
        <w:spacing w:after="0" w:line="114" w:lineRule="exact"/>
        <w:rPr>
          <w:sz w:val="20"/>
          <w:szCs w:val="20"/>
          <w:color w:val="auto"/>
        </w:rPr>
      </w:pPr>
    </w:p>
    <w:p>
      <w:pPr>
        <w:ind w:right="100" w:firstLine="374"/>
        <w:spacing w:after="0" w:line="250" w:lineRule="auto"/>
        <w:rPr>
          <w:sz w:val="20"/>
          <w:szCs w:val="20"/>
          <w:color w:val="auto"/>
        </w:rPr>
      </w:pPr>
      <w:r>
        <w:rPr>
          <w:rFonts w:ascii="Times New Roman" w:cs="Times New Roman" w:eastAsia="Times New Roman" w:hAnsi="Times New Roman"/>
          <w:sz w:val="18"/>
          <w:szCs w:val="18"/>
          <w:color w:val="auto"/>
        </w:rPr>
        <w:t>Our reputation among our current or potential customers, as well as among doctors, could also be negatively affected by safety or customer satisfaction issues involving us or our products, including product recalls. Future product recalls or other safety or customer satisfaction issues relating to our reputation could negatively affect our ability to establish or maintain broad adoption of our products, which would harm our future prospects and have a material adverse effect on our business, financial condition and results of operations.</w:t>
      </w:r>
    </w:p>
    <w:p>
      <w:pPr>
        <w:spacing w:after="0" w:line="11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RxSight system involves surgical risks and is contraindicated in certain patients, which may limit adoption.</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46" w:name="page47"/>
    <w:bookmarkEnd w:id="46"/>
    <w:p>
      <w:pPr>
        <w:ind w:right="120" w:firstLine="374"/>
        <w:spacing w:after="0" w:line="250" w:lineRule="auto"/>
        <w:rPr>
          <w:sz w:val="20"/>
          <w:szCs w:val="20"/>
          <w:color w:val="auto"/>
        </w:rPr>
      </w:pPr>
      <w:r>
        <w:rPr>
          <w:rFonts w:ascii="Times New Roman" w:cs="Times New Roman" w:eastAsia="Times New Roman" w:hAnsi="Times New Roman"/>
          <w:sz w:val="18"/>
          <w:szCs w:val="18"/>
          <w:color w:val="auto"/>
        </w:rPr>
        <w:t>Risks of using our products include those associated with cataract surgery and IOL implantation. There are also possible, but rare, complications due to the use of UV light from the LDD, including a temporary or long-lasting change to vision. We are aware of certain characteristics and features of our RxSight system that may prevent widespread market adoption, including the fact that doctors would need to adopt a new procedure, and training for doctors will be required to enable them to effectively operate our products.</w:t>
      </w:r>
    </w:p>
    <w:p>
      <w:pPr>
        <w:spacing w:after="0" w:line="10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and if we are unable to compete effectively, we may not be able to achieve or maintain significant market penetration or improve our results of operations.</w:t>
      </w:r>
    </w:p>
    <w:p>
      <w:pPr>
        <w:spacing w:after="0" w:line="64" w:lineRule="exact"/>
        <w:rPr>
          <w:sz w:val="20"/>
          <w:szCs w:val="20"/>
          <w:color w:val="auto"/>
        </w:rPr>
      </w:pPr>
    </w:p>
    <w:p>
      <w:pPr>
        <w:ind w:firstLine="374"/>
        <w:spacing w:after="0" w:line="242" w:lineRule="auto"/>
        <w:rPr>
          <w:sz w:val="20"/>
          <w:szCs w:val="20"/>
          <w:color w:val="auto"/>
        </w:rPr>
      </w:pPr>
      <w:r>
        <w:rPr>
          <w:rFonts w:ascii="Times New Roman" w:cs="Times New Roman" w:eastAsia="Times New Roman" w:hAnsi="Times New Roman"/>
          <w:sz w:val="18"/>
          <w:szCs w:val="18"/>
          <w:color w:val="auto"/>
        </w:rPr>
        <w:t>The medical device industry is intensely competitive, subject to rapid change and significantly affected by new product introductions and other market activities of industry participants. We compete with manufacturers and distributors of premium and conventional IOLs. Our most significant competitors in the IOL field include Alcon, Johnson &amp; Johnson Vision, Carl Zeiss Meditec, Bausch + Lomb, and Hoya Corporation. Many of our competitors are large, well-capitalized companies with significantly greater market share and resources than we have. Therefore, they can spend more on product development, marketing, sales and other product initiatives than we can. We also compete with smaller medical device companies that have a single product or a limited range of products. In addition, patients who receive an LAL will be required to wear UV protective spectacles until final lock-in which is approximately 4-5 weeks after surgery. They will also be required to return for an additional 2-3 clinic visits compared to traditional monofocal cataract surgery. The additional clinic visits are non-surgical but do require the patient’s eyes to be dilated. Due to these additional requirements, market acceptance of the LAL may be impacted. We believe the principal competitive factors in our markets include:</w:t>
      </w:r>
    </w:p>
    <w:p>
      <w:pPr>
        <w:spacing w:after="0" w:line="120" w:lineRule="exact"/>
        <w:rPr>
          <w:sz w:val="20"/>
          <w:szCs w:val="20"/>
          <w:color w:val="auto"/>
        </w:rPr>
      </w:pPr>
    </w:p>
    <w:p>
      <w:pPr>
        <w:ind w:left="1140" w:hanging="38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of patient outcomes, oftentimes measured by visual acuity, and adverse event rates;</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experience, including patient recovery time and level of discomfort;</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treating doctors and referral sources;</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Doctor learning curves and willingness to adopt new technologies;</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Ease-of-use and reliability;</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benefits and cost savings;</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 of clinical evidence;</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distribution and marketing to surgeons and potential patients; and</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price and qualification for coverage and reimbursement.</w:t>
      </w:r>
    </w:p>
    <w:p>
      <w:pPr>
        <w:spacing w:after="0" w:line="144" w:lineRule="exact"/>
        <w:rPr>
          <w:sz w:val="20"/>
          <w:szCs w:val="20"/>
          <w:color w:val="auto"/>
        </w:rPr>
      </w:pPr>
    </w:p>
    <w:p>
      <w:pPr>
        <w:ind w:right="200" w:firstLine="374"/>
        <w:spacing w:after="0" w:line="266" w:lineRule="auto"/>
        <w:rPr>
          <w:sz w:val="20"/>
          <w:szCs w:val="20"/>
          <w:color w:val="auto"/>
        </w:rPr>
      </w:pPr>
      <w:r>
        <w:rPr>
          <w:rFonts w:ascii="Times New Roman" w:cs="Times New Roman" w:eastAsia="Times New Roman" w:hAnsi="Times New Roman"/>
          <w:sz w:val="18"/>
          <w:szCs w:val="18"/>
          <w:color w:val="auto"/>
        </w:rPr>
        <w:t>We compete primarily on the basis that our products are designed to enable more doctors to treat more patients more efficiently and effectively. Our continued success depends on our ability to:</w:t>
      </w:r>
    </w:p>
    <w:p>
      <w:pPr>
        <w:spacing w:after="0" w:line="95" w:lineRule="exact"/>
        <w:rPr>
          <w:sz w:val="20"/>
          <w:szCs w:val="20"/>
          <w:color w:val="auto"/>
        </w:rPr>
      </w:pPr>
    </w:p>
    <w:p>
      <w:pPr>
        <w:ind w:left="1140" w:right="40" w:hanging="383"/>
        <w:spacing w:after="0" w:line="282"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innovative, proprietary products that address significant clinical needs in a manner that is safe and effective for patients and easy-to-use for doctors;</w:t>
      </w:r>
    </w:p>
    <w:p>
      <w:pPr>
        <w:spacing w:after="0" w:line="80"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regulatory clearances or approvals;</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safety and effectiveness in our sponsored and third-party clinical trials;</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sales force across key markets to increase doctors’ awareness;</w:t>
      </w:r>
    </w:p>
    <w:p>
      <w:pPr>
        <w:spacing w:after="0" w:line="130"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coverage and adequate reimbursement for procedures using our products;</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skilled research, development, sales and clinical personnel;</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cost-effectively manufacture, market and sell our products;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47" w:name="page48"/>
    <w:bookmarkEnd w:id="47"/>
    <w:p>
      <w:pPr>
        <w:ind w:left="1140" w:right="80" w:hanging="383"/>
        <w:spacing w:after="0" w:line="266"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doctors with a sufficient return on investment as compared to alternative premium IOL procedures that justifies the upfront cost of our LDD; and</w:t>
      </w:r>
    </w:p>
    <w:p>
      <w:pPr>
        <w:spacing w:after="0" w:line="94" w:lineRule="exact"/>
        <w:rPr>
          <w:rFonts w:ascii="Times New Roman" w:cs="Times New Roman" w:eastAsia="Times New Roman" w:hAnsi="Times New Roman"/>
          <w:sz w:val="18"/>
          <w:szCs w:val="18"/>
          <w:color w:val="auto"/>
        </w:rPr>
      </w:pPr>
    </w:p>
    <w:p>
      <w:pPr>
        <w:ind w:left="1140" w:right="500" w:hanging="383"/>
        <w:spacing w:after="0" w:line="266"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enforce and defend our intellectual property rights and operate our business without infringing, misappropriating or otherwise violating the intellectual property rights of others.</w:t>
      </w:r>
    </w:p>
    <w:p>
      <w:pPr>
        <w:spacing w:after="0" w:line="95" w:lineRule="exact"/>
        <w:rPr>
          <w:sz w:val="20"/>
          <w:szCs w:val="20"/>
          <w:color w:val="auto"/>
        </w:rPr>
      </w:pPr>
    </w:p>
    <w:p>
      <w:pPr>
        <w:ind w:firstLine="374"/>
        <w:spacing w:after="0" w:line="247" w:lineRule="auto"/>
        <w:rPr>
          <w:sz w:val="20"/>
          <w:szCs w:val="20"/>
          <w:color w:val="auto"/>
        </w:rPr>
      </w:pPr>
      <w:r>
        <w:rPr>
          <w:rFonts w:ascii="Times New Roman" w:cs="Times New Roman" w:eastAsia="Times New Roman" w:hAnsi="Times New Roman"/>
          <w:sz w:val="18"/>
          <w:szCs w:val="18"/>
          <w:color w:val="auto"/>
        </w:rPr>
        <w:t>We can provide no assurance that we will be successful in developing new products or commercializing them in ways that achieve market acceptance. If we develop new products, sales of those products may reduce revenue generated from our existing products. Moreover, any significant delays in our product launches may significantly impede our ability to enter or compete in a given market and may reduce the sales that we are able to generate from these products. We may experience delays in any phase of a product development, including during research and development, clinical trials, regulatory review, manufacturing and marketing. Delays in product introductions could have a material adverse effect on our business, financial condition and results of operations.</w:t>
      </w:r>
    </w:p>
    <w:p>
      <w:pPr>
        <w:spacing w:after="0" w:line="112" w:lineRule="exact"/>
        <w:rPr>
          <w:sz w:val="20"/>
          <w:szCs w:val="20"/>
          <w:color w:val="auto"/>
        </w:rPr>
      </w:pPr>
    </w:p>
    <w:p>
      <w:pPr>
        <w:ind w:right="40" w:firstLine="374"/>
        <w:spacing w:after="0" w:line="250" w:lineRule="auto"/>
        <w:rPr>
          <w:sz w:val="20"/>
          <w:szCs w:val="20"/>
          <w:color w:val="auto"/>
        </w:rPr>
      </w:pPr>
      <w:r>
        <w:rPr>
          <w:rFonts w:ascii="Times New Roman" w:cs="Times New Roman" w:eastAsia="Times New Roman" w:hAnsi="Times New Roman"/>
          <w:sz w:val="18"/>
          <w:szCs w:val="18"/>
          <w:color w:val="auto"/>
        </w:rPr>
        <w:t>In addition, many medical device companies are consolidating to create new companies with greater market power. As the medical device industry consolidates, competition to provide goods and services to industry participants will become more intense. These industry participants may try to use their market power to negotiate price concessions or reductions for our products. If we reduce our prices because of consolidation in the healthcare industry, our revenue may decrease, which could have a material adverse effect on our business, financial condition and results of operations.</w:t>
      </w:r>
    </w:p>
    <w:p>
      <w:pPr>
        <w:spacing w:after="0" w:line="10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facilities become damaged or inoperable, or if we are required to vacate a facility, we may be unable to manufacture our products or we may experience delays in production or an increase in costs, which could adversely affect our results of operations.</w:t>
      </w:r>
    </w:p>
    <w:p>
      <w:pPr>
        <w:spacing w:after="0" w:line="64" w:lineRule="exact"/>
        <w:rPr>
          <w:sz w:val="20"/>
          <w:szCs w:val="20"/>
          <w:color w:val="auto"/>
        </w:rPr>
      </w:pPr>
    </w:p>
    <w:p>
      <w:pPr>
        <w:ind w:firstLine="374"/>
        <w:spacing w:after="0" w:line="241" w:lineRule="auto"/>
        <w:rPr>
          <w:sz w:val="20"/>
          <w:szCs w:val="20"/>
          <w:color w:val="auto"/>
        </w:rPr>
      </w:pPr>
      <w:r>
        <w:rPr>
          <w:rFonts w:ascii="Times New Roman" w:cs="Times New Roman" w:eastAsia="Times New Roman" w:hAnsi="Times New Roman"/>
          <w:sz w:val="18"/>
          <w:szCs w:val="18"/>
          <w:color w:val="auto"/>
        </w:rPr>
        <w:t>We currently maintain our research and development, manufacturing and administrative operations in Aliso Viejo, California, and we do not have redundant facilities. We operate a single manufacturing facility, and should this facility be significantly damaged or destroyed by natural or man-made disasters, such as earthquakes, fires (both of which are prevalent in California) or other events, it could take months to relocate or rebuild, during which time our employees may seek other positions, our research, development and manufacturing would cease or be delayed and our products may be unavailable. A major interruption in the manufacturing operations at this facility would materially impact our ability to operate. Because of the time required to authorize manufacturing in a new facility under federal, state and non-U.S. regulatory requirements, we may not be able to resume production on a timely basis even if we are able to replace production capacity. While we maintain property and business interruption insurance, such insurance has limits and would not cover all damages, including losses caused by earthquakes or losses we may suffer due to our products being replaced by competitors’ products. The inability to perform our research, development and manufacturing activities if our facilities become inoperable, combined with our limited inventory of materials and components and manufactured products, may cause doctors to discontinue using our products or harm our reputation, and we may be unable to re-establish relationships with such doctors in the future. Consequently, a catastrophic event at our current facility or any future facilities could have a material adverse effect on our business, financial condition and results of operations.</w:t>
      </w:r>
    </w:p>
    <w:p>
      <w:pPr>
        <w:spacing w:after="0" w:line="125" w:lineRule="exact"/>
        <w:rPr>
          <w:sz w:val="20"/>
          <w:szCs w:val="20"/>
          <w:color w:val="auto"/>
        </w:rPr>
      </w:pPr>
    </w:p>
    <w:p>
      <w:pPr>
        <w:ind w:right="40" w:firstLine="374"/>
        <w:spacing w:after="0" w:line="245" w:lineRule="auto"/>
        <w:rPr>
          <w:sz w:val="20"/>
          <w:szCs w:val="20"/>
          <w:color w:val="auto"/>
        </w:rPr>
      </w:pPr>
      <w:r>
        <w:rPr>
          <w:rFonts w:ascii="Times New Roman" w:cs="Times New Roman" w:eastAsia="Times New Roman" w:hAnsi="Times New Roman"/>
          <w:sz w:val="18"/>
          <w:szCs w:val="18"/>
          <w:color w:val="auto"/>
        </w:rPr>
        <w:t>Furthermore, the current leases on our four facilities expire, respectively, on (i) September 30, 2024, with one option to extend for five years; (ii) January 31, 2026, with three options to extend for five years each; (iii) March 31, 2025 with two options to extend for five years each, and (iv) August 31, 2024, with one option to extend for five years. We may be unable to renew our leases or find a new facility on commercially reasonable terms, or at all. If we were unable or unwilling to renew at the proposed rates, relocating our manufacturing facility would involve significant expense in connection with the movement and installation of key manufacturing equipment and any necessary recertification with regulatory bodies, and we cannot assure you that such a move would not delay or otherwise adversely affect our manufacturing activities or operating results. If our manufacturing capabilities were impaired by any such move, we may not be able to manufacture and ship our products in a timely manner, which would adversely impact our business.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Technological change may adversely affect sales of our products and may cause our products to become obsolete.</w:t>
      </w:r>
    </w:p>
    <w:p>
      <w:pPr>
        <w:spacing w:after="0" w:line="135" w:lineRule="exact"/>
        <w:rPr>
          <w:sz w:val="20"/>
          <w:szCs w:val="20"/>
          <w:color w:val="auto"/>
        </w:rPr>
      </w:pPr>
    </w:p>
    <w:p>
      <w:pPr>
        <w:ind w:right="240" w:firstLine="374"/>
        <w:spacing w:after="0" w:line="250" w:lineRule="auto"/>
        <w:rPr>
          <w:sz w:val="20"/>
          <w:szCs w:val="20"/>
          <w:color w:val="auto"/>
        </w:rPr>
      </w:pPr>
      <w:r>
        <w:rPr>
          <w:rFonts w:ascii="Times New Roman" w:cs="Times New Roman" w:eastAsia="Times New Roman" w:hAnsi="Times New Roman"/>
          <w:sz w:val="18"/>
          <w:szCs w:val="18"/>
          <w:color w:val="auto"/>
        </w:rPr>
        <w:t>The medical device market is characterized by extensive research and development and rapid technological change. There can be no assurance that other companies, including current competitors or new entrants, will not succeed in developing or marketing products that are more effective than our products or that would render our</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51" w:right="379" w:bottom="1440" w:gutter="0" w:footer="0" w:header="0"/>
        </w:sectPr>
      </w:pPr>
    </w:p>
    <w:bookmarkStart w:id="48" w:name="page49"/>
    <w:bookmarkEnd w:id="48"/>
    <w:p>
      <w:pPr>
        <w:spacing w:after="0" w:line="244" w:lineRule="auto"/>
        <w:rPr>
          <w:sz w:val="20"/>
          <w:szCs w:val="20"/>
          <w:color w:val="auto"/>
        </w:rPr>
      </w:pPr>
      <w:r>
        <w:rPr>
          <w:rFonts w:ascii="Times New Roman" w:cs="Times New Roman" w:eastAsia="Times New Roman" w:hAnsi="Times New Roman"/>
          <w:sz w:val="18"/>
          <w:szCs w:val="18"/>
          <w:color w:val="auto"/>
        </w:rPr>
        <w:t>products obsolete or noncompetitive. Additionally, new surgical procedures, medications and other therapies could be developed that replace or reduce the importance of our products. If we are unable to innovate successfully, our products could become obsolete and our revenue would decline as our customers purchase our competitors’ products. Our failure to develop new products, applications or features could result from insufficient cash resources, high employee turnover, inability to hire personnel with sufficient technical skills, a lack of other research and development resources or other constraints. Our failure or inability to devote adequate research and development resources or compete effectively with the research and development programs of our current or future competitors could have a material adverse effect on our business, financial condition and results of operations.</w:t>
      </w:r>
    </w:p>
    <w:p>
      <w:pPr>
        <w:spacing w:after="0" w:line="110"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8"/>
          <w:szCs w:val="18"/>
          <w:b w:val="1"/>
          <w:bCs w:val="1"/>
          <w:i w:val="1"/>
          <w:iCs w:val="1"/>
          <w:color w:val="auto"/>
        </w:rPr>
        <w:t>We have limited data and experience regarding the safety and efficacy of our RxSight system. Results of earlier studies may not be predictive of future clinical trial results, and planned studies may not establish an adequate safety or efficacy profile for our RxSight system and other planned or future products, which would affect market acceptance of our RxSight system.</w:t>
      </w:r>
    </w:p>
    <w:p>
      <w:pPr>
        <w:spacing w:after="0" w:line="73" w:lineRule="exact"/>
        <w:rPr>
          <w:sz w:val="20"/>
          <w:szCs w:val="20"/>
          <w:color w:val="auto"/>
        </w:rPr>
      </w:pPr>
    </w:p>
    <w:p>
      <w:pPr>
        <w:ind w:right="100" w:firstLine="374"/>
        <w:spacing w:after="0" w:line="243" w:lineRule="auto"/>
        <w:rPr>
          <w:sz w:val="20"/>
          <w:szCs w:val="20"/>
          <w:color w:val="auto"/>
        </w:rPr>
      </w:pPr>
      <w:r>
        <w:rPr>
          <w:rFonts w:ascii="Times New Roman" w:cs="Times New Roman" w:eastAsia="Times New Roman" w:hAnsi="Times New Roman"/>
          <w:sz w:val="18"/>
          <w:szCs w:val="18"/>
          <w:color w:val="auto"/>
        </w:rPr>
        <w:t>Because our RxSight system technology is a relatively new treatment to optimize vision after cataract surgery, we have performed clinical trials only with limited patient populations. The long-term effects of using our products in a large number of patients have not been studied and the results of short-term clinical use of such products do not necessarily predict long-term clinical benefits or reveal long-term adverse effects. The results of preclinical studies and clinical trials of our products conducted to date and ongoing or future studies and trials of our current, planned or future products may not be predictive of the results of later clinical trials, and interim results of a clinical trial do not necessarily predict final results. Our interpretation of data and results from our clinical trials do not ensure that we will achieve similar results in future clinical trials in other patient populations. In addition, preclinical and clinical data are often susceptible to various interpretations and analyses, and many companies that have believed their products performed satisfactorily in preclinical studies and earlier clinical trials have nonetheless failed to replicate results in later clinical trials and subsequently failed to obtain marketing approval. Products in later stages of clinical trials may fail to show the desired safety and efficacy despite having progressed through nonclinical studies and earlier clinical trials.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clinical trials are unsuccessful or significantly delayed, or if we do not complete our clinical trials, our business may be harmed.</w:t>
      </w:r>
    </w:p>
    <w:p>
      <w:pPr>
        <w:spacing w:after="0" w:line="121" w:lineRule="exact"/>
        <w:rPr>
          <w:sz w:val="20"/>
          <w:szCs w:val="20"/>
          <w:color w:val="auto"/>
        </w:rPr>
      </w:pPr>
    </w:p>
    <w:p>
      <w:pPr>
        <w:ind w:firstLine="374"/>
        <w:spacing w:after="0" w:line="245" w:lineRule="auto"/>
        <w:rPr>
          <w:sz w:val="20"/>
          <w:szCs w:val="20"/>
          <w:color w:val="auto"/>
        </w:rPr>
      </w:pPr>
      <w:r>
        <w:rPr>
          <w:rFonts w:ascii="Times New Roman" w:cs="Times New Roman" w:eastAsia="Times New Roman" w:hAnsi="Times New Roman"/>
          <w:sz w:val="18"/>
          <w:szCs w:val="18"/>
          <w:color w:val="auto"/>
        </w:rPr>
        <w:t>Clinical development is a long, expensive and uncertain process and is subject to delays and the risk that products may ultimately prove unsafe or ineffective in treating the indications for which they are designed. We are currently engaged in post-market clinical trials of our RxSight system. Completion of clinical trials may take several years or more. Clinical trials can be delayed for a variety of reasons, including delays in obtaining regulatory approval to commence a trial, in reaching an agreement on acceptable clinical trial terms with prospective sites, in obtaining institutional review board approval at each site, in recruiting patients to participate in a trial or in obtaining sufficient supplies of clinical trial materials. We cannot provide any assurance that we will successfully, or in a timely manner, enroll our clinical trials, that our clinical trials will meet their primary endpoints or that such trials or their results will be accepted by the FDA or foreign regulatory authorities.</w:t>
      </w:r>
    </w:p>
    <w:p>
      <w:pPr>
        <w:spacing w:after="0" w:line="114" w:lineRule="exact"/>
        <w:rPr>
          <w:sz w:val="20"/>
          <w:szCs w:val="20"/>
          <w:color w:val="auto"/>
        </w:rPr>
      </w:pPr>
    </w:p>
    <w:p>
      <w:pPr>
        <w:ind w:right="640" w:firstLine="374"/>
        <w:spacing w:after="0" w:line="296" w:lineRule="auto"/>
        <w:rPr>
          <w:sz w:val="20"/>
          <w:szCs w:val="20"/>
          <w:color w:val="auto"/>
        </w:rPr>
      </w:pPr>
      <w:r>
        <w:rPr>
          <w:rFonts w:ascii="Times New Roman" w:cs="Times New Roman" w:eastAsia="Times New Roman" w:hAnsi="Times New Roman"/>
          <w:sz w:val="17"/>
          <w:szCs w:val="17"/>
          <w:color w:val="auto"/>
        </w:rPr>
        <w:t>We may experience numerous unforeseen events during, or because of, the clinical trial process that could delay or prevent us from receiving regulatory clearance or approval for new products, modifications of existing products, or new indications for existing products, including:</w:t>
      </w:r>
    </w:p>
    <w:p>
      <w:pPr>
        <w:spacing w:after="0" w:line="71" w:lineRule="exact"/>
        <w:rPr>
          <w:sz w:val="20"/>
          <w:szCs w:val="20"/>
          <w:color w:val="auto"/>
        </w:rPr>
      </w:pPr>
    </w:p>
    <w:p>
      <w:pPr>
        <w:ind w:left="1140" w:right="160" w:hanging="383"/>
        <w:spacing w:after="0" w:line="282"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and timely completion of nonclinical studies or clinical development of our products, as well as the associated costs, including any unforeseen costs we may incur as a result of clinical trial delays due to the COVID-19 pandemic or other causes;</w:t>
      </w:r>
    </w:p>
    <w:p>
      <w:pPr>
        <w:spacing w:after="0" w:line="80" w:lineRule="exact"/>
        <w:rPr>
          <w:rFonts w:ascii="Times New Roman" w:cs="Times New Roman" w:eastAsia="Times New Roman" w:hAnsi="Times New Roman"/>
          <w:sz w:val="18"/>
          <w:szCs w:val="18"/>
          <w:color w:val="auto"/>
        </w:rPr>
      </w:pPr>
    </w:p>
    <w:p>
      <w:pPr>
        <w:ind w:left="1140" w:right="440" w:hanging="383"/>
        <w:spacing w:after="0" w:line="266"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in our clinical trials may be slower than we anticipate, or we may experience high screen failure rates in our clinical trials, resulting in significant delays;</w:t>
      </w:r>
    </w:p>
    <w:p>
      <w:pPr>
        <w:spacing w:after="0" w:line="94" w:lineRule="exact"/>
        <w:rPr>
          <w:rFonts w:ascii="Times New Roman" w:cs="Times New Roman" w:eastAsia="Times New Roman" w:hAnsi="Times New Roman"/>
          <w:sz w:val="18"/>
          <w:szCs w:val="18"/>
          <w:color w:val="auto"/>
        </w:rPr>
      </w:pPr>
    </w:p>
    <w:p>
      <w:pPr>
        <w:ind w:left="1140" w:right="340" w:hanging="383"/>
        <w:spacing w:after="0" w:line="266"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may produce negative or inconclusive results, and we may decide, or regulators may require us, to conduct additional clinical and/or preclinical testing which may be expensive and time-consuming;</w:t>
      </w:r>
    </w:p>
    <w:p>
      <w:pPr>
        <w:spacing w:after="0" w:line="9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trial results may not meet the level of statistical significance required by the FDA or other regulatory authorities;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51" w:right="399" w:bottom="1440" w:gutter="0" w:footer="0" w:header="0"/>
        </w:sectPr>
      </w:pPr>
    </w:p>
    <w:bookmarkStart w:id="49" w:name="page50"/>
    <w:bookmarkEnd w:id="49"/>
    <w:p>
      <w:pPr>
        <w:ind w:left="1140" w:right="40" w:hanging="383"/>
        <w:spacing w:after="0" w:line="266"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similar foreign regulatory authorities may find that one or more of our products is not sufficiently safe for investigational use in humans;</w:t>
      </w:r>
    </w:p>
    <w:p>
      <w:pPr>
        <w:spacing w:after="0" w:line="9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similar foreign regulatory authorities may interpret data from preclinical testing and clinical trials in different ways than we do;</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delays or failure in obtaining approval of our clinical trial protocols from the FDA or other regulatory authorities;</w:t>
      </w:r>
    </w:p>
    <w:p>
      <w:pPr>
        <w:spacing w:after="0" w:line="144" w:lineRule="exact"/>
        <w:rPr>
          <w:rFonts w:ascii="Times New Roman" w:cs="Times New Roman" w:eastAsia="Times New Roman" w:hAnsi="Times New Roman"/>
          <w:sz w:val="18"/>
          <w:szCs w:val="18"/>
          <w:color w:val="auto"/>
        </w:rPr>
      </w:pPr>
    </w:p>
    <w:p>
      <w:pPr>
        <w:ind w:left="1140" w:right="300" w:hanging="383"/>
        <w:spacing w:after="0" w:line="266"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delays in obtaining institutional review board approvals or governmental approvals to conduct clinical trials at prospective sites;</w:t>
      </w:r>
    </w:p>
    <w:p>
      <w:pPr>
        <w:spacing w:after="0" w:line="9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similar foreign regulatory authorities may find our or our suppliers’ manufacturing processes or facilities unsatisfactory;</w:t>
      </w:r>
    </w:p>
    <w:p>
      <w:pPr>
        <w:spacing w:after="0" w:line="144" w:lineRule="exact"/>
        <w:rPr>
          <w:rFonts w:ascii="Times New Roman" w:cs="Times New Roman" w:eastAsia="Times New Roman" w:hAnsi="Times New Roman"/>
          <w:sz w:val="18"/>
          <w:szCs w:val="18"/>
          <w:color w:val="auto"/>
        </w:rPr>
      </w:pPr>
    </w:p>
    <w:p>
      <w:pPr>
        <w:ind w:left="1140" w:right="200" w:hanging="383"/>
        <w:spacing w:after="0" w:line="282"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similar foreign regulatory authorities may change their review policies or adopt new regulations that may negatively affect or delay our ability to bring a product to market or receive approvals or clearances to treat new indications;</w:t>
      </w:r>
    </w:p>
    <w:p>
      <w:pPr>
        <w:spacing w:after="0" w:line="80"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trouble in managing multiple clinical sites;</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trouble finding patients to enroll in our trials;</w:t>
      </w:r>
    </w:p>
    <w:p>
      <w:pPr>
        <w:spacing w:after="0" w:line="144" w:lineRule="exact"/>
        <w:rPr>
          <w:rFonts w:ascii="Times New Roman" w:cs="Times New Roman" w:eastAsia="Times New Roman" w:hAnsi="Times New Roman"/>
          <w:sz w:val="18"/>
          <w:szCs w:val="18"/>
          <w:color w:val="auto"/>
        </w:rPr>
      </w:pPr>
    </w:p>
    <w:p>
      <w:pPr>
        <w:ind w:left="1140" w:right="180" w:hanging="383"/>
        <w:spacing w:after="0" w:line="266"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agreeing on acceptable terms with third-party research organizations and trial sites that may help us conduct the clinical trials; and</w:t>
      </w:r>
    </w:p>
    <w:p>
      <w:pPr>
        <w:spacing w:after="0" w:line="94" w:lineRule="exact"/>
        <w:rPr>
          <w:rFonts w:ascii="Times New Roman" w:cs="Times New Roman" w:eastAsia="Times New Roman" w:hAnsi="Times New Roman"/>
          <w:sz w:val="18"/>
          <w:szCs w:val="18"/>
          <w:color w:val="auto"/>
        </w:rPr>
      </w:pPr>
    </w:p>
    <w:p>
      <w:pPr>
        <w:ind w:left="1140" w:right="240" w:hanging="383"/>
        <w:spacing w:after="0" w:line="266"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regulators, may suspend or terminate our clinical trials because the participating patients are being exposed to unacceptable health risks.</w:t>
      </w:r>
    </w:p>
    <w:p>
      <w:pPr>
        <w:spacing w:after="0" w:line="95" w:lineRule="exact"/>
        <w:rPr>
          <w:sz w:val="20"/>
          <w:szCs w:val="20"/>
          <w:color w:val="auto"/>
        </w:rPr>
      </w:pPr>
    </w:p>
    <w:p>
      <w:pPr>
        <w:ind w:right="140" w:firstLine="374"/>
        <w:spacing w:after="0" w:line="266" w:lineRule="auto"/>
        <w:rPr>
          <w:sz w:val="20"/>
          <w:szCs w:val="20"/>
          <w:color w:val="auto"/>
        </w:rPr>
      </w:pPr>
      <w:r>
        <w:rPr>
          <w:rFonts w:ascii="Times New Roman" w:cs="Times New Roman" w:eastAsia="Times New Roman" w:hAnsi="Times New Roman"/>
          <w:sz w:val="18"/>
          <w:szCs w:val="18"/>
          <w:color w:val="auto"/>
        </w:rPr>
        <w:t>Failures or perceived failures in our clinical trials will delay and may prevent our product development and regulatory approval process, damage our business prospects and negatively affect our reputation and competitive position.</w:t>
      </w:r>
    </w:p>
    <w:p>
      <w:pPr>
        <w:spacing w:after="0" w:line="91" w:lineRule="exact"/>
        <w:rPr>
          <w:sz w:val="20"/>
          <w:szCs w:val="20"/>
          <w:color w:val="auto"/>
        </w:rPr>
      </w:pPr>
    </w:p>
    <w:p>
      <w:pPr>
        <w:ind w:right="140"/>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Unauthorized third parties may seek to access our devices or other products and services, or related devices, products, and services, and modify or use them in a way inconsistent with our FDA clearances and approvals, which may create risks to users.</w:t>
      </w:r>
    </w:p>
    <w:p>
      <w:pPr>
        <w:spacing w:after="0" w:line="37" w:lineRule="exact"/>
        <w:rPr>
          <w:sz w:val="20"/>
          <w:szCs w:val="20"/>
          <w:color w:val="auto"/>
        </w:rPr>
      </w:pPr>
    </w:p>
    <w:p>
      <w:pPr>
        <w:ind w:right="20" w:firstLine="374"/>
        <w:spacing w:after="0" w:line="247" w:lineRule="auto"/>
        <w:rPr>
          <w:sz w:val="20"/>
          <w:szCs w:val="20"/>
          <w:color w:val="auto"/>
        </w:rPr>
      </w:pPr>
      <w:r>
        <w:rPr>
          <w:rFonts w:ascii="Times New Roman" w:cs="Times New Roman" w:eastAsia="Times New Roman" w:hAnsi="Times New Roman"/>
          <w:sz w:val="18"/>
          <w:szCs w:val="18"/>
          <w:color w:val="auto"/>
        </w:rPr>
        <w:t>Medical devices are increasingly connected to the internet, hospital networks, and other medical devices to provide features that improve healthcare and increase the ability of healthcare providers to treat patients and patients to manage their conditions. While currently bidirectional connectivity and interoperability of our RxSight system with other devices, local networks and the internet is not enabled, this may change in the future. Enablement of such features may increase cybersecurity risks and the risks of unauthorized access and use by third parties. For example, unauthorized third parties may seek to access our devices or other products and services, or related devices, products, and services, and modify or use them in a way inconsistent with our FDA clearances and approvals, which may create risks to users and potential exposure to the company.</w:t>
      </w:r>
    </w:p>
    <w:p>
      <w:pPr>
        <w:spacing w:after="0" w:line="108" w:lineRule="exact"/>
        <w:rPr>
          <w:sz w:val="20"/>
          <w:szCs w:val="20"/>
          <w:color w:val="auto"/>
        </w:rPr>
      </w:pPr>
    </w:p>
    <w:p>
      <w:pPr>
        <w:ind w:right="300"/>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or indication and fail to capitalize on products or indications that may be more profitable or for which there is a greater likelihood of success.</w:t>
      </w:r>
    </w:p>
    <w:p>
      <w:pPr>
        <w:spacing w:after="0" w:line="37" w:lineRule="exact"/>
        <w:rPr>
          <w:sz w:val="20"/>
          <w:szCs w:val="20"/>
          <w:color w:val="auto"/>
        </w:rPr>
      </w:pPr>
    </w:p>
    <w:p>
      <w:pPr>
        <w:ind w:firstLine="374"/>
        <w:spacing w:after="0" w:line="245"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specific products and indications. As a result, we may forgo or delay pursuit of other opportunities with others that could have had greater commercial potential. Our resource allocation decisions may cause us to fail to capitalize on viable commercial products or profitable market opportunities. Our spending on current and future research and development programs for specific indications or enhancements may not yield any commercially viable products. If we do not accurately evaluate the commercial potential or target market for a particular potential product, we may relinquish valuable rights to that potential product through future collaborations, licenses and other similar arrangements in cases in which it would have been more advantageous for us to retain sole development and commercialization rights to such potential product.</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50" w:name="page51"/>
    <w:bookmarkEnd w:id="50"/>
    <w:p>
      <w:pPr>
        <w:ind w:right="240"/>
        <w:spacing w:after="0" w:line="27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develop, license or acquire new products, enhance the capabilities of our existing products to keep pace with rapidly changing technology and customer requirements or successfully manage the transition to new product offerings, any of which could have a material adverse effect on our business, financial condition and results of operations.</w:t>
      </w:r>
    </w:p>
    <w:p>
      <w:pPr>
        <w:spacing w:after="0" w:line="59" w:lineRule="exact"/>
        <w:rPr>
          <w:sz w:val="20"/>
          <w:szCs w:val="20"/>
          <w:color w:val="auto"/>
        </w:rPr>
      </w:pPr>
    </w:p>
    <w:p>
      <w:pPr>
        <w:ind w:right="40" w:firstLine="374"/>
        <w:spacing w:after="0" w:line="247" w:lineRule="auto"/>
        <w:rPr>
          <w:sz w:val="20"/>
          <w:szCs w:val="20"/>
          <w:color w:val="auto"/>
        </w:rPr>
      </w:pPr>
      <w:r>
        <w:rPr>
          <w:rFonts w:ascii="Times New Roman" w:cs="Times New Roman" w:eastAsia="Times New Roman" w:hAnsi="Times New Roman"/>
          <w:sz w:val="18"/>
          <w:szCs w:val="18"/>
          <w:color w:val="auto"/>
        </w:rPr>
        <w:t>Our success depends on our ability to develop, license or acquire and commercialize additional products and to develop new applications for our technologies in existing and new markets, while improving the performance and cost-effectiveness of our existing products, in each case in ways that address current and anticipated customer requirements. We intend to develop and commercialize additional products through our research and development program and by licensing or acquiring additional products and technologies from third parties. Our success is dependent upon several factors, including functionality, competitive pricing, ease of use, the safety and efficacy of our products and our ability to identify, select and acquire the rights to products and technologies on terms that are acceptable to us.</w:t>
      </w:r>
    </w:p>
    <w:p>
      <w:pPr>
        <w:spacing w:after="0" w:line="112" w:lineRule="exact"/>
        <w:rPr>
          <w:sz w:val="20"/>
          <w:szCs w:val="20"/>
          <w:color w:val="auto"/>
        </w:rPr>
      </w:pPr>
    </w:p>
    <w:p>
      <w:pPr>
        <w:ind w:firstLine="374"/>
        <w:spacing w:after="0" w:line="241" w:lineRule="auto"/>
        <w:rPr>
          <w:sz w:val="20"/>
          <w:szCs w:val="20"/>
          <w:color w:val="auto"/>
        </w:rPr>
      </w:pPr>
      <w:r>
        <w:rPr>
          <w:rFonts w:ascii="Times New Roman" w:cs="Times New Roman" w:eastAsia="Times New Roman" w:hAnsi="Times New Roman"/>
          <w:sz w:val="18"/>
          <w:szCs w:val="18"/>
          <w:color w:val="auto"/>
        </w:rPr>
        <w:t>The medical device industry is characterized by rapid technological change and innovation. New technologies, techniques or products could emerge that might offer better combinations of price and performance or better address customer requirements as compared to our current or future products. Competitors, who may have greater financial, marketing and sales resources than we do, may be able to respond more quickly and effectively than we can to new or changing opportunities, technologies, standards or customer requirements. Any new product we identify for internal development, licensing or acquisition may require additional development efforts prior to commercial sale, including extensive clinical testing and approval or clearance by the FDA and applicable foreign regulatory authorities. Due to the significant lead time and complexity involved in bringing a new product to market, we are required to make a number of assumptions and estimates regarding the commercial feasibility of a new product. These assumptions and estimates may prove incorrect, resulting in our introduction of a product that is not competitive at the time of launch. We anticipate that we will face increased competition in the future as existing companies and competitors develop new or improved products and as new companies enter the market with new technologies. Our ability to mitigate downward pressure on our selling prices will be dependent upon our ability to maintain or increase the value we offer to doctors as well as payors. All new products are prone to the risks of failure inherent in medical device product development, including the possibility that the product will not be shown to be sufficiently safe and effective for approval or clearance by regulatory authorities. In addition, we cannot assure you that any such products that are approved or cleared will be manufactured or produced economically, successfully commercialized or widely accepted in the marketplace. The expenses or losses associated with unsuccessful product development or launch activities, or a lack of market acceptance of our new products, could adversely affect our business, financial condition and results of operations.</w:t>
      </w:r>
    </w:p>
    <w:p>
      <w:pPr>
        <w:spacing w:after="0" w:line="122" w:lineRule="exact"/>
        <w:rPr>
          <w:sz w:val="20"/>
          <w:szCs w:val="20"/>
          <w:color w:val="auto"/>
        </w:rPr>
      </w:pPr>
    </w:p>
    <w:p>
      <w:pPr>
        <w:ind w:right="80" w:firstLine="374"/>
        <w:spacing w:after="0" w:line="247" w:lineRule="auto"/>
        <w:rPr>
          <w:sz w:val="20"/>
          <w:szCs w:val="20"/>
          <w:color w:val="auto"/>
        </w:rPr>
      </w:pPr>
      <w:r>
        <w:rPr>
          <w:rFonts w:ascii="Times New Roman" w:cs="Times New Roman" w:eastAsia="Times New Roman" w:hAnsi="Times New Roman"/>
          <w:sz w:val="18"/>
          <w:szCs w:val="18"/>
          <w:color w:val="auto"/>
        </w:rPr>
        <w:t>Our ability to attract new customer accounts depends in large part on our ability to enhance and improve our existing products and to introduce compelling new products. The success of any enhancement to our products depends on several factors, including adoption and continued use by doctors, competitive pricing and overall market acceptance. Any new product that we develop may not be introduced in a timely or cost-effective manner, may contain defects or may not achieve the market acceptance necessary to generate significant revenue. If we are unable to successfully develop, license or acquire new products, enhance our existing products to meet customer requirements or otherwise gain market acceptance, our business, financial condition and results of operations would be harmed.</w:t>
      </w:r>
    </w:p>
    <w:p>
      <w:pPr>
        <w:spacing w:after="0" w:line="112" w:lineRule="exact"/>
        <w:rPr>
          <w:sz w:val="20"/>
          <w:szCs w:val="20"/>
          <w:color w:val="auto"/>
        </w:rPr>
      </w:pPr>
    </w:p>
    <w:p>
      <w:pPr>
        <w:ind w:right="20" w:firstLine="374"/>
        <w:spacing w:after="0" w:line="244" w:lineRule="auto"/>
        <w:rPr>
          <w:sz w:val="20"/>
          <w:szCs w:val="20"/>
          <w:color w:val="auto"/>
        </w:rPr>
      </w:pPr>
      <w:r>
        <w:rPr>
          <w:rFonts w:ascii="Times New Roman" w:cs="Times New Roman" w:eastAsia="Times New Roman" w:hAnsi="Times New Roman"/>
          <w:sz w:val="18"/>
          <w:szCs w:val="18"/>
          <w:color w:val="auto"/>
        </w:rPr>
        <w:t>The typical development cycle of new medical device products can be lengthy and complicated and may require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and our business and operating results may be harmed.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identify, acquire and develop other products, we may be unable to grow our business.</w:t>
      </w:r>
    </w:p>
    <w:p>
      <w:pPr>
        <w:spacing w:after="0" w:line="135" w:lineRule="exact"/>
        <w:rPr>
          <w:sz w:val="20"/>
          <w:szCs w:val="20"/>
          <w:color w:val="auto"/>
        </w:rPr>
      </w:pPr>
    </w:p>
    <w:p>
      <w:pPr>
        <w:jc w:val="both"/>
        <w:ind w:right="520" w:firstLine="374"/>
        <w:spacing w:after="0" w:line="258" w:lineRule="auto"/>
        <w:rPr>
          <w:sz w:val="20"/>
          <w:szCs w:val="20"/>
          <w:color w:val="auto"/>
        </w:rPr>
      </w:pPr>
      <w:r>
        <w:rPr>
          <w:rFonts w:ascii="Times New Roman" w:cs="Times New Roman" w:eastAsia="Times New Roman" w:hAnsi="Times New Roman"/>
          <w:sz w:val="18"/>
          <w:szCs w:val="18"/>
          <w:color w:val="auto"/>
        </w:rPr>
        <w:t>As a significant part of our growth strategy, we intend to develop and commercialize additional products through our research and development program or by licensing or acquiring additional products and technologies from third parties. The success of this strategy depends upon our ability to identify, select and acquire the right to products and technologies on terms that are acceptable to us.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51" w:name="page52"/>
    <w:bookmarkEnd w:id="51"/>
    <w:p>
      <w:pPr>
        <w:ind w:right="20" w:firstLine="374"/>
        <w:spacing w:after="0" w:line="246" w:lineRule="auto"/>
        <w:rPr>
          <w:sz w:val="20"/>
          <w:szCs w:val="20"/>
          <w:color w:val="auto"/>
        </w:rPr>
      </w:pPr>
      <w:r>
        <w:rPr>
          <w:rFonts w:ascii="Times New Roman" w:cs="Times New Roman" w:eastAsia="Times New Roman" w:hAnsi="Times New Roman"/>
          <w:sz w:val="18"/>
          <w:szCs w:val="18"/>
          <w:color w:val="auto"/>
        </w:rPr>
        <w:t>Any product we identify, license or acquire may require additional development efforts prior to commercial sale, including extensive clinical testing and approval or clearance by the FDA and applicable foreign regulatory authorities. All products are prone to the risks of failure inherent in medical device product development, including the possibility that the product will not be shown to be sufficiently safe and effective for approval or clearance by regulatory authorities. In addition, we cannot assure you that any such products that are approved or cleared will be manufactured or produced economically, successfully commercialized or widely accepted in the marketplace.</w:t>
      </w:r>
    </w:p>
    <w:p>
      <w:pPr>
        <w:spacing w:after="0" w:line="114" w:lineRule="exact"/>
        <w:rPr>
          <w:sz w:val="20"/>
          <w:szCs w:val="20"/>
          <w:color w:val="auto"/>
        </w:rPr>
      </w:pPr>
    </w:p>
    <w:p>
      <w:pPr>
        <w:ind w:firstLine="374"/>
        <w:spacing w:after="0" w:line="250" w:lineRule="auto"/>
        <w:rPr>
          <w:sz w:val="20"/>
          <w:szCs w:val="20"/>
          <w:color w:val="auto"/>
        </w:rPr>
      </w:pPr>
      <w:r>
        <w:rPr>
          <w:rFonts w:ascii="Times New Roman" w:cs="Times New Roman" w:eastAsia="Times New Roman" w:hAnsi="Times New Roman"/>
          <w:sz w:val="18"/>
          <w:szCs w:val="18"/>
          <w:color w:val="auto"/>
        </w:rPr>
        <w:t>Proposing, negotiating and implementing an economically viable product or technology acquisition or license is a lengthy and complex process. Other companies, including those with substantially greater financial, marketing and sales resources, may compete with us for the acquisition or license of approved or cleared products. We may not be able to acquire or license the rights to additional approved or cleared products on terms that we find acceptable, or at all.</w:t>
      </w:r>
    </w:p>
    <w:p>
      <w:pPr>
        <w:spacing w:after="0" w:line="110" w:lineRule="exact"/>
        <w:rPr>
          <w:sz w:val="20"/>
          <w:szCs w:val="20"/>
          <w:color w:val="auto"/>
        </w:rPr>
      </w:pPr>
    </w:p>
    <w:p>
      <w:pPr>
        <w:ind w:right="320" w:firstLine="374"/>
        <w:spacing w:after="0" w:line="266" w:lineRule="auto"/>
        <w:rPr>
          <w:sz w:val="20"/>
          <w:szCs w:val="20"/>
          <w:color w:val="auto"/>
        </w:rPr>
      </w:pPr>
      <w:r>
        <w:rPr>
          <w:rFonts w:ascii="Times New Roman" w:cs="Times New Roman" w:eastAsia="Times New Roman" w:hAnsi="Times New Roman"/>
          <w:sz w:val="18"/>
          <w:szCs w:val="18"/>
          <w:color w:val="auto"/>
        </w:rPr>
        <w:t>If we are unable to develop suitable potential products through internal research programs or by obtaining rights from third parties, it could have a material adverse effect on our business, financial condition and results of operations.</w:t>
      </w:r>
    </w:p>
    <w:p>
      <w:pPr>
        <w:spacing w:after="0" w:line="91" w:lineRule="exact"/>
        <w:rPr>
          <w:sz w:val="20"/>
          <w:szCs w:val="20"/>
          <w:color w:val="auto"/>
        </w:rPr>
      </w:pPr>
    </w:p>
    <w:p>
      <w:pPr>
        <w:ind w:right="240"/>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companies or technologies, which could fail to result in a commercial product or increased revenue, divert our management’s attention, result in additional dilution to our stockholders and otherwise disrupt our operations and harm our operating results.</w:t>
      </w:r>
    </w:p>
    <w:p>
      <w:pPr>
        <w:spacing w:after="0" w:line="37" w:lineRule="exact"/>
        <w:rPr>
          <w:sz w:val="20"/>
          <w:szCs w:val="20"/>
          <w:color w:val="auto"/>
        </w:rPr>
      </w:pPr>
    </w:p>
    <w:p>
      <w:pPr>
        <w:ind w:right="20" w:firstLine="374"/>
        <w:spacing w:after="0" w:line="245" w:lineRule="auto"/>
        <w:rPr>
          <w:sz w:val="20"/>
          <w:szCs w:val="20"/>
          <w:color w:val="auto"/>
        </w:rPr>
      </w:pPr>
      <w:r>
        <w:rPr>
          <w:rFonts w:ascii="Times New Roman" w:cs="Times New Roman" w:eastAsia="Times New Roman" w:hAnsi="Times New Roman"/>
          <w:sz w:val="18"/>
          <w:szCs w:val="18"/>
          <w:color w:val="auto"/>
        </w:rPr>
        <w:t>Although we currently have no agreements or commitments to complete any such transactions, we may in the future seek to acquire or invest in businesses, applications or technologies that we believe could complement or expand our portfolio, enhance our technical capabilities or otherwise offer growth opportunities. However, we cannot assure you that we would be able to successfully complete any acquisition we choose to pursue, or that we would be able to successfully integrate any acquired business, product or technology in a cost-effective and non-disruptive manner.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14" w:lineRule="exact"/>
        <w:rPr>
          <w:sz w:val="20"/>
          <w:szCs w:val="20"/>
          <w:color w:val="auto"/>
        </w:rPr>
      </w:pPr>
    </w:p>
    <w:p>
      <w:pPr>
        <w:ind w:right="40" w:firstLine="374"/>
        <w:spacing w:after="0" w:line="246" w:lineRule="auto"/>
        <w:rPr>
          <w:sz w:val="20"/>
          <w:szCs w:val="20"/>
          <w:color w:val="auto"/>
        </w:rPr>
      </w:pPr>
      <w:r>
        <w:rPr>
          <w:rFonts w:ascii="Times New Roman" w:cs="Times New Roman" w:eastAsia="Times New Roman" w:hAnsi="Times New Roman"/>
          <w:sz w:val="18"/>
          <w:szCs w:val="18"/>
          <w:color w:val="auto"/>
        </w:rPr>
        <w:t>To date, the growth of our operations has been largely organic, and we have limited experience in acquiring other businesses or technologies. We may not be able to successfully integrate any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110" w:lineRule="exact"/>
        <w:rPr>
          <w:sz w:val="20"/>
          <w:szCs w:val="20"/>
          <w:color w:val="auto"/>
        </w:rPr>
      </w:pPr>
    </w:p>
    <w:p>
      <w:pPr>
        <w:ind w:right="420"/>
        <w:spacing w:after="0" w:line="276" w:lineRule="auto"/>
        <w:rPr>
          <w:sz w:val="20"/>
          <w:szCs w:val="20"/>
          <w:color w:val="auto"/>
        </w:rPr>
      </w:pPr>
      <w:r>
        <w:rPr>
          <w:rFonts w:ascii="Times New Roman" w:cs="Times New Roman" w:eastAsia="Times New Roman" w:hAnsi="Times New Roman"/>
          <w:sz w:val="18"/>
          <w:szCs w:val="18"/>
          <w:b w:val="1"/>
          <w:bCs w:val="1"/>
          <w:i w:val="1"/>
          <w:iCs w:val="1"/>
          <w:color w:val="auto"/>
        </w:rPr>
        <w:t>Coverage and adequate reimbursement and/or the ability of patients to pay for the difference between the price charged by practices and the reimbursement amount may not be available for our products in sufficient markets, which could diminish our sales or affect our ability to sell our products.</w:t>
      </w:r>
    </w:p>
    <w:p>
      <w:pPr>
        <w:spacing w:after="0" w:line="73" w:lineRule="exact"/>
        <w:rPr>
          <w:sz w:val="20"/>
          <w:szCs w:val="20"/>
          <w:color w:val="auto"/>
        </w:rPr>
      </w:pPr>
    </w:p>
    <w:p>
      <w:pPr>
        <w:ind w:right="20" w:firstLine="374"/>
        <w:spacing w:after="0" w:line="242" w:lineRule="auto"/>
        <w:rPr>
          <w:sz w:val="20"/>
          <w:szCs w:val="20"/>
          <w:color w:val="auto"/>
        </w:rPr>
      </w:pPr>
      <w:r>
        <w:rPr>
          <w:rFonts w:ascii="Times New Roman" w:cs="Times New Roman" w:eastAsia="Times New Roman" w:hAnsi="Times New Roman"/>
          <w:sz w:val="18"/>
          <w:szCs w:val="18"/>
          <w:color w:val="auto"/>
        </w:rPr>
        <w:t>In both U.S. and non-U.S. markets, our ability to successfully commercialize and achieve market acceptance of our products depends, in significant part, on the availability of adequate financial remuneration to doctor practices and surgical centers. This remuneration can come from a combination of sources, including third-party payors, such as Medicare and Medicaid programs in the United States, managed care organizations and private health insurers. Third-party payors decide which treatments they will cover and establish reimbursement rates for those treatments. They also can preclude patients from paying extra to receive additional services, such as those associated with placement of premium IOLs. Our products are purchased by doctors who will then seek reimbursement from third-party payors and patients for the procedures performed using our products. Reimbursement systems and patient billing rules in international markets vary significantly by country and by region within some countries, and reimbursement and/or non-reimbursement approvals must be obtained on a country-by-country basis. In certain international markets, a product must be approved for reimbursement before it can be approved for sale in that country. Furthermore, many international markets have government-managed healthcare systems that control reimbursement for new devices and procedures, as well as the ability to charge patients directly for non-reimbursed devices and procedures. In most markets there are private insurance systems as well as government-managed systems.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52" w:name="page53"/>
    <w:bookmarkEnd w:id="52"/>
    <w:p>
      <w:pPr>
        <w:ind w:right="80" w:firstLine="374"/>
        <w:spacing w:after="0" w:line="246" w:lineRule="auto"/>
        <w:rPr>
          <w:sz w:val="20"/>
          <w:szCs w:val="20"/>
          <w:color w:val="auto"/>
        </w:rPr>
      </w:pPr>
      <w:r>
        <w:rPr>
          <w:rFonts w:ascii="Times New Roman" w:cs="Times New Roman" w:eastAsia="Times New Roman" w:hAnsi="Times New Roman"/>
          <w:sz w:val="18"/>
          <w:szCs w:val="18"/>
          <w:color w:val="auto"/>
        </w:rPr>
        <w:t>While third-party payors currently cover and provide reimbursement for a portion of the cost of the procedures performed using our currently cleared or approved products, we can give no assurance that these third-party payors will continue to provide coverage and adequate reimbursement or permit patient payment for the non-reimbursed portion sufficient to permit doctors to offer procedures using our products to patients requiring treatment. If sufficient coverage and reimbursement or flexibility to enable patient payment is not available for the procedures performed using our products, in either the United States or any international markets we enter, the demand for our products and our revenue will be adversely affected.</w:t>
      </w:r>
    </w:p>
    <w:p>
      <w:pPr>
        <w:spacing w:after="0" w:line="114" w:lineRule="exact"/>
        <w:rPr>
          <w:sz w:val="20"/>
          <w:szCs w:val="20"/>
          <w:color w:val="auto"/>
        </w:rPr>
      </w:pPr>
    </w:p>
    <w:p>
      <w:pPr>
        <w:ind w:right="40" w:firstLine="374"/>
        <w:spacing w:after="0" w:line="250" w:lineRule="auto"/>
        <w:rPr>
          <w:sz w:val="20"/>
          <w:szCs w:val="20"/>
          <w:color w:val="auto"/>
        </w:rPr>
      </w:pPr>
      <w:r>
        <w:rPr>
          <w:rFonts w:ascii="Times New Roman" w:cs="Times New Roman" w:eastAsia="Times New Roman" w:hAnsi="Times New Roman"/>
          <w:sz w:val="18"/>
          <w:szCs w:val="18"/>
          <w:color w:val="auto"/>
        </w:rPr>
        <w:t>Furthermore, although we believe there is potential to improve on the current reimbursement profile for our products in the future, the overall amount of reimbursement available for products and procedures intended to treat cataract and refractive conditions of the eye could remain at current levels or decrease in the future. Failure by doctors to obtain and maintain coverage and adequate reimbursement as well as patient charges for the procedures performed using our products would materially adversely affect our business, financial condition and results of operations.</w:t>
      </w:r>
    </w:p>
    <w:p>
      <w:pPr>
        <w:spacing w:after="0" w:line="110" w:lineRule="exact"/>
        <w:rPr>
          <w:sz w:val="20"/>
          <w:szCs w:val="20"/>
          <w:color w:val="auto"/>
        </w:rPr>
      </w:pPr>
    </w:p>
    <w:p>
      <w:pPr>
        <w:ind w:firstLine="374"/>
        <w:spacing w:after="0" w:line="242" w:lineRule="auto"/>
        <w:rPr>
          <w:sz w:val="20"/>
          <w:szCs w:val="20"/>
          <w:color w:val="auto"/>
        </w:rPr>
      </w:pPr>
      <w:r>
        <w:rPr>
          <w:rFonts w:ascii="Times New Roman" w:cs="Times New Roman" w:eastAsia="Times New Roman" w:hAnsi="Times New Roman"/>
          <w:sz w:val="18"/>
          <w:szCs w:val="18"/>
          <w:color w:val="auto"/>
        </w:rPr>
        <w:t>Third-party payors are also increasingly examining the cost effectiveness of products, in addition to their safety and efficacy, when making coverage and payment decisions. Third-party payors have also instituted initiatives to limit the growth of healthcare costs using, for example, price regulation or controls and competitive pricing programs. Some third-party payors also require demonstrated superiority, on the basis of randomized clinical trials, or pre-approval of coverage, for new or innovative devices or procedures before they will reimburse healthcare providers who use such devices or procedures. Additionally, no uniform policy for coverage and reimbursement exists in the United States, and coverage and reimbursement can differ significantly from payor to payor. Third-party payors often rely upon Medicare coverage policy and payment limitations in setting their own reimbursement rates, but also have their own methods and approval process apart from Medicare determinations. It is uncertain whether our current products or any planned or future products will be viewed (or continue to be viewed) as sufficiently cost effective to warrant coverage and adequate reimbursement levels for procedures using such products in any given jurisdiction.</w:t>
      </w:r>
    </w:p>
    <w:p>
      <w:pPr>
        <w:spacing w:after="0" w:line="116" w:lineRule="exact"/>
        <w:rPr>
          <w:sz w:val="20"/>
          <w:szCs w:val="20"/>
          <w:color w:val="auto"/>
        </w:rPr>
      </w:pPr>
    </w:p>
    <w:p>
      <w:pPr>
        <w:jc w:val="both"/>
        <w:ind w:right="1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or halt the marketing and sale of our products. The expense and potential unavailability of insurance coverage for liabilities resulting from our products could harm us and our ability to sell our products.</w:t>
      </w:r>
    </w:p>
    <w:p>
      <w:pPr>
        <w:spacing w:after="0" w:line="52" w:lineRule="exact"/>
        <w:rPr>
          <w:sz w:val="20"/>
          <w:szCs w:val="20"/>
          <w:color w:val="auto"/>
        </w:rPr>
      </w:pPr>
    </w:p>
    <w:p>
      <w:pPr>
        <w:ind w:firstLine="374"/>
        <w:spacing w:after="0" w:line="245"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marketing and sale of our products. For example, we may be sued if our products cause or are perceived to cause injury or are found to be otherwise unsuitable during manufacturing, marketing or sale. Any such product liability claim may include allegations of defects in manufacturing, defects in design, a failure to warn of dangers inherent in the product, negligence, strict liability or a breach of warranties. In addition, we may be subject to claims against us even if the apparent injury is due to the actions of others or the pre-existing health of the patient. For example, we rely on doctors in connection with the use of our products on patients. If these doctors are not properly trained or are negligent, the capabilities of our products may be diminished, or the patient may suffer critical injury. We may also be subject to claims that are caused by the activities of our suppliers, such as those who provide us with components and sub-assemblies.</w:t>
      </w:r>
    </w:p>
    <w:p>
      <w:pPr>
        <w:spacing w:after="0" w:line="114" w:lineRule="exact"/>
        <w:rPr>
          <w:sz w:val="20"/>
          <w:szCs w:val="20"/>
          <w:color w:val="auto"/>
        </w:rPr>
      </w:pPr>
    </w:p>
    <w:p>
      <w:pPr>
        <w:ind w:right="320" w:firstLine="374"/>
        <w:spacing w:after="0" w:line="258" w:lineRule="auto"/>
        <w:rPr>
          <w:sz w:val="20"/>
          <w:szCs w:val="20"/>
          <w:color w:val="auto"/>
        </w:rPr>
      </w:pPr>
      <w:r>
        <w:rPr>
          <w:rFonts w:ascii="Times New Roman" w:cs="Times New Roman" w:eastAsia="Times New Roman" w:hAnsi="Times New Roman"/>
          <w:sz w:val="18"/>
          <w:szCs w:val="18"/>
          <w:color w:val="auto"/>
        </w:rPr>
        <w:t>If we cannot successfully defend ourselves against product liability claims, we may incur substantial liabilities or be required to limit or halt commercialization of our products. Even successful defense would require significant financial and management resources. Regardless of the merits or eventual outcome, liability claims may result in:</w:t>
      </w:r>
    </w:p>
    <w:p>
      <w:pPr>
        <w:spacing w:after="0" w:line="88" w:lineRule="exact"/>
        <w:rPr>
          <w:sz w:val="20"/>
          <w:szCs w:val="20"/>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51" w:right="379" w:bottom="1440" w:gutter="0" w:footer="0" w:header="0"/>
        </w:sectPr>
      </w:pPr>
    </w:p>
    <w:bookmarkStart w:id="53" w:name="page54"/>
    <w:bookmarkEnd w:id="53"/>
    <w:p>
      <w:pPr>
        <w:ind w:left="1140" w:hanging="38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 and</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market and sell our products.</w:t>
      </w:r>
    </w:p>
    <w:p>
      <w:pPr>
        <w:spacing w:after="0" w:line="144" w:lineRule="exact"/>
        <w:rPr>
          <w:sz w:val="20"/>
          <w:szCs w:val="20"/>
          <w:color w:val="auto"/>
        </w:rPr>
      </w:pPr>
    </w:p>
    <w:p>
      <w:pPr>
        <w:ind w:firstLine="374"/>
        <w:spacing w:after="0" w:line="242" w:lineRule="auto"/>
        <w:rPr>
          <w:sz w:val="20"/>
          <w:szCs w:val="20"/>
          <w:color w:val="auto"/>
        </w:rPr>
      </w:pPr>
      <w:r>
        <w:rPr>
          <w:rFonts w:ascii="Times New Roman" w:cs="Times New Roman" w:eastAsia="Times New Roman" w:hAnsi="Times New Roman"/>
          <w:sz w:val="18"/>
          <w:szCs w:val="18"/>
          <w:color w:val="auto"/>
        </w:rPr>
        <w:t>We believe we have adequate product liability insurance, but it may not prove to be adequate to cover all liabilities that we may incur. Insurance coverage is increasingly expensive. We may not be able to maintain or obtain insurance at a reasonable cost or in an amount adequate to satisfy any liability that may arise. Our insurance policy contains various exclusions, and we may be subject to a product liability claim for which we have no coverage. The potential inability to obtain sufficient product liability insurance at an acceptable cost to protect against product liability claims could prevent or inhibit the marketing and sale of products we develop. We may have to pay any amounts awarded by a court or negotiated in a settlement that exceed our coverage limitations or that are not covered by our insurance, and we may not have, or be able to obtain, sufficient capital to pay such amounts, which would have a material adverse effect on our business, financial condition and results of operations. In addition, any product liability claims brought against us, with or without merit, could increase our product liability insurance rates or prevent us from securing continuing coverage, harm our reputation in the industry, significantly increase our expenses and reduce product sales.</w:t>
      </w:r>
    </w:p>
    <w:p>
      <w:pPr>
        <w:spacing w:after="0" w:line="120" w:lineRule="exact"/>
        <w:rPr>
          <w:sz w:val="20"/>
          <w:szCs w:val="20"/>
          <w:color w:val="auto"/>
        </w:rPr>
      </w:pPr>
    </w:p>
    <w:p>
      <w:pPr>
        <w:ind w:right="180" w:firstLine="374"/>
        <w:spacing w:after="0" w:line="250" w:lineRule="auto"/>
        <w:rPr>
          <w:sz w:val="20"/>
          <w:szCs w:val="20"/>
          <w:color w:val="auto"/>
        </w:rPr>
      </w:pPr>
      <w:r>
        <w:rPr>
          <w:rFonts w:ascii="Times New Roman" w:cs="Times New Roman" w:eastAsia="Times New Roman" w:hAnsi="Times New Roman"/>
          <w:sz w:val="18"/>
          <w:szCs w:val="18"/>
          <w:color w:val="auto"/>
        </w:rPr>
        <w:t>Some of our customers and prospective customers may also have difficulty in procuring or maintaining liability insurance to cover their operations and use of our products. Medical malpractice carriers are withdrawing coverage in certain states or substantially increasing premiums. If this trend continues or worsens, our customers may discontinue using our products and potential customers may opt against purchasing our products due to the cost or inability to procure insurance coverage.</w:t>
      </w:r>
    </w:p>
    <w:p>
      <w:pPr>
        <w:spacing w:after="0" w:line="106" w:lineRule="exact"/>
        <w:rPr>
          <w:sz w:val="20"/>
          <w:szCs w:val="20"/>
          <w:color w:val="auto"/>
        </w:rPr>
      </w:pPr>
    </w:p>
    <w:p>
      <w:pPr>
        <w:jc w:val="both"/>
        <w:ind w:right="680"/>
        <w:spacing w:after="0" w:line="276" w:lineRule="auto"/>
        <w:rPr>
          <w:sz w:val="20"/>
          <w:szCs w:val="20"/>
          <w:color w:val="auto"/>
        </w:rPr>
      </w:pPr>
      <w:r>
        <w:rPr>
          <w:rFonts w:ascii="Times New Roman" w:cs="Times New Roman" w:eastAsia="Times New Roman" w:hAnsi="Times New Roman"/>
          <w:sz w:val="18"/>
          <w:szCs w:val="18"/>
          <w:b w:val="1"/>
          <w:bCs w:val="1"/>
          <w:i w:val="1"/>
          <w:iCs w:val="1"/>
          <w:color w:val="auto"/>
        </w:rPr>
        <w:t>We intend to expand sales of our products internationally in the future, but we may experience difficulties in obtaining regulatory clearance or approval or in successfully marketing our products internationally even if approved. A variety of risks associated with marketing our products internationally could materially adversely affect our business.</w:t>
      </w:r>
    </w:p>
    <w:p>
      <w:pPr>
        <w:spacing w:after="0" w:line="73" w:lineRule="exact"/>
        <w:rPr>
          <w:sz w:val="20"/>
          <w:szCs w:val="20"/>
          <w:color w:val="auto"/>
        </w:rPr>
      </w:pPr>
    </w:p>
    <w:p>
      <w:pPr>
        <w:ind w:right="480" w:firstLine="374"/>
        <w:spacing w:after="0" w:line="250" w:lineRule="auto"/>
        <w:rPr>
          <w:sz w:val="20"/>
          <w:szCs w:val="20"/>
          <w:color w:val="auto"/>
        </w:rPr>
      </w:pPr>
      <w:r>
        <w:rPr>
          <w:rFonts w:ascii="Times New Roman" w:cs="Times New Roman" w:eastAsia="Times New Roman" w:hAnsi="Times New Roman"/>
          <w:sz w:val="18"/>
          <w:szCs w:val="18"/>
          <w:color w:val="auto"/>
        </w:rPr>
        <w:t>Sales of our products outside of the United States would be subject to foreign regulatory requirements governing clinical trials and marketing approval. We will incur substantial expenses in connection with our international expansion. Additional risks related to operating in foreign countries include:</w:t>
      </w:r>
    </w:p>
    <w:p>
      <w:pPr>
        <w:spacing w:after="0" w:line="109" w:lineRule="exact"/>
        <w:rPr>
          <w:sz w:val="20"/>
          <w:szCs w:val="20"/>
          <w:color w:val="auto"/>
        </w:rPr>
      </w:pPr>
    </w:p>
    <w:p>
      <w:pPr>
        <w:ind w:left="1140" w:right="560" w:hanging="383"/>
        <w:spacing w:after="0" w:line="282"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and reimbursement regimes in foreign countries, including changes to regulatory requirements and implementation of new regulations in foreign countries;</w:t>
      </w:r>
    </w:p>
    <w:p>
      <w:pPr>
        <w:spacing w:after="0" w:line="28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compliance with non-U.S. laws and regulations;</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price and exchange controls and other regulatory requirements;</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import or export licensing requirements, or other restrictive actions by U.S. or non-U.S. governments;</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44" w:lineRule="exact"/>
        <w:rPr>
          <w:rFonts w:ascii="Times New Roman" w:cs="Times New Roman" w:eastAsia="Times New Roman" w:hAnsi="Times New Roman"/>
          <w:sz w:val="18"/>
          <w:szCs w:val="18"/>
          <w:color w:val="auto"/>
        </w:rPr>
      </w:pPr>
    </w:p>
    <w:p>
      <w:pPr>
        <w:ind w:left="1140" w:right="320" w:hanging="383"/>
        <w:spacing w:after="0" w:line="266"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9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4" w:name="page55"/>
    <w:bookmarkEnd w:id="54"/>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U.S. Foreign Corrupt Practices Act (“FCPA”) or comparable foreign regulations;</w:t>
      </w:r>
    </w:p>
    <w:p>
      <w:pPr>
        <w:spacing w:after="0" w:line="144" w:lineRule="exact"/>
        <w:rPr>
          <w:rFonts w:ascii="Times New Roman" w:cs="Times New Roman" w:eastAsia="Times New Roman" w:hAnsi="Times New Roman"/>
          <w:sz w:val="18"/>
          <w:szCs w:val="18"/>
          <w:color w:val="auto"/>
        </w:rPr>
      </w:pPr>
    </w:p>
    <w:p>
      <w:pPr>
        <w:ind w:left="1140" w:right="300" w:hanging="383"/>
        <w:spacing w:after="0" w:line="266"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9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w:t>
      </w:r>
    </w:p>
    <w:p>
      <w:pPr>
        <w:spacing w:after="0" w:line="144" w:lineRule="exact"/>
        <w:rPr>
          <w:sz w:val="20"/>
          <w:szCs w:val="20"/>
          <w:color w:val="auto"/>
        </w:rPr>
      </w:pPr>
    </w:p>
    <w:p>
      <w:pPr>
        <w:ind w:right="80" w:firstLine="374"/>
        <w:spacing w:after="0" w:line="266" w:lineRule="auto"/>
        <w:rPr>
          <w:sz w:val="20"/>
          <w:szCs w:val="20"/>
          <w:color w:val="auto"/>
        </w:rPr>
      </w:pPr>
      <w:r>
        <w:rPr>
          <w:rFonts w:ascii="Times New Roman" w:cs="Times New Roman" w:eastAsia="Times New Roman" w:hAnsi="Times New Roman"/>
          <w:sz w:val="18"/>
          <w:szCs w:val="18"/>
          <w:color w:val="auto"/>
        </w:rPr>
        <w:t>These and other risks associated with international operations may materially adversely affect our ability to attain or maintain profitable operations in international markets, which would have a material adverse effect on our business, financial condition and results of operations.</w:t>
      </w:r>
    </w:p>
    <w:p>
      <w:pPr>
        <w:spacing w:after="0" w:line="95" w:lineRule="exact"/>
        <w:rPr>
          <w:sz w:val="20"/>
          <w:szCs w:val="20"/>
          <w:color w:val="auto"/>
        </w:rPr>
      </w:pPr>
    </w:p>
    <w:p>
      <w:pPr>
        <w:ind w:right="20" w:firstLine="374"/>
        <w:spacing w:after="0" w:line="243" w:lineRule="auto"/>
        <w:rPr>
          <w:sz w:val="20"/>
          <w:szCs w:val="20"/>
          <w:color w:val="auto"/>
        </w:rPr>
      </w:pPr>
      <w:r>
        <w:rPr>
          <w:rFonts w:ascii="Times New Roman" w:cs="Times New Roman" w:eastAsia="Times New Roman" w:hAnsi="Times New Roman"/>
          <w:sz w:val="18"/>
          <w:szCs w:val="18"/>
          <w:color w:val="auto"/>
        </w:rPr>
        <w:t>Further, our products may be subject to U.S. and foreign export controls, trade sanctions and import laws and regulations. Governmental regulation of the import or export of our products, or our failure to obtain any required import or export authorization for our products, where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w:t>
      </w:r>
    </w:p>
    <w:p>
      <w:pPr>
        <w:spacing w:after="0" w:line="118" w:lineRule="exact"/>
        <w:rPr>
          <w:sz w:val="20"/>
          <w:szCs w:val="20"/>
          <w:color w:val="auto"/>
        </w:rPr>
      </w:pPr>
    </w:p>
    <w:p>
      <w:pPr>
        <w:ind w:right="80" w:firstLine="374"/>
        <w:spacing w:after="0" w:line="243" w:lineRule="auto"/>
        <w:rPr>
          <w:sz w:val="20"/>
          <w:szCs w:val="20"/>
          <w:color w:val="auto"/>
        </w:rPr>
      </w:pPr>
      <w:r>
        <w:rPr>
          <w:rFonts w:ascii="Times New Roman" w:cs="Times New Roman" w:eastAsia="Times New Roman" w:hAnsi="Times New Roman"/>
          <w:sz w:val="18"/>
          <w:szCs w:val="18"/>
          <w:color w:val="auto"/>
        </w:rPr>
        <w:t>In addition, there can be no guarantee that we will receive approval to sell our products in the international markets we target, nor can there be any guarantee that any sales would result even if such approval is received. Even if the FDA grants marketing approval for a product, comparable regulatory authorities of foreign countries must also approve the manufacturing or marketing of the product in those countries. Approval in the United States, or in any other jurisdiction, does not ensure approval in other jurisdictions. Obtaining foreign approvals could result in significant delays, difficulties and costs for us and require additional trials and additional expenses. Regulatory requirements can vary widely from country to country and could delay the introduction of our products in those countries. Clinical trials conducted in one country may not be accepted by other countries, and regulatory approval in one country does not mean that regulatory approval will be obtained in any other country. If we fail to comply with these regulatory requirements or to obtain and maintain required approvals, our target market will be reduced and our ability to generate revenue will be diminished. Our inability to successfully enter all our desired international markets and manage business on a global scale could negatively affect our business, financial results and results of operations.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achieve or maintain satisfactory pricing and margins for our products.</w:t>
      </w:r>
    </w:p>
    <w:p>
      <w:pPr>
        <w:spacing w:after="0" w:line="121" w:lineRule="exact"/>
        <w:rPr>
          <w:sz w:val="20"/>
          <w:szCs w:val="20"/>
          <w:color w:val="auto"/>
        </w:rPr>
      </w:pPr>
    </w:p>
    <w:p>
      <w:pPr>
        <w:ind w:firstLine="374"/>
        <w:spacing w:after="0" w:line="246" w:lineRule="auto"/>
        <w:rPr>
          <w:sz w:val="20"/>
          <w:szCs w:val="20"/>
          <w:color w:val="auto"/>
        </w:rPr>
      </w:pPr>
      <w:r>
        <w:rPr>
          <w:rFonts w:ascii="Times New Roman" w:cs="Times New Roman" w:eastAsia="Times New Roman" w:hAnsi="Times New Roman"/>
          <w:sz w:val="18"/>
          <w:szCs w:val="18"/>
          <w:color w:val="auto"/>
        </w:rPr>
        <w:t>Manufacturers of medical devices have a history of price competition, and we can give no assurance that we will be able to achieve satisfactory prices for our products or maintain prices at the levels we have historically achieved. Any decline in the amount that payors reimburse doctors performing cataract procedures, or any reduction in the flexibility to charge patients for non-reimbursed procedures could make it difficult for us to convince our customers to make the up-front investment in our LDD and could create additional pricing pressure with respect to the patient’s decision to pay the additional cost associated with our LALs and potentially a reduction in the number of procedures performed using the RxSight system and corresponding sales of LDDs, LALs, accessories and services. If we are forced to lower the price we charge for our products, our revenue and gross margins will decrease, which will adversely affect our ability to invest in and grow our business. If we are unable to maintain our prices, or if our costs increase and we are unable to offset such increase with an increase in our prices, our margins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could erode. We will continue to be subject to significant pricing pressure, which could harm our business, financial condition and results of operations.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sizes of the markets for our current and future products have not been established with precision and may be smaller than we estimate.</w:t>
      </w:r>
    </w:p>
    <w:p>
      <w:pPr>
        <w:spacing w:after="0" w:line="121" w:lineRule="exact"/>
        <w:rPr>
          <w:sz w:val="20"/>
          <w:szCs w:val="20"/>
          <w:color w:val="auto"/>
        </w:rPr>
      </w:pPr>
    </w:p>
    <w:p>
      <w:pPr>
        <w:ind w:firstLine="374"/>
        <w:spacing w:after="0" w:line="246" w:lineRule="auto"/>
        <w:rPr>
          <w:sz w:val="20"/>
          <w:szCs w:val="20"/>
          <w:color w:val="auto"/>
        </w:rPr>
      </w:pPr>
      <w:r>
        <w:rPr>
          <w:rFonts w:ascii="Times New Roman" w:cs="Times New Roman" w:eastAsia="Times New Roman" w:hAnsi="Times New Roman"/>
          <w:sz w:val="18"/>
          <w:szCs w:val="18"/>
          <w:color w:val="auto"/>
        </w:rPr>
        <w:t>Our estimates of the annual total addressable markets for our current products and products under development are based on a number of internal and third-party estimates, including, without limitation, the number of patients who have undergone cataract surgery, and the assumed prices at which we can sell our RxSight system.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In addition, our estimates of the sizes of the cataract surgery patient population include patients who might never be likely candidates for treatment with our products. As a result, our estimates of the annual total addressable market for our current or future products may prove to be incorrect. If the actual number of patients who would benefit from our products, the price at which we can sell future products, or the annual total addressable market for our products is smaller than we have estimated, it may impair our sales growth and have an adverse impact on our business.</w:t>
      </w:r>
    </w:p>
    <w:p>
      <w:pPr>
        <w:spacing w:after="0" w:line="10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public health insurance coverage and government reimbursement rates for our products could affect the adoption of our products and our future revenue.</w:t>
      </w:r>
    </w:p>
    <w:p>
      <w:pPr>
        <w:spacing w:after="0" w:line="64" w:lineRule="exact"/>
        <w:rPr>
          <w:sz w:val="20"/>
          <w:szCs w:val="20"/>
          <w:color w:val="auto"/>
        </w:rPr>
      </w:pPr>
    </w:p>
    <w:p>
      <w:pPr>
        <w:ind w:right="140" w:firstLine="374"/>
        <w:spacing w:after="0" w:line="243" w:lineRule="auto"/>
        <w:rPr>
          <w:sz w:val="20"/>
          <w:szCs w:val="20"/>
          <w:color w:val="auto"/>
        </w:rPr>
      </w:pPr>
      <w:r>
        <w:rPr>
          <w:rFonts w:ascii="Times New Roman" w:cs="Times New Roman" w:eastAsia="Times New Roman" w:hAnsi="Times New Roman"/>
          <w:sz w:val="18"/>
          <w:szCs w:val="18"/>
          <w:color w:val="auto"/>
        </w:rPr>
        <w:t>The federal government is considering ways to change, and has changed, the manner in which healthcare services are paid for in the United States. Individual states may also enact legislation that impacts Medicaid payments to doctors. In addition, CMS establishes Medicare payment levels for doctors on an annual basis, which can increase or decrease payment to such entities. Internationally, medical reimbursement systems vary significantly from country to country, with some countries limiting medical centers’ spending through fixed budgets, regardless of levels of patient treatment, and other countries requiring application for, and approval of, government or third-party reimbursement. In addition, the ability to charge patients directly for premium IOLs and associated services also varies widely across different countries and could become more restricted. Even if we succeed in bringing our products to market internationally, uncertainties regarding future healthcare policy, legislation and regulation, as well as private market practices, could affect our ability to sell our products in commercially acceptable quantities at acceptable prices.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and annual results may fluctuate significantly and may not fully reflect the underlying performance of our business.</w:t>
      </w:r>
    </w:p>
    <w:p>
      <w:pPr>
        <w:spacing w:after="0" w:line="121" w:lineRule="exact"/>
        <w:rPr>
          <w:sz w:val="20"/>
          <w:szCs w:val="20"/>
          <w:color w:val="auto"/>
        </w:rPr>
      </w:pPr>
    </w:p>
    <w:p>
      <w:pPr>
        <w:ind w:right="140" w:firstLine="374"/>
        <w:spacing w:after="0" w:line="247" w:lineRule="auto"/>
        <w:rPr>
          <w:sz w:val="20"/>
          <w:szCs w:val="20"/>
          <w:color w:val="auto"/>
        </w:rPr>
      </w:pPr>
      <w:r>
        <w:rPr>
          <w:rFonts w:ascii="Times New Roman" w:cs="Times New Roman" w:eastAsia="Times New Roman" w:hAnsi="Times New Roman"/>
          <w:sz w:val="18"/>
          <w:szCs w:val="18"/>
          <w:color w:val="auto"/>
        </w:rPr>
        <w:t>Our quarterly and annual results of operations, including our revenue, profitability and cash flow, may vary significantly in the future, and period-to-period comparisons of our operating results may not be meaningful. Accordingly, the results of any one quarter or period should not be relied upon as an indication of future performance. Our quarterly and annual financial results may fluctuate as a result of a variety of factors, many of which are outside our control and, as a result, may not fully reflect the underlying performance of our business. Fluctuations in quarterly and annual results may decrease the value of our common stock. Because our quarterly results may fluctuate, period-to-period comparisons may not be the best indication of the underlying results of our business and should only be relied upon as one factor in determining how our business is performing.</w:t>
      </w:r>
    </w:p>
    <w:p>
      <w:pPr>
        <w:spacing w:after="0" w:line="108"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8"/>
          <w:szCs w:val="18"/>
          <w:b w:val="1"/>
          <w:bCs w:val="1"/>
          <w:i w:val="1"/>
          <w:iCs w:val="1"/>
          <w:color w:val="auto"/>
        </w:rPr>
        <w:t>We expect to significantly expand our organization, including expanding our sales and marketing capability and creating additional infrastructure to support our operations as a public company, and as a result, we may encounter difficulties in managing our growth, which could disrupt our operations.</w:t>
      </w:r>
    </w:p>
    <w:p>
      <w:pPr>
        <w:spacing w:after="0" w:line="59" w:lineRule="exact"/>
        <w:rPr>
          <w:sz w:val="20"/>
          <w:szCs w:val="20"/>
          <w:color w:val="auto"/>
        </w:rPr>
      </w:pPr>
    </w:p>
    <w:p>
      <w:pPr>
        <w:ind w:right="120" w:firstLine="374"/>
        <w:spacing w:after="0" w:line="266" w:lineRule="auto"/>
        <w:rPr>
          <w:sz w:val="20"/>
          <w:szCs w:val="20"/>
          <w:color w:val="auto"/>
        </w:rPr>
      </w:pPr>
      <w:r>
        <w:rPr>
          <w:rFonts w:ascii="Times New Roman" w:cs="Times New Roman" w:eastAsia="Times New Roman" w:hAnsi="Times New Roman"/>
          <w:sz w:val="18"/>
          <w:szCs w:val="18"/>
          <w:color w:val="auto"/>
        </w:rPr>
        <w:t>We expect to experience significant growth in the number of our employees and the scope of our operations, particularly in the areas of sales and marketing and finance and accounting. To manage our anticipated future growth, we must continue to implement and improve our managerial, operational and financial systems, expand our facilities and continue to recruit and train additional qualified personnel. Due to our limited financial resources and our limited experience in managing such anticipated growth, we may not be able to effectively manage the expansion of our operations or recruit and train additional qualified personnel. The expansion of our operations may lead to significant costs and may divert or stretch our management and business development resources in a way that we may not anticipate. Any inability to manage growth could delay the execution of our business plans or disrupt our operations.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of our operating results and financial metrics may be difficult to predict as a result of seasonality.</w:t>
      </w:r>
    </w:p>
    <w:p>
      <w:pPr>
        <w:spacing w:after="0" w:line="121" w:lineRule="exact"/>
        <w:rPr>
          <w:sz w:val="20"/>
          <w:szCs w:val="20"/>
          <w:color w:val="auto"/>
        </w:rPr>
      </w:pPr>
    </w:p>
    <w:p>
      <w:pPr>
        <w:ind w:right="40" w:firstLine="374"/>
        <w:spacing w:after="0" w:line="270" w:lineRule="auto"/>
        <w:rPr>
          <w:sz w:val="20"/>
          <w:szCs w:val="20"/>
          <w:color w:val="auto"/>
        </w:rPr>
      </w:pPr>
      <w:r>
        <w:rPr>
          <w:rFonts w:ascii="Times New Roman" w:cs="Times New Roman" w:eastAsia="Times New Roman" w:hAnsi="Times New Roman"/>
          <w:sz w:val="18"/>
          <w:szCs w:val="18"/>
          <w:color w:val="auto"/>
        </w:rPr>
        <w:t>While we have not yet experienced significant seasonality in our results, it is not uncommon in our industry to experience seasonally weaker revenue during the summer months and end-of-year holiday season. We may be affected by other seasonal trends in the future, including severe weather (which can impact the number of elective procedures performed), particularly as our business matures. Additionally, this seasonality may be reflected to a much lesser extent, and sometimes may not be immediately apparent, in our revenue. To the extent we experience this seasonality, it may cause fluctuations in our operating results and financial metrics and make forecasting our future operating results and financial metrics more difficult.</w:t>
      </w:r>
    </w:p>
    <w:p>
      <w:pPr>
        <w:spacing w:after="0" w:line="101"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to offset future taxable income may be subject to certain limitations.</w:t>
      </w:r>
    </w:p>
    <w:p>
      <w:pPr>
        <w:spacing w:after="0" w:line="64" w:lineRule="exact"/>
        <w:rPr>
          <w:sz w:val="20"/>
          <w:szCs w:val="20"/>
          <w:color w:val="auto"/>
        </w:rPr>
      </w:pPr>
    </w:p>
    <w:p>
      <w:pPr>
        <w:ind w:right="120" w:firstLine="374"/>
        <w:spacing w:after="0" w:line="263" w:lineRule="auto"/>
        <w:rPr>
          <w:sz w:val="20"/>
          <w:szCs w:val="20"/>
          <w:color w:val="auto"/>
        </w:rPr>
      </w:pPr>
      <w:r>
        <w:rPr>
          <w:rFonts w:ascii="Times New Roman" w:cs="Times New Roman" w:eastAsia="Times New Roman" w:hAnsi="Times New Roman"/>
          <w:sz w:val="18"/>
          <w:szCs w:val="18"/>
          <w:color w:val="auto"/>
        </w:rPr>
        <w:t>As of December 31, 2021, we had federal net operating loss carryforwards (“NOLs”) of approximately $270.4 million, which will begin to expire in various years ranging from 2022 to 2037. Our NOLs could expire unused and be unavailable to offset future income tax liabilities because of their limited duration or because of restrictions under U.S. tax law. Under the Tax Act, as modified by the Coronavirus Aid, Relief, and Economic Security Act, or the CARES Act, our federal NOLs generated in tax years ending after December 31, 2017 may be carried forward indefinitely, but the deductibility of such federal net NOLs in tax years beginning after December 31, 2020 is limited to 80% of taxable income. It is uncertain if and to what extent various states will conform to the Tax Act, as modified by the CARES Act.</w:t>
      </w:r>
    </w:p>
    <w:p>
      <w:pPr>
        <w:spacing w:after="0" w:line="124" w:lineRule="exact"/>
        <w:rPr>
          <w:sz w:val="20"/>
          <w:szCs w:val="20"/>
          <w:color w:val="auto"/>
        </w:rPr>
      </w:pPr>
    </w:p>
    <w:p>
      <w:pPr>
        <w:jc w:val="both"/>
        <w:ind w:firstLine="374"/>
        <w:spacing w:after="0" w:line="278" w:lineRule="auto"/>
        <w:rPr>
          <w:sz w:val="20"/>
          <w:szCs w:val="20"/>
          <w:color w:val="auto"/>
        </w:rPr>
      </w:pPr>
      <w:r>
        <w:rPr>
          <w:rFonts w:ascii="Times New Roman" w:cs="Times New Roman" w:eastAsia="Times New Roman" w:hAnsi="Times New Roman"/>
          <w:sz w:val="17"/>
          <w:szCs w:val="17"/>
          <w:color w:val="auto"/>
        </w:rPr>
        <w:t>In addition, under Sections 382 and 383 of the Internal Revenue Code of 1986, as amended (Code), if a corporation undergoes an “ownership change” (generally defined as a cumulative change in our ownership by “5-percent shareholders” that exceeds 50 percentage points over a rolling three-year period), the corporation’s ability to use its pre-change NOLs and certain other pre-change tax attributes to offset its post-change income and taxes may be limited.</w:t>
      </w:r>
    </w:p>
    <w:p>
      <w:pPr>
        <w:spacing w:after="0" w:line="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Similar rules may apply under state tax laws. We may have experienced such ownership changes in the past, and we may experience an ownership change in the future as a result of subsequent shifts in our stock ownership, some of which are outside our control. We have not conducted any studies to determine annual limitations, if any, that could result from such changes in our stock ownership. Our ability to utilize those NOLs could be limited by an “ownership change” as described above and consequently, we may not be able to utilize a material portion of our NOLs and certain other tax attributes, which could have a material adverse effect on our cash flows and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ind w:right="300"/>
        <w:spacing w:after="0" w:line="27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protect and enforce patent and other intellectual property protection for our technology and products, or if the scope of the patent and other intellectual property protection obtained is not sufficiently broad, we may not be able to compete effectively in our markets.</w:t>
      </w:r>
    </w:p>
    <w:p>
      <w:pPr>
        <w:spacing w:after="0" w:line="73" w:lineRule="exact"/>
        <w:rPr>
          <w:sz w:val="20"/>
          <w:szCs w:val="20"/>
          <w:color w:val="auto"/>
        </w:rPr>
      </w:pPr>
    </w:p>
    <w:p>
      <w:pPr>
        <w:ind w:right="80" w:firstLine="374"/>
        <w:spacing w:after="0" w:line="266"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maintain, protect and enforce patent and other intellectual property protection in the United States and other countries with respect to our products and technology we develop. If we fail to obtain, maintain, protect and enforce our intellectual property, third parties may be able to compete more effectively against us, we may lose our technological or competitive advantage, or we may incur substantial litigation costs in our attempts to recover or restrict use of our intellectual property.</w:t>
      </w:r>
    </w:p>
    <w:p>
      <w:pPr>
        <w:spacing w:after="0" w:line="108" w:lineRule="exact"/>
        <w:rPr>
          <w:sz w:val="20"/>
          <w:szCs w:val="20"/>
          <w:color w:val="auto"/>
        </w:rPr>
      </w:pPr>
    </w:p>
    <w:p>
      <w:pPr>
        <w:ind w:right="100" w:firstLine="374"/>
        <w:spacing w:after="0" w:line="266" w:lineRule="auto"/>
        <w:rPr>
          <w:sz w:val="20"/>
          <w:szCs w:val="20"/>
          <w:color w:val="auto"/>
        </w:rPr>
      </w:pPr>
      <w:r>
        <w:rPr>
          <w:rFonts w:ascii="Times New Roman" w:cs="Times New Roman" w:eastAsia="Times New Roman" w:hAnsi="Times New Roman"/>
          <w:sz w:val="18"/>
          <w:szCs w:val="18"/>
          <w:color w:val="auto"/>
        </w:rPr>
        <w:t>We seek to protect our position by in-licensing intellectual property relating to our products and filing patent applications in the United States and abroad related to our technologies and products that are important to our business. We also rely on a combination of contractual provisions, confidentiality procedures and copyright, trademark, trade secret and other intellectual property rights to protect the proprietary aspects of our brands, products, technologies and data. These legal measures afford only limited protection, and competitors or others may gain access to or use our intellectual property and proprietary information. Our success will depend, in part, on obtaining and maintaining patents, copyrights, trademarks, trade secrets, data and know-how and other intellectual property rights.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7" w:right="359" w:bottom="1440" w:gutter="0" w:footer="0" w:header="0"/>
        </w:sectPr>
      </w:pPr>
    </w:p>
    <w:bookmarkStart w:id="57" w:name="page58"/>
    <w:bookmarkEnd w:id="57"/>
    <w:p>
      <w:pPr>
        <w:ind w:firstLine="374"/>
        <w:spacing w:after="0" w:line="263" w:lineRule="auto"/>
        <w:rPr>
          <w:sz w:val="20"/>
          <w:szCs w:val="20"/>
          <w:color w:val="auto"/>
        </w:rPr>
      </w:pPr>
      <w:r>
        <w:rPr>
          <w:rFonts w:ascii="Times New Roman" w:cs="Times New Roman" w:eastAsia="Times New Roman" w:hAnsi="Times New Roman"/>
          <w:sz w:val="18"/>
          <w:szCs w:val="18"/>
          <w:color w:val="auto"/>
        </w:rPr>
        <w:t>We may not be able to obtain and maintain intellectual property or other proprietary rights necessary to our business or in a form that provides us with a competitive advantage. For example, our trade secrets, data and know-how could be subject to unauthorized use, misappropriation or disclosure to unauthorized parties, despite our efforts to enter into confidentiality agreements with our employees, consultants, contractors, clients and other vendors who have access to such information, and could otherwise become known or be independently discovered by third parties. In addition, the patent prosecution process is expensive, time-consuming and complex, and we may not be able to file, prosecute, maintain, enforce or license all necessary or desirable patent applications at a reasonable cost, in a timely manner, or in all jurisdictions where protection may be commercially advantageous, or we may not be able to protect our intellectual property at all. Despite our efforts to protect our intellectual property, unauthorized parties may be able to obtain and use information that we regard as proprietary.</w:t>
      </w:r>
    </w:p>
    <w:p>
      <w:pPr>
        <w:spacing w:after="0" w:line="116" w:lineRule="exact"/>
        <w:rPr>
          <w:sz w:val="20"/>
          <w:szCs w:val="20"/>
          <w:color w:val="auto"/>
        </w:rPr>
      </w:pPr>
    </w:p>
    <w:p>
      <w:pPr>
        <w:ind w:right="40" w:firstLine="374"/>
        <w:spacing w:after="0" w:line="266"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owned and in-licensed issued patents may be challenged in courts or patent offices in the United States and abroad. For example, we may be subject to a third-party submission of prior art to the USPTO, challenging the validity of one or more claims of our owned or in-licensed issued patents. Such submissions may also be made prior to a patent’s issuance, precluding the granting of a patent based on one of our owned or in-licensed pending patent applications.</w:t>
      </w:r>
    </w:p>
    <w:p>
      <w:pPr>
        <w:spacing w:after="0" w:line="122" w:lineRule="exact"/>
        <w:rPr>
          <w:sz w:val="20"/>
          <w:szCs w:val="20"/>
          <w:color w:val="auto"/>
        </w:rPr>
      </w:pPr>
    </w:p>
    <w:p>
      <w:pPr>
        <w:ind w:firstLine="374"/>
        <w:spacing w:after="0" w:line="260" w:lineRule="auto"/>
        <w:rPr>
          <w:sz w:val="20"/>
          <w:szCs w:val="20"/>
          <w:color w:val="auto"/>
        </w:rPr>
      </w:pPr>
      <w:r>
        <w:rPr>
          <w:rFonts w:ascii="Times New Roman" w:cs="Times New Roman" w:eastAsia="Times New Roman" w:hAnsi="Times New Roman"/>
          <w:sz w:val="18"/>
          <w:szCs w:val="18"/>
          <w:color w:val="auto"/>
        </w:rPr>
        <w:t>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consultants, contractors, collaborators, vendors and other third parties, any of these parties may breach the agreements and disclose such output before a patent application is filed, thereby jeopardizing our ability to seek patent protection. We may not be able to obtain or maintain patent applications and issued patents due to the subject matter claimed in such patent applications and issued patents being in disclosures in the public domain, and we may not be able to prevent any third party from using any of our technology that is in the public domain to compete with our technologies.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owned or in-licensed issued patents or pending patent applications, or that we were the first to file for patent protection of such inventions. If a third party can establish that we or our licensors were not the first to make or the first to file for patent protection of such inventions, our owned or in-licensed patent applications may not issue as patents and even if issued, may be challenged and invalidated or rendered unenforceable.</w:t>
      </w:r>
    </w:p>
    <w:p>
      <w:pPr>
        <w:spacing w:after="0" w:line="131" w:lineRule="exact"/>
        <w:rPr>
          <w:sz w:val="20"/>
          <w:szCs w:val="20"/>
          <w:color w:val="auto"/>
        </w:rPr>
      </w:pPr>
    </w:p>
    <w:p>
      <w:pPr>
        <w:ind w:right="40" w:firstLine="374"/>
        <w:spacing w:after="0" w:line="263" w:lineRule="auto"/>
        <w:rPr>
          <w:sz w:val="20"/>
          <w:szCs w:val="20"/>
          <w:color w:val="auto"/>
        </w:rPr>
      </w:pPr>
      <w:r>
        <w:rPr>
          <w:rFonts w:ascii="Times New Roman" w:cs="Times New Roman" w:eastAsia="Times New Roman" w:hAnsi="Times New Roman"/>
          <w:sz w:val="18"/>
          <w:szCs w:val="18"/>
          <w:color w:val="auto"/>
        </w:rPr>
        <w:t>The patent position of medical device companies generally is highly uncertain, involves complex legal and factual questions, and has been the subject of much litigation in recent years. 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or narrow the scope of our owned and in-licensed patents. With respect to both in-licensed and owned intellectual property, we cannot predict whether the patent applications we and our licensors are currently pursuing will issue as patents in any particular jurisdiction or whether the claims of any issued patents will provide sufficient protection from competitors. As a result, the issuance, scope, validity, enforceability and commercial value of our patent rights are highly uncertain.</w:t>
      </w:r>
    </w:p>
    <w:p>
      <w:pPr>
        <w:spacing w:after="0" w:line="113" w:lineRule="exact"/>
        <w:rPr>
          <w:sz w:val="20"/>
          <w:szCs w:val="20"/>
          <w:color w:val="auto"/>
        </w:rPr>
      </w:pPr>
    </w:p>
    <w:p>
      <w:pPr>
        <w:ind w:firstLine="374"/>
        <w:spacing w:after="0" w:line="263" w:lineRule="auto"/>
        <w:rPr>
          <w:sz w:val="20"/>
          <w:szCs w:val="20"/>
          <w:color w:val="auto"/>
        </w:rPr>
      </w:pPr>
      <w:r>
        <w:rPr>
          <w:rFonts w:ascii="Times New Roman" w:cs="Times New Roman" w:eastAsia="Times New Roman" w:hAnsi="Times New Roman"/>
          <w:sz w:val="18"/>
          <w:szCs w:val="18"/>
          <w:color w:val="auto"/>
        </w:rPr>
        <w:t>Moreover, the coverage claimed in a patent application can be significantly reduced before a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hold or in-license may be challenged, narrowed or invalidated by third parties. Additionally, our competitors or other third parties may be able to circumvent our patents by developing similar or alternative technologies or products in a non-infringing manner. Third parties may also have blocking patents that could prevent us from marketing our own products and practicing our own technology. Alternatively, third parties may seek approval to market their own products similar to or otherwise compete with our products. In these circumstances, we may need to defend and/or assert our patents, including by filing lawsuits alleging patent infringement. In any of</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51" w:right="379" w:bottom="1440" w:gutter="0" w:footer="0" w:header="0"/>
        </w:sectPr>
      </w:pPr>
    </w:p>
    <w:bookmarkStart w:id="58" w:name="page59"/>
    <w:bookmarkEnd w:id="58"/>
    <w:p>
      <w:pPr>
        <w:jc w:val="both"/>
        <w:spacing w:after="0" w:line="266" w:lineRule="auto"/>
        <w:rPr>
          <w:sz w:val="20"/>
          <w:szCs w:val="20"/>
          <w:color w:val="auto"/>
        </w:rPr>
      </w:pPr>
      <w:r>
        <w:rPr>
          <w:rFonts w:ascii="Times New Roman" w:cs="Times New Roman" w:eastAsia="Times New Roman" w:hAnsi="Times New Roman"/>
          <w:sz w:val="18"/>
          <w:szCs w:val="18"/>
          <w:color w:val="auto"/>
        </w:rPr>
        <w:t>these types of proceedings, a court or agency with jurisdiction may find our patents invalid, unenforceable or not infringed, in which case, our competitors and other third parties may then be able to market products and use manufacturing and analytical processes that are substantially similar to ours. Even if we have valid and enforceable patents, these patents still may not provide protection against competing products or processes sufficient to achieve our business objectives.</w:t>
      </w:r>
    </w:p>
    <w:p>
      <w:pPr>
        <w:spacing w:after="0" w:line="122" w:lineRule="exact"/>
        <w:rPr>
          <w:sz w:val="20"/>
          <w:szCs w:val="20"/>
          <w:color w:val="auto"/>
        </w:rPr>
      </w:pPr>
    </w:p>
    <w:p>
      <w:pPr>
        <w:ind w:right="20" w:firstLine="374"/>
        <w:spacing w:after="0" w:line="266" w:lineRule="auto"/>
        <w:rPr>
          <w:sz w:val="20"/>
          <w:szCs w:val="20"/>
          <w:color w:val="auto"/>
        </w:rPr>
      </w:pPr>
      <w:r>
        <w:rPr>
          <w:rFonts w:ascii="Times New Roman" w:cs="Times New Roman" w:eastAsia="Times New Roman" w:hAnsi="Times New Roman"/>
          <w:sz w:val="18"/>
          <w:szCs w:val="18"/>
          <w:color w:val="auto"/>
        </w:rPr>
        <w:t>Given that patent applications are confidential for a period of time after filing, we cannot be certain that we were the first to file any patent application related to our products. Competitors may also contest our patents, if issued, by showing the USPTO, or the applicable other foreign patent agency that the invention was not original, was not novel or was obvious. In litigation, a competitor could claim that our patents, if issued, are not valid for a number of reasons. If a court agrees, we would lose our rights to those challenged patents.</w:t>
      </w:r>
    </w:p>
    <w:p>
      <w:pPr>
        <w:spacing w:after="0" w:line="108"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In addition, given the amount of time required for the development, testing and regulatory review of new products, patents protecting such products might expire before or shortly after such products are commercialized. As a result, our intellectual property may not provide us with sufficient rights to exclude others from commercializing products similar or identical to ours. Moreover, some of our owned and in-licensed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w:t>
      </w:r>
    </w:p>
    <w:p>
      <w:pPr>
        <w:spacing w:after="0" w:line="109" w:lineRule="exact"/>
        <w:rPr>
          <w:sz w:val="20"/>
          <w:szCs w:val="20"/>
          <w:color w:val="auto"/>
        </w:rPr>
      </w:pPr>
    </w:p>
    <w:p>
      <w:pPr>
        <w:ind w:right="160" w:firstLine="374"/>
        <w:spacing w:after="0" w:line="266" w:lineRule="auto"/>
        <w:rPr>
          <w:sz w:val="20"/>
          <w:szCs w:val="20"/>
          <w:color w:val="auto"/>
        </w:rPr>
      </w:pPr>
      <w:r>
        <w:rPr>
          <w:rFonts w:ascii="Times New Roman" w:cs="Times New Roman" w:eastAsia="Times New Roman" w:hAnsi="Times New Roman"/>
          <w:sz w:val="18"/>
          <w:szCs w:val="18"/>
          <w:color w:val="auto"/>
        </w:rPr>
        <w:t>Our other intellectual property, including our trademarks, could also be challenged, invalidated, infringed and circumvented by third parties, and our trademarks could also be diluted, declared generic or found to be infringing on other marks, in which case we could be forced to re-brand our products, resulting in loss of brand recognition and requiring us to devote resources to advertising and marketing new brands, and suffer other competitive harm. Third parties may also adopt trademarks similar to ours, which could harm our brand identity and lead to market confusion.</w:t>
      </w:r>
    </w:p>
    <w:p>
      <w:pPr>
        <w:spacing w:after="0" w:line="122" w:lineRule="exact"/>
        <w:rPr>
          <w:sz w:val="20"/>
          <w:szCs w:val="20"/>
          <w:color w:val="auto"/>
        </w:rPr>
      </w:pPr>
    </w:p>
    <w:p>
      <w:pPr>
        <w:ind w:right="120" w:firstLine="374"/>
        <w:spacing w:after="0" w:line="263" w:lineRule="auto"/>
        <w:rPr>
          <w:sz w:val="20"/>
          <w:szCs w:val="20"/>
          <w:color w:val="auto"/>
        </w:rPr>
      </w:pPr>
      <w:r>
        <w:rPr>
          <w:rFonts w:ascii="Times New Roman" w:cs="Times New Roman" w:eastAsia="Times New Roman" w:hAnsi="Times New Roman"/>
          <w:sz w:val="18"/>
          <w:szCs w:val="18"/>
          <w:color w:val="auto"/>
        </w:rPr>
        <w:t>We may in the future also be subject to claims by our former employees, consultants or contractors asserting an ownership right in our patents or patent applications, as a result of the work they performed on our behalf. Although we generally require all of our employees, consultants, contractors and any other partners or collaborators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11" w:lineRule="exact"/>
        <w:rPr>
          <w:sz w:val="20"/>
          <w:szCs w:val="20"/>
          <w:color w:val="auto"/>
        </w:rPr>
      </w:pPr>
    </w:p>
    <w:p>
      <w:pPr>
        <w:ind w:right="40" w:firstLine="374"/>
        <w:spacing w:after="0" w:line="266" w:lineRule="auto"/>
        <w:rPr>
          <w:sz w:val="20"/>
          <w:szCs w:val="20"/>
          <w:color w:val="auto"/>
        </w:rPr>
      </w:pPr>
      <w:r>
        <w:rPr>
          <w:rFonts w:ascii="Times New Roman" w:cs="Times New Roman" w:eastAsia="Times New Roman" w:hAnsi="Times New Roman"/>
          <w:sz w:val="18"/>
          <w:szCs w:val="18"/>
          <w:color w:val="auto"/>
        </w:rPr>
        <w:t>Failure to obtain and maintain patents, trademarks and other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we depend upon may not provide sufficient protection in the future to prevent the infringement, use, violation or misappropriation of our patents, trademarks, data, technology and other intellectual property, and may not provide an adequate remedy if our intellectual property rights are infringed, misappropriated or otherwise violated. Any of the foregoing could have a material adverse effect on our competitive position, business, financial conditions, results of operations and prospects.</w:t>
      </w:r>
    </w:p>
    <w:p>
      <w:pPr>
        <w:spacing w:after="0" w:line="109" w:lineRule="exact"/>
        <w:rPr>
          <w:sz w:val="20"/>
          <w:szCs w:val="20"/>
          <w:color w:val="auto"/>
        </w:rPr>
      </w:pPr>
    </w:p>
    <w:p>
      <w:pPr>
        <w:ind w:right="80" w:firstLine="374"/>
        <w:spacing w:after="0" w:line="266" w:lineRule="auto"/>
        <w:rPr>
          <w:sz w:val="20"/>
          <w:szCs w:val="20"/>
          <w:color w:val="auto"/>
        </w:rPr>
      </w:pPr>
      <w:r>
        <w:rPr>
          <w:rFonts w:ascii="Times New Roman" w:cs="Times New Roman" w:eastAsia="Times New Roman" w:hAnsi="Times New Roman"/>
          <w:sz w:val="18"/>
          <w:szCs w:val="18"/>
          <w:color w:val="auto"/>
        </w:rPr>
        <w:t>Furthermore, our owned and in-licensed patents may be subject to a reservation of rights by one or more third parties. For example, this could arise if the research resulting in certain of our owned or in-licensed patent rights and technology was funded in part by the United States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59" w:name="page60"/>
    <w:bookmarkEnd w:id="59"/>
    <w:p>
      <w:pPr>
        <w:ind w:right="180"/>
        <w:spacing w:after="0" w:line="266" w:lineRule="auto"/>
        <w:rPr>
          <w:sz w:val="20"/>
          <w:szCs w:val="20"/>
          <w:color w:val="auto"/>
        </w:rPr>
      </w:pPr>
      <w:r>
        <w:rPr>
          <w:rFonts w:ascii="Times New Roman" w:cs="Times New Roman" w:eastAsia="Times New Roman" w:hAnsi="Times New Roman"/>
          <w:sz w:val="18"/>
          <w:szCs w:val="18"/>
          <w:color w:val="auto"/>
        </w:rPr>
        <w:t>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United States industry. In addition, our rights in such inventions may be subject to certain requirements to manufacture products embodying such inventions in the United States. Any exercise by the government of such rights could harm our competitive position, business, financial condition, results of operations and prospects.</w:t>
      </w:r>
    </w:p>
    <w:p>
      <w:pPr>
        <w:spacing w:after="0" w:line="108" w:lineRule="exact"/>
        <w:rPr>
          <w:sz w:val="20"/>
          <w:szCs w:val="20"/>
          <w:color w:val="auto"/>
        </w:rPr>
      </w:pPr>
    </w:p>
    <w:p>
      <w:pPr>
        <w:jc w:val="both"/>
        <w:ind w:right="60" w:firstLine="374"/>
        <w:spacing w:after="0" w:line="271" w:lineRule="auto"/>
        <w:rPr>
          <w:sz w:val="20"/>
          <w:szCs w:val="20"/>
          <w:color w:val="auto"/>
        </w:rPr>
      </w:pPr>
      <w:r>
        <w:rPr>
          <w:rFonts w:ascii="Times New Roman" w:cs="Times New Roman" w:eastAsia="Times New Roman" w:hAnsi="Times New Roman"/>
          <w:sz w:val="18"/>
          <w:szCs w:val="18"/>
          <w:color w:val="auto"/>
        </w:rPr>
        <w:t>Moreover, a portion of our intellectual property has been acquired from one or more third parties. While we have conducted diligence with respect to such acquisitions, because we did not participate in the development or prosecution of much of the acquired intellectual property, we cannot guarantee that our diligence efforts identified and/or remedied all issues related to such intellectual property, including potential ownership errors, potential errors during prosecution of such intellectual property, and potential encumbrances that could limit our ability to enforce such intellectual property rights.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technology for an adequate amount of time.</w:t>
      </w:r>
    </w:p>
    <w:p>
      <w:pPr>
        <w:spacing w:after="0" w:line="121"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claimed U.S. non-provisional or Patent Cooperation Treaty application filing date. Various extensions may be available, but the life of a patent, and the protection it affords, is limited. Even if patents covering our products are obtained, once the patent life has expired for a product, we may be open to competition. Given the amount of time required for the development, testing and regulatory review of new products, patents protecting such products might expire before or shortly after such products are commercialized. As a result, our patent portfolio may not provide us with sufficient rights to exclude others from commercializing products similar or identical to ours for a meaningful amount of time, or at all.</w:t>
      </w:r>
    </w:p>
    <w:p>
      <w:pPr>
        <w:spacing w:after="0" w:line="105" w:lineRule="exact"/>
        <w:rPr>
          <w:sz w:val="20"/>
          <w:szCs w:val="20"/>
          <w:color w:val="auto"/>
        </w:rPr>
      </w:pPr>
    </w:p>
    <w:p>
      <w:pPr>
        <w:jc w:val="both"/>
        <w:ind w:right="480"/>
        <w:spacing w:after="0" w:line="27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3" w:lineRule="exact"/>
        <w:rPr>
          <w:sz w:val="20"/>
          <w:szCs w:val="20"/>
          <w:color w:val="auto"/>
        </w:rPr>
      </w:pPr>
    </w:p>
    <w:p>
      <w:pPr>
        <w:ind w:right="120" w:firstLine="374"/>
        <w:spacing w:after="0" w:line="261"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any issued patents and patent applications are due to be paid to the USPTO and other foreign patent agencies in several stages over the lifetime of such issued patents and patent applications. The USPTO and various foreign national or international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 failure to respond to official actions within prescribed time limits, non-payment of fees, and failure to properly legalize and submit formal documents. We are dependent on our licensors to take the necessary action to comply with these requirements with respect to certain of our in-licensed intellectual property, and if we or any of our current or future licensors fail to maintain the patents and patent applications covering our RxSight system or any future products, our competitors may be able to enter the market, which would have a material adverse effect on our business, financial condition, results of operations and prospects.</w:t>
      </w:r>
    </w:p>
    <w:p>
      <w:pPr>
        <w:spacing w:after="0" w:line="11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64" w:lineRule="exact"/>
        <w:rPr>
          <w:sz w:val="20"/>
          <w:szCs w:val="20"/>
          <w:color w:val="auto"/>
        </w:rPr>
      </w:pPr>
    </w:p>
    <w:p>
      <w:pPr>
        <w:ind w:right="80" w:firstLine="374"/>
        <w:spacing w:after="0" w:line="274" w:lineRule="auto"/>
        <w:rPr>
          <w:sz w:val="20"/>
          <w:szCs w:val="20"/>
          <w:color w:val="auto"/>
        </w:rPr>
      </w:pPr>
      <w:r>
        <w:rPr>
          <w:rFonts w:ascii="Times New Roman" w:cs="Times New Roman" w:eastAsia="Times New Roman" w:hAnsi="Times New Roman"/>
          <w:sz w:val="18"/>
          <w:szCs w:val="18"/>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current and future products in any jurisdiction.</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51" w:right="379" w:bottom="1440" w:gutter="0" w:footer="0" w:header="0"/>
        </w:sectPr>
      </w:pPr>
    </w:p>
    <w:bookmarkStart w:id="60" w:name="page61"/>
    <w:bookmarkEnd w:id="60"/>
    <w:p>
      <w:pPr>
        <w:ind w:right="40" w:firstLine="374"/>
        <w:spacing w:after="0" w:line="266" w:lineRule="auto"/>
        <w:rPr>
          <w:sz w:val="20"/>
          <w:szCs w:val="20"/>
          <w:color w:val="auto"/>
        </w:rPr>
      </w:pPr>
      <w:r>
        <w:rPr>
          <w:rFonts w:ascii="Times New Roman" w:cs="Times New Roman" w:eastAsia="Times New Roman" w:hAnsi="Times New Roman"/>
          <w:sz w:val="18"/>
          <w:szCs w:val="18"/>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and our failure to identify and correctly interpret relevant patents may negatively impact our ability to develop and market our products.</w:t>
      </w:r>
    </w:p>
    <w:p>
      <w:pPr>
        <w:spacing w:after="0" w:line="10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reliance on third parties may require us to share our trade secrets, which increases the possibility that a competitor will discover them or that our trade secrets will be misappropriated or disclosed.</w:t>
      </w:r>
    </w:p>
    <w:p>
      <w:pPr>
        <w:spacing w:after="0" w:line="64" w:lineRule="exact"/>
        <w:rPr>
          <w:sz w:val="20"/>
          <w:szCs w:val="20"/>
          <w:color w:val="auto"/>
        </w:rPr>
      </w:pPr>
    </w:p>
    <w:p>
      <w:pPr>
        <w:ind w:firstLine="374"/>
        <w:spacing w:after="0" w:line="262" w:lineRule="auto"/>
        <w:rPr>
          <w:sz w:val="20"/>
          <w:szCs w:val="20"/>
          <w:color w:val="auto"/>
        </w:rPr>
      </w:pPr>
      <w:r>
        <w:rPr>
          <w:rFonts w:ascii="Times New Roman" w:cs="Times New Roman" w:eastAsia="Times New Roman" w:hAnsi="Times New Roman"/>
          <w:sz w:val="18"/>
          <w:szCs w:val="18"/>
          <w:color w:val="auto"/>
        </w:rPr>
        <w:t>Because we expect to rely on a third party to manufacture our RxSight system, and any future products, and we expect to collaborate with third parties on the continuing development of our RxSight system, and any future products, we must, at times, share trade secrets with them. We also expect to conduct R&amp;D programs that may require us to share trade secrets under the terms of our partnerships or agreements with CROs. We seek to protect our proprietary technology in part by entering into agreements containing confidentiality and use restrictions and obligations with our advisors, employees, contractors, CMOs, CROs, other service providers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 and results of operations.</w:t>
      </w:r>
    </w:p>
    <w:p>
      <w:pPr>
        <w:spacing w:after="0" w:line="116" w:lineRule="exact"/>
        <w:rPr>
          <w:sz w:val="20"/>
          <w:szCs w:val="20"/>
          <w:color w:val="auto"/>
        </w:rPr>
      </w:pPr>
    </w:p>
    <w:p>
      <w:pPr>
        <w:ind w:right="60" w:firstLine="374"/>
        <w:spacing w:after="0" w:line="266" w:lineRule="auto"/>
        <w:rPr>
          <w:sz w:val="20"/>
          <w:szCs w:val="20"/>
          <w:color w:val="auto"/>
        </w:rPr>
      </w:pPr>
      <w:r>
        <w:rPr>
          <w:rFonts w:ascii="Times New Roman" w:cs="Times New Roman" w:eastAsia="Times New Roman" w:hAnsi="Times New Roman"/>
          <w:sz w:val="18"/>
          <w:szCs w:val="18"/>
          <w:color w:val="auto"/>
        </w:rPr>
        <w:t>In addition, these agreements typically restrict the ability of our advisors, employees, third-party contractors, CMOs, CROs, other service providers and consultants to publish data potentially relating to our trade secrets, although our agreements may contain certain limited publication rights.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104"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have misappropriated the intellectual property of a third party, including trade secrets or know-how, or are in breach of non-competition or non-solicitation agreements with our competitors and third parties may claim an ownership interest in intellectual property we regard as our own.</w:t>
      </w:r>
    </w:p>
    <w:p>
      <w:pPr>
        <w:spacing w:after="0" w:line="73" w:lineRule="exact"/>
        <w:rPr>
          <w:sz w:val="20"/>
          <w:szCs w:val="20"/>
          <w:color w:val="auto"/>
        </w:rPr>
      </w:pPr>
    </w:p>
    <w:p>
      <w:pPr>
        <w:ind w:firstLine="374"/>
        <w:spacing w:after="0" w:line="260" w:lineRule="auto"/>
        <w:rPr>
          <w:sz w:val="20"/>
          <w:szCs w:val="20"/>
          <w:color w:val="auto"/>
        </w:rPr>
      </w:pPr>
      <w:r>
        <w:rPr>
          <w:rFonts w:ascii="Times New Roman" w:cs="Times New Roman" w:eastAsia="Times New Roman" w:hAnsi="Times New Roman"/>
          <w:sz w:val="18"/>
          <w:szCs w:val="18"/>
          <w:color w:val="auto"/>
        </w:rPr>
        <w:t>Many of our employees and consultants were previously employed at or engaged by other medical device, biotechnology or pharmaceutical companies, including our competitors or potential competitors. Some of these employees, consultants and contractors, may have executed proprietary rights, non-disclosure and non-competition agreements in connection with such previous employment. Although we try to ensure that our employees and consultants do not use the intellectual property, proprietary information, know-how or trade secrets of others in their work for us, we may be subject to claims that we or these individuals have, inadvertently or otherwise, misappropriated the intellectual property or disclosed the alleged trade secrets or other proprietary information, of these former employers or competitors. Litigation may be necessary to defend against these claims, and if we fail in defending any such claims, in addition to paying monetary damages, we may lose valuable intellectual property rights. In addition, we may lose personnel as a result of such claims. Any such litigation, or the threat thereof, may adversely affect our ability to hire employees or contract with independent contractors. A loss of key personnel or their work product could hamper or prevent our ability to commercialize our products, which would have a material adverse effect on our business, results of operations, financial condition and prospects.</w:t>
      </w:r>
    </w:p>
    <w:p>
      <w:pPr>
        <w:spacing w:after="0" w:line="134" w:lineRule="exact"/>
        <w:rPr>
          <w:sz w:val="20"/>
          <w:szCs w:val="20"/>
          <w:color w:val="auto"/>
        </w:rPr>
      </w:pPr>
    </w:p>
    <w:p>
      <w:pPr>
        <w:ind w:right="200" w:firstLine="374"/>
        <w:spacing w:after="0" w:line="274" w:lineRule="auto"/>
        <w:rPr>
          <w:sz w:val="20"/>
          <w:szCs w:val="20"/>
          <w:color w:val="auto"/>
        </w:rPr>
      </w:pPr>
      <w:r>
        <w:rPr>
          <w:rFonts w:ascii="Times New Roman" w:cs="Times New Roman" w:eastAsia="Times New Roman" w:hAnsi="Times New Roman"/>
          <w:sz w:val="18"/>
          <w:szCs w:val="18"/>
          <w:color w:val="auto"/>
        </w:rPr>
        <w:t>Additionally, we may be subject to claims from third parties challenging our ownership interest in intellectual property we regard as our own, based on claims that our employees or consultants have breached an obligation to assign inventions to another employer, to a former employer, or to another person or entity. Litigation may be</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61" w:name="page62"/>
    <w:bookmarkEnd w:id="61"/>
    <w:p>
      <w:pPr>
        <w:ind w:right="140"/>
        <w:spacing w:after="0" w:line="266" w:lineRule="auto"/>
        <w:rPr>
          <w:sz w:val="20"/>
          <w:szCs w:val="20"/>
          <w:color w:val="auto"/>
        </w:rPr>
      </w:pPr>
      <w:r>
        <w:rPr>
          <w:rFonts w:ascii="Times New Roman" w:cs="Times New Roman" w:eastAsia="Times New Roman" w:hAnsi="Times New Roman"/>
          <w:sz w:val="18"/>
          <w:szCs w:val="18"/>
          <w:color w:val="auto"/>
        </w:rPr>
        <w:t>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our products, if such technologies or features are found to incorporate or be derived from the trade secrets or other proprietary information of the former employers.</w:t>
      </w:r>
    </w:p>
    <w:p>
      <w:pPr>
        <w:spacing w:after="0" w:line="122"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In addition, we or our licensors may in the future be subject to claims by former employees, consultants or other third parties asserting an ownership right in our owned or in-licensed issued patents or patent applications.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technology. Such challenges may also result in our inability to develop, manufacture or commercialize our technology without infringing third-party patent rights. In addition, if the breadth or strength of protection provided by our owned or in-licensed issued patents and patent applications is threatened, it could dissuade companies from collaborating with us to license, develop or commercialize current or future products. Any of the foregoing could have a material adverse effect on our business, financial condition, results of operations and prospects.</w:t>
      </w:r>
    </w:p>
    <w:p>
      <w:pPr>
        <w:spacing w:after="0" w:line="130" w:lineRule="exact"/>
        <w:rPr>
          <w:sz w:val="20"/>
          <w:szCs w:val="20"/>
          <w:color w:val="auto"/>
        </w:rPr>
      </w:pPr>
    </w:p>
    <w:p>
      <w:pPr>
        <w:ind w:firstLine="374"/>
        <w:spacing w:after="0" w:line="263" w:lineRule="auto"/>
        <w:rPr>
          <w:sz w:val="20"/>
          <w:szCs w:val="20"/>
          <w:color w:val="auto"/>
        </w:rPr>
      </w:pPr>
      <w:r>
        <w:rPr>
          <w:rFonts w:ascii="Times New Roman" w:cs="Times New Roman" w:eastAsia="Times New Roman" w:hAnsi="Times New Roman"/>
          <w:sz w:val="18"/>
          <w:szCs w:val="18"/>
          <w:color w:val="auto"/>
        </w:rPr>
        <w:t>An inability to incorporate technologies or features that are important or essential to our products could have a material adverse effect on our business, financial condition and results of operations, and may prevent us from selling our products. In addition, we may lose valuable intellectual property rights or personnel. Even if we are successful in defending against these claims, litigation could result in substantial costs and could be a distraction to management. Any litigation or the threat thereof may adversely affect our ability to hire employees or contract with independent sales representatives. A loss of key personnel or their work product could hamper or prevent our ability to commercialize our products, which could have an adverse effect on our business, financial condition and results of operations.</w:t>
      </w:r>
    </w:p>
    <w:p>
      <w:pPr>
        <w:spacing w:after="0" w:line="107" w:lineRule="exact"/>
        <w:rPr>
          <w:sz w:val="20"/>
          <w:szCs w:val="20"/>
          <w:color w:val="auto"/>
        </w:rPr>
      </w:pPr>
    </w:p>
    <w:p>
      <w:pPr>
        <w:ind w:right="200"/>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We may become a party to intellectual property litigation or administrative proceedings that could be costly and could interfere with our ability to sell and market our products.</w:t>
      </w:r>
    </w:p>
    <w:p>
      <w:pPr>
        <w:spacing w:after="0" w:line="37" w:lineRule="exact"/>
        <w:rPr>
          <w:sz w:val="20"/>
          <w:szCs w:val="20"/>
          <w:color w:val="auto"/>
        </w:rPr>
      </w:pPr>
    </w:p>
    <w:p>
      <w:pPr>
        <w:ind w:right="60" w:firstLine="374"/>
        <w:spacing w:after="0" w:line="260" w:lineRule="auto"/>
        <w:rPr>
          <w:sz w:val="20"/>
          <w:szCs w:val="20"/>
          <w:color w:val="auto"/>
        </w:rPr>
      </w:pPr>
      <w:r>
        <w:rPr>
          <w:rFonts w:ascii="Times New Roman" w:cs="Times New Roman" w:eastAsia="Times New Roman" w:hAnsi="Times New Roman"/>
          <w:sz w:val="18"/>
          <w:szCs w:val="18"/>
          <w:color w:val="auto"/>
        </w:rPr>
        <w:t>The medical device industry has been characterized by extensive litigation regarding patents, trademarks, trade secrets and other intellectual property rights, and companies in the industry have used intellectual property litigation to gain a competitive advantage. It is possible that U.S. and foreign patents and pending patent applications, copyrights, or trademarks controlled by third parties may be alleged to cover our products, or that we may be accused of misappropriating third parties’ trade secrets. Additionally, our products include components that we purchase from vendors, and may include design components that are outside of our direct control. Our competitors, many of which have substantially greater resources and have made substantial investments in patent portfolios, trade secrets, copyrights, trademarks and competing technologies, may have applied for or obtained, or may in the future apply for or obtain, patents, copyrights, or trademarks that will prevent, limit or otherwise interfere with our ability to make, use, sell and/or export our products or to use product names. Because patent applications can take years to issue and are often afforded confidentiality for some period of time, there may currently be pending applications, unknown to us, that later result in issued patents that could cover one or more of our products.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 We may face patent infringement claims from non-practicing entities that have no relevant product revenue and against whom our owned or in-licensed patent portfolio may therefore have no deterrent effect. We may in the future become party to adversarial proceedings or litigation where our competitors or other third parties may assert claims against us, alleging that our products or services infringe, misappropriate or otherwise violate their intellectual property rights, including patents and trade secrets. The defense of these matters can be time consuming, costly to defend in litigation, divert management’s attention and resources, damage our reputation and brand and cause us to incur significant expenses or make substantial payments. Vendors from whom we purchase hardware or</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62" w:name="page63"/>
    <w:bookmarkEnd w:id="62"/>
    <w:p>
      <w:pPr>
        <w:ind w:right="340"/>
        <w:spacing w:after="0" w:line="266" w:lineRule="auto"/>
        <w:rPr>
          <w:sz w:val="20"/>
          <w:szCs w:val="20"/>
          <w:color w:val="auto"/>
        </w:rPr>
      </w:pPr>
      <w:r>
        <w:rPr>
          <w:rFonts w:ascii="Times New Roman" w:cs="Times New Roman" w:eastAsia="Times New Roman" w:hAnsi="Times New Roman"/>
          <w:sz w:val="18"/>
          <w:szCs w:val="18"/>
          <w:color w:val="auto"/>
        </w:rPr>
        <w:t>software may not indemnify us in the event that such hardware or software is accused of infringing a third party’s patent or trademark or of misappropriating a third party’s trade secret, or any indemnification granted by such vendors may not be sufficient to address any liability and costs we incur as a result of such claims. Additionally, we may be obligated to indemnify our customers or business partners in connection with litigation and to obtain licenses or refund subscription fees, which could further exhaust our resources.</w:t>
      </w:r>
    </w:p>
    <w:p>
      <w:pPr>
        <w:spacing w:after="0" w:line="122" w:lineRule="exact"/>
        <w:rPr>
          <w:sz w:val="20"/>
          <w:szCs w:val="20"/>
          <w:color w:val="auto"/>
        </w:rPr>
      </w:pPr>
    </w:p>
    <w:p>
      <w:pPr>
        <w:ind w:firstLine="374"/>
        <w:spacing w:after="0" w:line="279" w:lineRule="auto"/>
        <w:rPr>
          <w:sz w:val="20"/>
          <w:szCs w:val="20"/>
          <w:color w:val="auto"/>
        </w:rPr>
      </w:pPr>
      <w:r>
        <w:rPr>
          <w:rFonts w:ascii="Times New Roman" w:cs="Times New Roman" w:eastAsia="Times New Roman" w:hAnsi="Times New Roman"/>
          <w:sz w:val="17"/>
          <w:szCs w:val="17"/>
          <w:color w:val="auto"/>
        </w:rPr>
        <w:t>Even if we believe a third party’s intellectual property claims are without merit, there is no assurance that a court would find in our favor, including on questions of infringement, validity, enforceability or priority of patents. The strength of our defenses will depend on the patents asserted, the interpretation of these patents, and our ability to invalidate the asserted patents. A court of competent jurisdiction could hold that these third-party patents are valid, enforceable and infringed, which could materially and adversely affect our ability to commercialize any products or technology we may develop, and any other products or technologies covered by the asserted third-party patents. In order to successfully challenge the validity of any such United States patent in federal court, we would need to overcome a presumption of validity. As this burden is a high one requiring us to present clear and convincing evidence as to the invalidity of any such United States patent claim, there is no assurance that a court of competent jurisdiction would invalidate the claims of any such United States patent. Conversely, the patent owner need only prove infringement by a preponderance of the evidence, which is a lower burden of proof.</w:t>
      </w:r>
    </w:p>
    <w:p>
      <w:pPr>
        <w:spacing w:after="0" w:line="113" w:lineRule="exact"/>
        <w:rPr>
          <w:sz w:val="20"/>
          <w:szCs w:val="20"/>
          <w:color w:val="auto"/>
        </w:rPr>
      </w:pPr>
    </w:p>
    <w:p>
      <w:pPr>
        <w:ind w:right="120" w:firstLine="374"/>
        <w:spacing w:after="0" w:line="266" w:lineRule="auto"/>
        <w:rPr>
          <w:sz w:val="20"/>
          <w:szCs w:val="20"/>
          <w:color w:val="auto"/>
        </w:rPr>
      </w:pPr>
      <w:r>
        <w:rPr>
          <w:rFonts w:ascii="Times New Roman" w:cs="Times New Roman" w:eastAsia="Times New Roman" w:hAnsi="Times New Roman"/>
          <w:sz w:val="18"/>
          <w:szCs w:val="18"/>
          <w:color w:val="auto"/>
        </w:rPr>
        <w:t>Further, if patents, trademarks, copyrights, or trade secrets are successfully asserted against us, this may harm our business and result in injunctions preventing us from developing, manufacturing, marketing or selling our products, or result in obligations to pay license fees, damages, attorney fees and court costs, which could be significant. In addition, if we are found to willfully infringe third-party patents or trademarks or to have misappropriated trade secrets, we could be required to pay treble damages in addition to other penalties.</w:t>
      </w:r>
    </w:p>
    <w:p>
      <w:pPr>
        <w:spacing w:after="0" w:line="108" w:lineRule="exact"/>
        <w:rPr>
          <w:sz w:val="20"/>
          <w:szCs w:val="20"/>
          <w:color w:val="auto"/>
        </w:rPr>
      </w:pPr>
    </w:p>
    <w:p>
      <w:pPr>
        <w:ind w:right="80" w:firstLine="374"/>
        <w:spacing w:after="0" w:line="266" w:lineRule="auto"/>
        <w:rPr>
          <w:sz w:val="20"/>
          <w:szCs w:val="20"/>
          <w:color w:val="auto"/>
        </w:rPr>
      </w:pPr>
      <w:r>
        <w:rPr>
          <w:rFonts w:ascii="Times New Roman" w:cs="Times New Roman" w:eastAsia="Times New Roman" w:hAnsi="Times New Roman"/>
          <w:sz w:val="18"/>
          <w:szCs w:val="18"/>
          <w:color w:val="auto"/>
        </w:rPr>
        <w:t>Although patent, copyright, trademark, trade secret and other intellectual property disputes in the medical device area have often been settled through licensing or similar arrangements, costs associated with such arrangements may be substantial and could include ongoing royalties. We may be unable to obtain necessary licenses on satisfactory terms, if at all. In addition, if any license we obtain is non-exclusive, we may not be able to prevent our competitors and other third parties from using the intellectual property or technology covered by such license to compete with us. If we do not obtain necessary licenses, we may not be able to redesign our products to avoid infringement. Any of these events could materially and adversely affect our business, financial condition and results of operations.</w:t>
      </w:r>
    </w:p>
    <w:p>
      <w:pPr>
        <w:spacing w:after="0" w:line="109" w:lineRule="exact"/>
        <w:rPr>
          <w:sz w:val="20"/>
          <w:szCs w:val="20"/>
          <w:color w:val="auto"/>
        </w:rPr>
      </w:pPr>
    </w:p>
    <w:p>
      <w:pPr>
        <w:ind w:right="80" w:firstLine="374"/>
        <w:spacing w:after="0" w:line="266" w:lineRule="auto"/>
        <w:rPr>
          <w:sz w:val="20"/>
          <w:szCs w:val="20"/>
          <w:color w:val="auto"/>
        </w:rPr>
      </w:pPr>
      <w:r>
        <w:rPr>
          <w:rFonts w:ascii="Times New Roman" w:cs="Times New Roman" w:eastAsia="Times New Roman" w:hAnsi="Times New Roman"/>
          <w:sz w:val="18"/>
          <w:szCs w:val="18"/>
          <w:color w:val="auto"/>
        </w:rPr>
        <w:t>Similarly, interference or derivation proceedings provoked by third parties or brought by the USPTO, may be necessary to determine priority with respect to our patents, patent applications, trademarks or trademark applications. We may also become involved in other proceedings, such as reexamination, inter partes review, derivation or opposition proceedings before the USPTO or other jurisdictional body relating to our intellectual property rights or the intellectual property rights of others. Adverse determinations in a judicial or administrative proceeding or failure to obtain necessary licenses could prevent us from manufacturing our products or using product names, which would have a significant adverse impact on our business, financial condition and results of operations.</w:t>
      </w:r>
    </w:p>
    <w:p>
      <w:pPr>
        <w:spacing w:after="0" w:line="109" w:lineRule="exact"/>
        <w:rPr>
          <w:sz w:val="20"/>
          <w:szCs w:val="20"/>
          <w:color w:val="auto"/>
        </w:rPr>
      </w:pPr>
    </w:p>
    <w:p>
      <w:pPr>
        <w:ind w:right="80" w:firstLine="374"/>
        <w:spacing w:after="0" w:line="262" w:lineRule="auto"/>
        <w:rPr>
          <w:sz w:val="20"/>
          <w:szCs w:val="20"/>
          <w:color w:val="auto"/>
        </w:rPr>
      </w:pPr>
      <w:r>
        <w:rPr>
          <w:rFonts w:ascii="Times New Roman" w:cs="Times New Roman" w:eastAsia="Times New Roman" w:hAnsi="Times New Roman"/>
          <w:sz w:val="18"/>
          <w:szCs w:val="18"/>
          <w:color w:val="auto"/>
        </w:rPr>
        <w:t>Additionally, we may file lawsuits or initiate other proceedings to protect or enforce our patents or other intellectual property rights, which could be expensive, time consuming and unsuccessful. Competitors may infringe our issued patents or other intellectual property, which we may not always be able to detect. To counter infringement or unauthorized use, we may be required to file infringement claims, which can be expensive and time-consuming. Any claims we assert against perceived infringers could provoke these parties to assert counterclaims against us alleging that we infringe their intellectual property or alleging that our intellectual property is invalid or unenforceable.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raise challenges to the validity of certain of our owned or in-licensed patent claims before administrative bodies in the United States or abroad, even outside the context of litigation. Such mechanisms include re-examination, post-grant review, inter partes review,</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63" w:name="page64"/>
    <w:bookmarkEnd w:id="63"/>
    <w:p>
      <w:pPr>
        <w:ind w:right="120"/>
        <w:spacing w:after="0" w:line="266" w:lineRule="auto"/>
        <w:rPr>
          <w:sz w:val="20"/>
          <w:szCs w:val="20"/>
          <w:color w:val="auto"/>
        </w:rPr>
      </w:pPr>
      <w:r>
        <w:rPr>
          <w:rFonts w:ascii="Times New Roman" w:cs="Times New Roman" w:eastAsia="Times New Roman" w:hAnsi="Times New Roman"/>
          <w:sz w:val="18"/>
          <w:szCs w:val="18"/>
          <w:color w:val="auto"/>
        </w:rPr>
        <w:t>interference proceedings, derivation proceedings and equivalent proceedings in foreign jurisdictions (e.g., opposition proceedings). In any such lawsuit or other proceedings, a court or other administrative body may decide that a patent of ours is invalid or unenforceable, in whole or in part, construe the patent’s claims narrowly or refuse to stop the other party from using the technology at issue on the grounds that our patents do not cover the technology in question.</w:t>
      </w:r>
    </w:p>
    <w:p>
      <w:pPr>
        <w:spacing w:after="0" w:line="12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The outcome following legal assertions of invalidity and unenforceability is unpredictable. If a third party were to prevail on a legal assertion of</w:t>
      </w:r>
    </w:p>
    <w:p>
      <w:pPr>
        <w:spacing w:after="0" w:line="2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invalidity or unenforceability, we would lose at least part, and perhaps all, of the patent protection on our products or products that we may develop. If our patents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An adverse result in any litigation or other proceeding could put one or more of our patents at risk of being invalidated or interpreted narrowly. Any of these events could materially and adversely affect our business, financial condition and results of operations.</w:t>
      </w:r>
    </w:p>
    <w:p>
      <w:pPr>
        <w:spacing w:after="0" w:line="116" w:lineRule="exact"/>
        <w:rPr>
          <w:sz w:val="20"/>
          <w:szCs w:val="20"/>
          <w:color w:val="auto"/>
        </w:rPr>
      </w:pPr>
    </w:p>
    <w:p>
      <w:pPr>
        <w:ind w:firstLine="374"/>
        <w:spacing w:after="0" w:line="262" w:lineRule="auto"/>
        <w:rPr>
          <w:sz w:val="20"/>
          <w:szCs w:val="20"/>
          <w:color w:val="auto"/>
        </w:rPr>
      </w:pPr>
      <w:r>
        <w:rPr>
          <w:rFonts w:ascii="Times New Roman" w:cs="Times New Roman" w:eastAsia="Times New Roman" w:hAnsi="Times New Roman"/>
          <w:sz w:val="18"/>
          <w:szCs w:val="18"/>
          <w:color w:val="auto"/>
        </w:rPr>
        <w:t>Even if resolved in our favor, litigation or other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Furthermore, because of the substantial amount of discovery required in connection with intellectual property litigation, there is a risk that some of our confidential or sensitive information could be compromised by disclosure in the event of litigation. Uncertainties resulting from the initiation and continuation of patent and other intellectual property litigation or other proceedings could have a material adverse effect on our business, financial condition and results of operations.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of the expense and uncertainty of litigation, we may not be in a position to enforce our intellectual property rights against third parties.</w:t>
      </w:r>
    </w:p>
    <w:p>
      <w:pPr>
        <w:spacing w:after="0" w:line="135" w:lineRule="exact"/>
        <w:rPr>
          <w:sz w:val="20"/>
          <w:szCs w:val="20"/>
          <w:color w:val="auto"/>
        </w:rPr>
      </w:pPr>
    </w:p>
    <w:p>
      <w:pPr>
        <w:ind w:right="20" w:firstLine="374"/>
        <w:spacing w:after="0" w:line="271" w:lineRule="auto"/>
        <w:rPr>
          <w:sz w:val="20"/>
          <w:szCs w:val="20"/>
          <w:color w:val="auto"/>
        </w:rPr>
      </w:pPr>
      <w:r>
        <w:rPr>
          <w:rFonts w:ascii="Times New Roman" w:cs="Times New Roman" w:eastAsia="Times New Roman" w:hAnsi="Times New Roman"/>
          <w:sz w:val="18"/>
          <w:szCs w:val="18"/>
          <w:color w:val="auto"/>
        </w:rPr>
        <w:t>Because of the expense and uncertainty of litigation, we may conclude that even if a third party is infringing, misappropriating or otherwise violating our owned or in-licensed patents, any patents that may be issued as a result of our future patent applications, or other intellectual property rights, the risk-adjusted cost of bringing and enforcing such a claim or action may be too high or not in the best interest of our company or our shareholders. In such cases, we may decide that the more prudent course of action is to simply monitor the situation or initiate or seek some other non-litigious action or solution.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rights to develop and commercialize our products are subject, in part, to the terms and conditions of licenses granted to us by others.</w:t>
      </w:r>
    </w:p>
    <w:p>
      <w:pPr>
        <w:spacing w:after="0" w:line="121"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We rely, in part, upon licenses to certain patent rights, proprietary technology and other intellectual property from third parties that are important or necessary to the development of our products and technology. Further development and commercialization of our current products, and development of any future products, may require us to enter into additional license or collaboration agreements. These and other licenses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w:t>
      </w:r>
    </w:p>
    <w:p>
      <w:pPr>
        <w:spacing w:after="0" w:line="109" w:lineRule="exact"/>
        <w:rPr>
          <w:sz w:val="20"/>
          <w:szCs w:val="20"/>
          <w:color w:val="auto"/>
        </w:rPr>
      </w:pPr>
    </w:p>
    <w:p>
      <w:pPr>
        <w:ind w:right="240" w:firstLine="374"/>
        <w:spacing w:after="0" w:line="274" w:lineRule="auto"/>
        <w:rPr>
          <w:sz w:val="20"/>
          <w:szCs w:val="20"/>
          <w:color w:val="auto"/>
        </w:rPr>
      </w:pPr>
      <w:r>
        <w:rPr>
          <w:rFonts w:ascii="Times New Roman" w:cs="Times New Roman" w:eastAsia="Times New Roman" w:hAnsi="Times New Roman"/>
          <w:sz w:val="18"/>
          <w:szCs w:val="18"/>
          <w:color w:val="auto"/>
        </w:rPr>
        <w:t>In addition, we may not have the right to control the preparation, filing, prosecution, maintenance, enforcement and defense of patents and patent applications covering the technology that we license from third parties. Therefore, we cannot be certain that these patents and patent applications will be prepared, filed, prosecuted, maintained,</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64" w:name="page65"/>
    <w:bookmarkEnd w:id="64"/>
    <w:p>
      <w:pPr>
        <w:ind w:right="160"/>
        <w:spacing w:after="0" w:line="266" w:lineRule="auto"/>
        <w:rPr>
          <w:sz w:val="20"/>
          <w:szCs w:val="20"/>
          <w:color w:val="auto"/>
        </w:rPr>
      </w:pPr>
      <w:r>
        <w:rPr>
          <w:rFonts w:ascii="Times New Roman" w:cs="Times New Roman" w:eastAsia="Times New Roman" w:hAnsi="Times New Roman"/>
          <w:sz w:val="18"/>
          <w:szCs w:val="18"/>
          <w:color w:val="auto"/>
        </w:rPr>
        <w:t>enforced and defended in a manner consistent with the best interests of our business. Additionally,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If our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w:t>
      </w:r>
    </w:p>
    <w:p>
      <w:pPr>
        <w:spacing w:after="0" w:line="108" w:lineRule="exact"/>
        <w:rPr>
          <w:sz w:val="20"/>
          <w:szCs w:val="20"/>
          <w:color w:val="auto"/>
        </w:rPr>
      </w:pPr>
    </w:p>
    <w:p>
      <w:pPr>
        <w:ind w:right="360" w:firstLine="374"/>
        <w:spacing w:after="0" w:line="329" w:lineRule="auto"/>
        <w:rPr>
          <w:sz w:val="20"/>
          <w:szCs w:val="20"/>
          <w:color w:val="auto"/>
        </w:rPr>
      </w:pPr>
      <w:r>
        <w:rPr>
          <w:rFonts w:ascii="Times New Roman" w:cs="Times New Roman" w:eastAsia="Times New Roman" w:hAnsi="Times New Roman"/>
          <w:sz w:val="17"/>
          <w:szCs w:val="17"/>
          <w:color w:val="auto"/>
        </w:rPr>
        <w:t>Our licensors may have relied on third-party consultants or collaborators or on funds from third parties such that our licensors are not the sole and exclusive owners of the patents we in-license. This could materially and adversely affect our business, financial condition and results of operations.</w:t>
      </w:r>
    </w:p>
    <w:p>
      <w:pPr>
        <w:spacing w:after="0" w:line="58"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In spite of our best efforts, our licensors might also conclude that we have materially breached our license agreements and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Moreover, if disputes over intellectual property that we license prevent or impair our ability to maintain other licensing arrangements on commercially acceptable terms, we may be unable to successfully develop and commercialize the affected products. Any of these events could materially and adversely affect our business, financial condition and results of operations.</w:t>
      </w:r>
    </w:p>
    <w:p>
      <w:pPr>
        <w:spacing w:after="0" w:line="116" w:lineRule="exact"/>
        <w:rPr>
          <w:sz w:val="20"/>
          <w:szCs w:val="20"/>
          <w:color w:val="auto"/>
        </w:rPr>
      </w:pPr>
    </w:p>
    <w:p>
      <w:pPr>
        <w:jc w:val="both"/>
        <w:ind w:right="440"/>
        <w:spacing w:after="0" w:line="276" w:lineRule="auto"/>
        <w:rPr>
          <w:sz w:val="20"/>
          <w:szCs w:val="20"/>
          <w:color w:val="auto"/>
        </w:rPr>
      </w:pPr>
      <w:r>
        <w:rPr>
          <w:rFonts w:ascii="Times New Roman" w:cs="Times New Roman" w:eastAsia="Times New Roman" w:hAnsi="Times New Roman"/>
          <w:sz w:val="18"/>
          <w:szCs w:val="18"/>
          <w:b w:val="1"/>
          <w:bCs w:val="1"/>
          <w:i w:val="1"/>
          <w:iCs w:val="1"/>
          <w:color w:val="auto"/>
        </w:rPr>
        <w:t>In the future, we may enter agreements involving licenses or collaborations that provide for access or sharing of intellectual property. If we fail to comply with our obligations under any license, collaboration or other agreements, we may be required to pay damages and could lose intellectual property rights that are necessary for developing and protecting our current and future products.</w:t>
      </w:r>
    </w:p>
    <w:p>
      <w:pPr>
        <w:spacing w:after="0" w:line="73" w:lineRule="exact"/>
        <w:rPr>
          <w:sz w:val="20"/>
          <w:szCs w:val="20"/>
          <w:color w:val="auto"/>
        </w:rPr>
      </w:pPr>
    </w:p>
    <w:p>
      <w:pPr>
        <w:ind w:right="100" w:firstLine="374"/>
        <w:spacing w:after="0" w:line="266" w:lineRule="auto"/>
        <w:rPr>
          <w:sz w:val="20"/>
          <w:szCs w:val="20"/>
          <w:color w:val="auto"/>
        </w:rPr>
      </w:pPr>
      <w:r>
        <w:rPr>
          <w:rFonts w:ascii="Times New Roman" w:cs="Times New Roman" w:eastAsia="Times New Roman" w:hAnsi="Times New Roman"/>
          <w:sz w:val="18"/>
          <w:szCs w:val="18"/>
          <w:color w:val="auto"/>
        </w:rPr>
        <w:t>We currently, and in the future may continue to, license from third parties certain intellectual property relating to our current and future products. In the event we do so, we may have certain obligations to such licensors. If we breach any material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w:t>
      </w:r>
    </w:p>
    <w:p>
      <w:pPr>
        <w:spacing w:after="0" w:line="1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Disputes may arise between us and our future licensors regarding intellectual property subject to a license agreement, including:</w:t>
      </w:r>
    </w:p>
    <w:p>
      <w:pPr>
        <w:spacing w:after="0" w:line="158" w:lineRule="exact"/>
        <w:rPr>
          <w:sz w:val="20"/>
          <w:szCs w:val="20"/>
          <w:color w:val="auto"/>
        </w:rPr>
      </w:pPr>
    </w:p>
    <w:p>
      <w:pPr>
        <w:ind w:left="1140" w:hanging="383"/>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44" w:lineRule="exact"/>
        <w:rPr>
          <w:rFonts w:ascii="Times New Roman" w:cs="Times New Roman" w:eastAsia="Times New Roman" w:hAnsi="Times New Roman"/>
          <w:sz w:val="18"/>
          <w:szCs w:val="18"/>
          <w:color w:val="auto"/>
        </w:rPr>
      </w:pPr>
    </w:p>
    <w:p>
      <w:pPr>
        <w:ind w:left="1140" w:right="460" w:hanging="383"/>
        <w:spacing w:after="0" w:line="266" w:lineRule="auto"/>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on intellectual property of the licensor that is not subject to the licensing agreement;</w:t>
      </w:r>
    </w:p>
    <w:p>
      <w:pPr>
        <w:spacing w:after="0" w:line="9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patents and other rights to third parties;</w:t>
      </w:r>
    </w:p>
    <w:p>
      <w:pPr>
        <w:spacing w:after="0" w:line="144" w:lineRule="exact"/>
        <w:rPr>
          <w:rFonts w:ascii="Times New Roman" w:cs="Times New Roman" w:eastAsia="Times New Roman" w:hAnsi="Times New Roman"/>
          <w:sz w:val="18"/>
          <w:szCs w:val="18"/>
          <w:color w:val="auto"/>
        </w:rPr>
      </w:pPr>
    </w:p>
    <w:p>
      <w:pPr>
        <w:ind w:left="1140" w:right="340" w:hanging="383"/>
        <w:spacing w:after="0" w:line="282" w:lineRule="auto"/>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products, and what activities satisfy those diligence obligations;</w:t>
      </w:r>
    </w:p>
    <w:p>
      <w:pPr>
        <w:spacing w:after="0" w:line="80"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transfer or assign the license; and</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5" w:name="page66"/>
    <w:bookmarkEnd w:id="65"/>
    <w:p>
      <w:pPr>
        <w:ind w:left="1140" w:hanging="383"/>
        <w:spacing w:after="0" w:line="266" w:lineRule="auto"/>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any of our future licensors and us and our partners.</w:t>
      </w:r>
    </w:p>
    <w:p>
      <w:pPr>
        <w:spacing w:after="0" w:line="95" w:lineRule="exact"/>
        <w:rPr>
          <w:sz w:val="20"/>
          <w:szCs w:val="20"/>
          <w:color w:val="auto"/>
        </w:rPr>
      </w:pPr>
    </w:p>
    <w:p>
      <w:pPr>
        <w:jc w:val="both"/>
        <w:ind w:right="240" w:firstLine="374"/>
        <w:spacing w:after="0" w:line="329" w:lineRule="auto"/>
        <w:rPr>
          <w:sz w:val="20"/>
          <w:szCs w:val="20"/>
          <w:color w:val="auto"/>
        </w:rPr>
      </w:pPr>
      <w:r>
        <w:rPr>
          <w:rFonts w:ascii="Times New Roman" w:cs="Times New Roman" w:eastAsia="Times New Roman" w:hAnsi="Times New Roman"/>
          <w:sz w:val="17"/>
          <w:szCs w:val="17"/>
          <w:color w:val="auto"/>
        </w:rPr>
        <w:t>If disputes over intellectual property that we license in the future prevent or impair our ability to maintain our licensing arrangements on acceptable terms, we may not be able to successfully develop and commercialize the affected products, which would have a material adverse effect on our business.</w:t>
      </w:r>
    </w:p>
    <w:p>
      <w:pPr>
        <w:spacing w:after="0" w:line="58" w:lineRule="exact"/>
        <w:rPr>
          <w:sz w:val="20"/>
          <w:szCs w:val="20"/>
          <w:color w:val="auto"/>
        </w:rPr>
      </w:pPr>
    </w:p>
    <w:p>
      <w:pPr>
        <w:ind w:right="40" w:firstLine="374"/>
        <w:spacing w:after="0" w:line="274" w:lineRule="auto"/>
        <w:rPr>
          <w:sz w:val="20"/>
          <w:szCs w:val="20"/>
          <w:color w:val="auto"/>
        </w:rPr>
      </w:pPr>
      <w:r>
        <w:rPr>
          <w:rFonts w:ascii="Times New Roman" w:cs="Times New Roman" w:eastAsia="Times New Roman" w:hAnsi="Times New Roman"/>
          <w:sz w:val="18"/>
          <w:szCs w:val="18"/>
          <w:color w:val="auto"/>
        </w:rPr>
        <w:t>In addition, certain of our future agreements with third parties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w:t>
      </w:r>
    </w:p>
    <w:p>
      <w:pPr>
        <w:spacing w:after="0" w:line="101" w:lineRule="exact"/>
        <w:rPr>
          <w:sz w:val="20"/>
          <w:szCs w:val="20"/>
          <w:color w:val="auto"/>
        </w:rPr>
      </w:pPr>
    </w:p>
    <w:p>
      <w:pPr>
        <w:ind w:right="80" w:firstLine="374"/>
        <w:spacing w:after="0" w:line="262" w:lineRule="auto"/>
        <w:rPr>
          <w:sz w:val="20"/>
          <w:szCs w:val="20"/>
          <w:color w:val="auto"/>
        </w:rPr>
      </w:pPr>
      <w:r>
        <w:rPr>
          <w:rFonts w:ascii="Times New Roman" w:cs="Times New Roman" w:eastAsia="Times New Roman" w:hAnsi="Times New Roman"/>
          <w:sz w:val="18"/>
          <w:szCs w:val="18"/>
          <w:color w:val="auto"/>
        </w:rPr>
        <w:t>Further, we or our future licensors, if any,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of form in the preparation or filing of our patents or patent applications may exist, or may arise in the future, for example with respect to proper priority claims, inventorship, claim scope, or requests for patent term adjustments. If we or our future licensors fail to establish, maintain or protect such patents and other intellectual property rights, such rights may be reduced or eliminated. If our future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26" w:lineRule="exact"/>
        <w:rPr>
          <w:sz w:val="20"/>
          <w:szCs w:val="20"/>
          <w:color w:val="auto"/>
        </w:rPr>
      </w:pPr>
    </w:p>
    <w:p>
      <w:pPr>
        <w:jc w:val="both"/>
        <w:ind w:right="160" w:firstLine="374"/>
        <w:spacing w:after="0" w:line="274" w:lineRule="auto"/>
        <w:rPr>
          <w:sz w:val="20"/>
          <w:szCs w:val="20"/>
          <w:color w:val="auto"/>
        </w:rPr>
      </w:pPr>
      <w:r>
        <w:rPr>
          <w:rFonts w:ascii="Times New Roman" w:cs="Times New Roman" w:eastAsia="Times New Roman" w:hAnsi="Times New Roman"/>
          <w:sz w:val="18"/>
          <w:szCs w:val="18"/>
          <w:color w:val="auto"/>
        </w:rPr>
        <w:t>In addition, even where we have the right to control patent prosecution of patents and patent applications under future license from third parties, we may still be adversely affected or prejudiced by actions or inactions of our predecessors or licensors and their counsel that took place prior to us assuming control over patent prosecution.</w:t>
      </w:r>
    </w:p>
    <w:p>
      <w:pPr>
        <w:spacing w:after="0" w:line="101" w:lineRule="exact"/>
        <w:rPr>
          <w:sz w:val="20"/>
          <w:szCs w:val="20"/>
          <w:color w:val="auto"/>
        </w:rPr>
      </w:pPr>
    </w:p>
    <w:p>
      <w:pPr>
        <w:ind w:right="20" w:firstLine="374"/>
        <w:spacing w:after="0" w:line="266" w:lineRule="auto"/>
        <w:rPr>
          <w:sz w:val="20"/>
          <w:szCs w:val="20"/>
          <w:color w:val="auto"/>
        </w:rPr>
      </w:pPr>
      <w:r>
        <w:rPr>
          <w:rFonts w:ascii="Times New Roman" w:cs="Times New Roman" w:eastAsia="Times New Roman" w:hAnsi="Times New Roman"/>
          <w:sz w:val="18"/>
          <w:szCs w:val="18"/>
          <w:color w:val="auto"/>
        </w:rPr>
        <w:t>Our technology acquired or licensed in the future from various third parties may be subject to retained rights. Our predecessors or licensors may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predecessors or future licensors limit their use of the technology to these uses, and we could incur substantial expenses to enforce our rights to our licensed technology in the event of misuse.</w:t>
      </w:r>
    </w:p>
    <w:p>
      <w:pPr>
        <w:spacing w:after="0" w:line="108" w:lineRule="exact"/>
        <w:rPr>
          <w:sz w:val="20"/>
          <w:szCs w:val="20"/>
          <w:color w:val="auto"/>
        </w:rPr>
      </w:pPr>
    </w:p>
    <w:p>
      <w:pPr>
        <w:ind w:right="200" w:firstLine="374"/>
        <w:spacing w:after="0" w:line="292" w:lineRule="auto"/>
        <w:rPr>
          <w:sz w:val="20"/>
          <w:szCs w:val="20"/>
          <w:color w:val="auto"/>
        </w:rPr>
      </w:pPr>
      <w:r>
        <w:rPr>
          <w:rFonts w:ascii="Times New Roman" w:cs="Times New Roman" w:eastAsia="Times New Roman" w:hAnsi="Times New Roman"/>
          <w:sz w:val="17"/>
          <w:szCs w:val="17"/>
          <w:color w:val="auto"/>
        </w:rPr>
        <w:t>If we are limited in our ability to utilize acquired or future licensed technologies, or if we lose our rights to critical future in-licensed technology, we may be unable to successfully develop, out-license, market and sell our products, which could prevent or delay new product introductions. Our business strategy depends on the successful development of acquired technologies, and possibly in the future licensed technology, into commercial products. Therefore, any limitations on our ability to utilize these technologies may impair our ability to develop, out-license or market and sell our products.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necessary rights to any products we may develop through acquisitions and in-licenses.</w:t>
      </w:r>
    </w:p>
    <w:p>
      <w:pPr>
        <w:spacing w:after="0" w:line="121" w:lineRule="exact"/>
        <w:rPr>
          <w:sz w:val="20"/>
          <w:szCs w:val="20"/>
          <w:color w:val="auto"/>
        </w:rPr>
      </w:pPr>
    </w:p>
    <w:p>
      <w:pPr>
        <w:ind w:right="200" w:firstLine="374"/>
        <w:spacing w:after="0" w:line="266" w:lineRule="auto"/>
        <w:rPr>
          <w:sz w:val="20"/>
          <w:szCs w:val="20"/>
          <w:color w:val="auto"/>
        </w:rPr>
      </w:pPr>
      <w:r>
        <w:rPr>
          <w:rFonts w:ascii="Times New Roman" w:cs="Times New Roman" w:eastAsia="Times New Roman" w:hAnsi="Times New Roman"/>
          <w:sz w:val="18"/>
          <w:szCs w:val="18"/>
          <w:color w:val="auto"/>
        </w:rPr>
        <w:t>We may need to obtain additional licenses from our existing licensors or otherwise acquire or in-license any intellectual property rights from third parties that we identify as necessary for our products. It is possible that we may be unable to obtain any additional licenses or acquire such intellectual property rights at a reasonable cost or on reasonable terms, if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6" w:name="page67"/>
    <w:bookmarkEnd w:id="66"/>
    <w:p>
      <w:pPr>
        <w:ind w:right="60"/>
        <w:spacing w:after="0" w:line="266" w:lineRule="auto"/>
        <w:rPr>
          <w:sz w:val="20"/>
          <w:szCs w:val="20"/>
          <w:color w:val="auto"/>
        </w:rPr>
      </w:pPr>
      <w:r>
        <w:rPr>
          <w:rFonts w:ascii="Times New Roman" w:cs="Times New Roman" w:eastAsia="Times New Roman" w:hAnsi="Times New Roman"/>
          <w:sz w:val="18"/>
          <w:szCs w:val="18"/>
          <w:color w:val="auto"/>
        </w:rPr>
        <w:t>to us. We also may be unable to license or acquire third-party intellectual property rights on terms that would allow us to make an appropriate return on our investment or at all. In that event, we may be required to expend significant time and resources to redesign our technology, products, or the methods for manufacturing them or to develop or license replacement technology, all of which may not be feasible on a technical or commercial basis. If we are unable to do so, we may be unable to develop or commercialize the affected products, which could materially and adversely affect our business, financial condition and results of operations.</w:t>
      </w:r>
    </w:p>
    <w:p>
      <w:pPr>
        <w:spacing w:after="0" w:line="104" w:lineRule="exact"/>
        <w:rPr>
          <w:sz w:val="20"/>
          <w:szCs w:val="20"/>
          <w:color w:val="auto"/>
        </w:rPr>
      </w:pPr>
    </w:p>
    <w:p>
      <w:pPr>
        <w:ind w:right="200"/>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Any collaboration or partnership arrangements that we may enter into in the future may not be successful, which could adversely affect our ability to develop and commercialize our products.</w:t>
      </w:r>
    </w:p>
    <w:p>
      <w:pPr>
        <w:spacing w:after="0" w:line="37" w:lineRule="exact"/>
        <w:rPr>
          <w:sz w:val="20"/>
          <w:szCs w:val="20"/>
          <w:color w:val="auto"/>
        </w:rPr>
      </w:pPr>
    </w:p>
    <w:p>
      <w:pPr>
        <w:ind w:right="180" w:firstLine="374"/>
        <w:spacing w:after="0" w:line="297" w:lineRule="auto"/>
        <w:rPr>
          <w:sz w:val="20"/>
          <w:szCs w:val="20"/>
          <w:color w:val="auto"/>
        </w:rPr>
      </w:pPr>
      <w:r>
        <w:rPr>
          <w:rFonts w:ascii="Times New Roman" w:cs="Times New Roman" w:eastAsia="Times New Roman" w:hAnsi="Times New Roman"/>
          <w:sz w:val="18"/>
          <w:szCs w:val="18"/>
          <w:color w:val="auto"/>
        </w:rPr>
        <w:t>Any future collaborations that we enter into may not be successful. The success of our collaboration arrangements will depend heavily on the efforts and activities of our collaborators. Collaborations are subject to numerous risks, which may include that:</w:t>
      </w:r>
    </w:p>
    <w:p>
      <w:pPr>
        <w:spacing w:after="0" w:line="82" w:lineRule="exact"/>
        <w:rPr>
          <w:sz w:val="20"/>
          <w:szCs w:val="20"/>
          <w:color w:val="auto"/>
        </w:rPr>
      </w:pPr>
    </w:p>
    <w:p>
      <w:pPr>
        <w:ind w:left="1140" w:hanging="383"/>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collaborations;</w:t>
      </w:r>
    </w:p>
    <w:p>
      <w:pPr>
        <w:spacing w:after="0" w:line="144" w:lineRule="exact"/>
        <w:rPr>
          <w:rFonts w:ascii="Times New Roman" w:cs="Times New Roman" w:eastAsia="Times New Roman" w:hAnsi="Times New Roman"/>
          <w:sz w:val="18"/>
          <w:szCs w:val="18"/>
          <w:color w:val="auto"/>
        </w:rPr>
      </w:pPr>
    </w:p>
    <w:p>
      <w:pPr>
        <w:jc w:val="both"/>
        <w:ind w:left="1140" w:right="300" w:hanging="383"/>
        <w:spacing w:after="0" w:line="280" w:lineRule="auto"/>
        <w:tabs>
          <w:tab w:leader="none" w:pos="11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85" w:lineRule="exact"/>
        <w:rPr>
          <w:rFonts w:ascii="Times New Roman" w:cs="Times New Roman" w:eastAsia="Times New Roman" w:hAnsi="Times New Roman"/>
          <w:sz w:val="17"/>
          <w:szCs w:val="17"/>
          <w:color w:val="auto"/>
        </w:rPr>
      </w:pPr>
    </w:p>
    <w:p>
      <w:pPr>
        <w:ind w:left="1140" w:right="200" w:hanging="383"/>
        <w:spacing w:after="0" w:line="266"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current and future products;</w:t>
      </w:r>
    </w:p>
    <w:p>
      <w:pPr>
        <w:spacing w:after="0" w:line="94" w:lineRule="exact"/>
        <w:rPr>
          <w:rFonts w:ascii="Times New Roman" w:cs="Times New Roman" w:eastAsia="Times New Roman" w:hAnsi="Times New Roman"/>
          <w:sz w:val="18"/>
          <w:szCs w:val="18"/>
          <w:color w:val="auto"/>
        </w:rPr>
      </w:pPr>
    </w:p>
    <w:p>
      <w:pPr>
        <w:ind w:left="1140" w:right="380" w:hanging="383"/>
        <w:spacing w:after="0" w:line="266"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9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grant exclusive rights to our collaborators that would prevent us from collaborating with others;</w:t>
      </w:r>
    </w:p>
    <w:p>
      <w:pPr>
        <w:spacing w:after="0" w:line="144" w:lineRule="exact"/>
        <w:rPr>
          <w:rFonts w:ascii="Times New Roman" w:cs="Times New Roman" w:eastAsia="Times New Roman" w:hAnsi="Times New Roman"/>
          <w:sz w:val="18"/>
          <w:szCs w:val="18"/>
          <w:color w:val="auto"/>
        </w:rPr>
      </w:pPr>
    </w:p>
    <w:p>
      <w:pPr>
        <w:ind w:left="1140" w:right="580" w:hanging="383"/>
        <w:spacing w:after="0" w:line="258"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01" w:lineRule="exact"/>
        <w:rPr>
          <w:rFonts w:ascii="Times New Roman" w:cs="Times New Roman" w:eastAsia="Times New Roman" w:hAnsi="Times New Roman"/>
          <w:sz w:val="18"/>
          <w:szCs w:val="18"/>
          <w:color w:val="auto"/>
        </w:rPr>
      </w:pPr>
    </w:p>
    <w:p>
      <w:pPr>
        <w:ind w:left="1140" w:right="100" w:hanging="383"/>
        <w:spacing w:after="0" w:line="266"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spacing w:after="0" w:line="94" w:lineRule="exact"/>
        <w:rPr>
          <w:rFonts w:ascii="Times New Roman" w:cs="Times New Roman" w:eastAsia="Times New Roman" w:hAnsi="Times New Roman"/>
          <w:sz w:val="18"/>
          <w:szCs w:val="18"/>
          <w:color w:val="auto"/>
        </w:rPr>
      </w:pPr>
    </w:p>
    <w:p>
      <w:pPr>
        <w:ind w:left="1140" w:right="840" w:hanging="383"/>
        <w:spacing w:after="0" w:line="266"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current or future products;</w:t>
      </w:r>
    </w:p>
    <w:p>
      <w:pPr>
        <w:spacing w:after="0" w:line="94" w:lineRule="exact"/>
        <w:rPr>
          <w:rFonts w:ascii="Times New Roman" w:cs="Times New Roman" w:eastAsia="Times New Roman" w:hAnsi="Times New Roman"/>
          <w:sz w:val="18"/>
          <w:szCs w:val="18"/>
          <w:color w:val="auto"/>
        </w:rPr>
      </w:pPr>
    </w:p>
    <w:p>
      <w:pPr>
        <w:ind w:left="1140" w:right="380" w:hanging="383"/>
        <w:spacing w:after="0" w:line="282"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67" w:lineRule="exact"/>
        <w:rPr>
          <w:rFonts w:ascii="Times New Roman" w:cs="Times New Roman" w:eastAsia="Times New Roman" w:hAnsi="Times New Roman"/>
          <w:sz w:val="18"/>
          <w:szCs w:val="18"/>
          <w:color w:val="auto"/>
        </w:rPr>
      </w:pPr>
    </w:p>
    <w:p>
      <w:pPr>
        <w:ind w:left="1140" w:right="560" w:hanging="383"/>
        <w:spacing w:after="0" w:line="282"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collaborator’s sales and marketing activities or other operations may not be in compliance with applicable laws resulting in civil or criminal proceedings.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121"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We or our licensors may be subject to claims that former consultants, contractors or other third parties have an interest in our owned or in-licensed patents, trade secrets or other intellectual property as an inventor or co-inventor. While it is our policy to require our employees, consultants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7" w:name="page68"/>
    <w:bookmarkEnd w:id="67"/>
    <w:p>
      <w:pPr>
        <w:spacing w:after="0" w:line="266" w:lineRule="auto"/>
        <w:rPr>
          <w:sz w:val="20"/>
          <w:szCs w:val="20"/>
          <w:color w:val="auto"/>
        </w:rPr>
      </w:pPr>
      <w:r>
        <w:rPr>
          <w:rFonts w:ascii="Times New Roman" w:cs="Times New Roman" w:eastAsia="Times New Roman" w:hAnsi="Times New Roman"/>
          <w:sz w:val="18"/>
          <w:szCs w:val="18"/>
          <w:color w:val="auto"/>
        </w:rPr>
        <w:t>assignment agreements may be breached, and we may be forced to bring claims against third parties, or defend claims that they may bring against us, to determine the ownership of what we regard as our intellectual property. If we or our licensors fail in defending any such claims, in addition to paying monetary damages, we may lose valuable intellectual property rights, such as exclusive ownership of, or right to use, intellectual property that is important to our products. Furthermore, individuals executing invention assignment agreements with us may have preexisting or competing obligations to a third party, such as an academic institution, and thus an agreement with us may be ineffective in perfecting ownership of inventions developed by that individual. Any such events could have a material adverse effect on our business, financial condition and results of operations.</w:t>
      </w:r>
    </w:p>
    <w:p>
      <w:pPr>
        <w:spacing w:after="0" w:line="105"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and other proprietary information, our business and competitive position may be harmed.</w:t>
      </w:r>
    </w:p>
    <w:p>
      <w:pPr>
        <w:spacing w:after="0" w:line="64" w:lineRule="exact"/>
        <w:rPr>
          <w:sz w:val="20"/>
          <w:szCs w:val="20"/>
          <w:color w:val="auto"/>
        </w:rPr>
      </w:pPr>
    </w:p>
    <w:p>
      <w:pPr>
        <w:ind w:right="20" w:firstLine="374"/>
        <w:spacing w:after="0" w:line="260" w:lineRule="auto"/>
        <w:rPr>
          <w:sz w:val="20"/>
          <w:szCs w:val="20"/>
          <w:color w:val="auto"/>
        </w:rPr>
      </w:pPr>
      <w:r>
        <w:rPr>
          <w:rFonts w:ascii="Times New Roman" w:cs="Times New Roman" w:eastAsia="Times New Roman" w:hAnsi="Times New Roman"/>
          <w:sz w:val="18"/>
          <w:szCs w:val="18"/>
          <w:color w:val="auto"/>
        </w:rPr>
        <w:t>In addition to patent protection, we also rely on other proprietary rights, including protection of trade secrets, and other proprietary information that is not patentable or that we elect not to patent. However, trade secrets can be difficult to protect and some courts inside and outside the United States are less willing or unwilling to protect trade secrets. To maintain the confidentiality of our trade secrets and proprietary information, we rely heavily on confidentiality provisions that we have in contracts with our employees, consultants, collaborators and others upon the commencement of their relationship with us. We cannot guarantee that we have entered into such agreements with each party that may have or have had access to our trade secrets or proprietary technology and processes. We may not be able to prevent the unauthorized disclosure or use of our technical knowledge or other trade secrets by such third parties, despite the existence generally of these confidentiality restrictions. These contracts may not provide meaningful protection for our trade secrets, know-how, or other proprietary information in the event of any unauthorized use, misappropriation, or disclosure of such trade secrets, know-how, or other proprietary information. There can be no assurance that such third parties will not breach their agreements with us, that we will have adequate remedies for any breach, or that our trade secrets will not otherwise become known or independently developed by competitors. Despite the protections we do place on our intellectual property or other proprietary rights, monitoring unauthorized use and disclosure of our intellectual property is difficult, and we do not know whether the steps we have taken to protect our intellectual property or other proprietary rights will be adequate. In addition, the laws of many foreign countries will not protect our intellectual property or other proprietary rights to the same extent as the laws of the United States. Consequently, we may be unable to prevent our proprietary technology from being exploited abroad, which could affect our ability to expand to international markets or require costly efforts to protect our technology.</w:t>
      </w:r>
    </w:p>
    <w:p>
      <w:pPr>
        <w:spacing w:after="0" w:line="120" w:lineRule="exact"/>
        <w:rPr>
          <w:sz w:val="20"/>
          <w:szCs w:val="20"/>
          <w:color w:val="auto"/>
        </w:rPr>
      </w:pPr>
    </w:p>
    <w:p>
      <w:pPr>
        <w:ind w:right="40" w:firstLine="374"/>
        <w:spacing w:after="0" w:line="263" w:lineRule="auto"/>
        <w:rPr>
          <w:sz w:val="20"/>
          <w:szCs w:val="20"/>
          <w:color w:val="auto"/>
        </w:rPr>
      </w:pPr>
      <w:r>
        <w:rPr>
          <w:rFonts w:ascii="Times New Roman" w:cs="Times New Roman" w:eastAsia="Times New Roman" w:hAnsi="Times New Roman"/>
          <w:sz w:val="18"/>
          <w:szCs w:val="18"/>
          <w:color w:val="auto"/>
        </w:rPr>
        <w:t>To the extent our intellectual property or other proprietary information protection is incomplete, we are exposed to a greater risk of direct competition. A third party could, without authorization, copy or otherwise obtain and use our products or technology, or develop similar technology. Our competitors could purchase our products and attempt to replicate some or all of the competitive advantages we derive from our development efforts or design around our protected technology. Our failure to secure, protect and enforce our intellectual property rights could substantially harm the value of our products, brand and business. The theft or unauthorized use or publication of our trade secrets and other confidential business information could reduce the differentiation of our products and harm our business, the value of our investment in development or business acquisitions could be reduced and third parties might make claims against us related to losses of their confidential or proprietary information. Any of the foregoing could materially and adversely affect our business, financial condition and results of operations.</w:t>
      </w:r>
    </w:p>
    <w:p>
      <w:pPr>
        <w:spacing w:after="0" w:line="116" w:lineRule="exact"/>
        <w:rPr>
          <w:sz w:val="20"/>
          <w:szCs w:val="20"/>
          <w:color w:val="auto"/>
        </w:rPr>
      </w:pPr>
    </w:p>
    <w:p>
      <w:pPr>
        <w:ind w:right="160" w:firstLine="374"/>
        <w:spacing w:after="0" w:line="263" w:lineRule="auto"/>
        <w:rPr>
          <w:sz w:val="20"/>
          <w:szCs w:val="20"/>
          <w:color w:val="auto"/>
        </w:rPr>
      </w:pPr>
      <w:r>
        <w:rPr>
          <w:rFonts w:ascii="Times New Roman" w:cs="Times New Roman" w:eastAsia="Times New Roman" w:hAnsi="Times New Roman"/>
          <w:sz w:val="18"/>
          <w:szCs w:val="18"/>
          <w:color w:val="auto"/>
        </w:rPr>
        <w:t>Further, it is possible that others will independently develop the same or similar technology or otherwise obtain access to our unpatented technology, and in such cases we could not assert any trade secret rights against such parties or those to whom they communicate such trade secrets. Costly and time-consuming litigation could be necessary to enforce and determine the scope of our trade secret rights and related confidentiality and nondisclosure provisions. If we fail to obtain or maintain trade secret protection, or if our competitors obtain our trade secrets or independently develop technology similar to ours or competing technologies, our competitive market position could be materially and adversely affected. In addition, some courts are less willing or unwilling to protect trade secrets and agreement terms that address non-competition are difficult to enforce in many jurisdictions and might not be enforceable in certain cases.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8" w:name="page69"/>
    <w:bookmarkEnd w:id="68"/>
    <w:p>
      <w:pPr>
        <w:ind w:right="280" w:firstLine="374"/>
        <w:spacing w:after="0" w:line="266"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w:t>
      </w:r>
    </w:p>
    <w:p>
      <w:pPr>
        <w:spacing w:after="0" w:line="104" w:lineRule="exact"/>
        <w:rPr>
          <w:sz w:val="20"/>
          <w:szCs w:val="20"/>
          <w:color w:val="auto"/>
        </w:rPr>
      </w:pPr>
    </w:p>
    <w:p>
      <w:pPr>
        <w:ind w:right="640"/>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Changes in United States patent law or the patent law of other countries or jurisdictions could diminish the value of patents in general, thereby impairing our ability to protect our products.</w:t>
      </w:r>
    </w:p>
    <w:p>
      <w:pPr>
        <w:spacing w:after="0" w:line="37" w:lineRule="exact"/>
        <w:rPr>
          <w:sz w:val="20"/>
          <w:szCs w:val="20"/>
          <w:color w:val="auto"/>
        </w:rPr>
      </w:pPr>
    </w:p>
    <w:p>
      <w:pPr>
        <w:ind w:right="40" w:firstLine="374"/>
        <w:spacing w:after="0" w:line="261" w:lineRule="auto"/>
        <w:rPr>
          <w:sz w:val="20"/>
          <w:szCs w:val="20"/>
          <w:color w:val="auto"/>
        </w:rPr>
      </w:pPr>
      <w:r>
        <w:rPr>
          <w:rFonts w:ascii="Times New Roman" w:cs="Times New Roman" w:eastAsia="Times New Roman" w:hAnsi="Times New Roman"/>
          <w:sz w:val="18"/>
          <w:szCs w:val="18"/>
          <w:color w:val="auto"/>
        </w:rPr>
        <w:t>Changes in either the patent laws or interpretation of the patent laws in the United States could increase the uncertainties and costs surrounding the prosecution of patent applications and the enforcement or defense of issued patents. The United States has enacted and implemented wide-ranging patent reform legislation.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or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also includes a number of significant changes that affect the way patent applications are prosecuted and also may affect patent litigation. These include allowing third-party submission of prior art to the USPTO during patent prosecution and additional procedures to challenge the validity of a patent by USPTO administered post-grant proceedings, including post-grant review, inter partes review and derivation proceedings. The America Invents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20" w:lineRule="exact"/>
        <w:rPr>
          <w:sz w:val="20"/>
          <w:szCs w:val="20"/>
          <w:color w:val="auto"/>
        </w:rPr>
      </w:pPr>
    </w:p>
    <w:p>
      <w:pPr>
        <w:ind w:firstLine="374"/>
        <w:spacing w:after="0" w:line="264" w:lineRule="auto"/>
        <w:rPr>
          <w:sz w:val="20"/>
          <w:szCs w:val="20"/>
          <w:color w:val="auto"/>
        </w:rPr>
      </w:pPr>
      <w:r>
        <w:rPr>
          <w:rFonts w:ascii="Times New Roman" w:cs="Times New Roman" w:eastAsia="Times New Roman" w:hAnsi="Times New Roman"/>
          <w:sz w:val="18"/>
          <w:szCs w:val="18"/>
          <w:color w:val="auto"/>
        </w:rPr>
        <w:t>In addition,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We cannot predict how decisions or actions by the courts, the U.S. Congress or the USPTO may impact the value of our patents. Depending on actions by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Any of the foregoing could have a material adverse effect on our business, financial condition, results of operations and prospects.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 which could impair our business.</w:t>
      </w:r>
    </w:p>
    <w:p>
      <w:pPr>
        <w:spacing w:after="0" w:line="121" w:lineRule="exact"/>
        <w:rPr>
          <w:sz w:val="20"/>
          <w:szCs w:val="20"/>
          <w:color w:val="auto"/>
        </w:rPr>
      </w:pPr>
    </w:p>
    <w:p>
      <w:pPr>
        <w:ind w:right="100" w:firstLine="374"/>
        <w:spacing w:after="0" w:line="263" w:lineRule="auto"/>
        <w:rPr>
          <w:sz w:val="20"/>
          <w:szCs w:val="20"/>
          <w:color w:val="auto"/>
        </w:rPr>
      </w:pPr>
      <w:r>
        <w:rPr>
          <w:rFonts w:ascii="Times New Roman" w:cs="Times New Roman" w:eastAsia="Times New Roman" w:hAnsi="Times New Roman"/>
          <w:sz w:val="18"/>
          <w:szCs w:val="18"/>
          <w:color w:val="auto"/>
        </w:rPr>
        <w:t>Filing, prosecuting, and defending patents covering our RxSight system, and any of our future products throughout the world would be prohibitively expensive, and our intellectual property rights in some countries outside the United States are less extensive than those in the United States. In some cases, we or our licensors may not be able to obtain patent protection for certain technology outside the United States. In addition, the laws of some foreign countries do not protect intellectual property rights to the same extent as federal and state laws in the United States. Consequently, we may not be able to prevent third parties from practicing our or our licensors’ inventions in all countries outside the United States, even in jurisdictions where we or our licensors do pursue patent protection, or from selling or importing products made using our or our licensors’ inventions in and into the United States or other jurisdictions. Competitors may use our technologies in jurisdictions where we or our licensors have not obtained patent protection to develop their own products and, further, may export otherwise infringing products to</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9" w:name="page70"/>
    <w:bookmarkEnd w:id="69"/>
    <w:p>
      <w:pPr>
        <w:ind w:right="120"/>
        <w:spacing w:after="0" w:line="274" w:lineRule="auto"/>
        <w:rPr>
          <w:sz w:val="20"/>
          <w:szCs w:val="20"/>
          <w:color w:val="auto"/>
        </w:rPr>
      </w:pPr>
      <w:r>
        <w:rPr>
          <w:rFonts w:ascii="Times New Roman" w:cs="Times New Roman" w:eastAsia="Times New Roman" w:hAnsi="Times New Roman"/>
          <w:sz w:val="18"/>
          <w:szCs w:val="18"/>
          <w:color w:val="auto"/>
        </w:rPr>
        <w:t>territories where we may have or obtain patent protection, but where patent enforcement is not as strong as that in the United States. These unauthorized products may compete with our products in such jurisdictions and take away our market share where we do not have any issued or in-licensed patents and any future patent claims or other intellectual property rights may not be effective or sufficient to prevent them from so competing.</w:t>
      </w:r>
    </w:p>
    <w:p>
      <w:pPr>
        <w:spacing w:after="0" w:line="101" w:lineRule="exact"/>
        <w:rPr>
          <w:sz w:val="20"/>
          <w:szCs w:val="20"/>
          <w:color w:val="auto"/>
        </w:rPr>
      </w:pPr>
    </w:p>
    <w:p>
      <w:pPr>
        <w:ind w:firstLine="374"/>
        <w:spacing w:after="0" w:line="262" w:lineRule="auto"/>
        <w:rPr>
          <w:sz w:val="20"/>
          <w:szCs w:val="20"/>
          <w:color w:val="auto"/>
        </w:rPr>
      </w:pPr>
      <w:r>
        <w:rPr>
          <w:rFonts w:ascii="Times New Roman" w:cs="Times New Roman" w:eastAsia="Times New Roman" w:hAnsi="Times New Roman"/>
          <w:sz w:val="18"/>
          <w:szCs w:val="18"/>
          <w:color w:val="auto"/>
        </w:rPr>
        <w:t>Many companies have encountered significant problems in enforcing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if pursued and obtained, or marketing of competing products in violation of our proprietary rights generally. Proceedings to enforce our or our licensors’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or our licensors may not prevail in any lawsuits that we or our licensors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26" w:lineRule="exact"/>
        <w:rPr>
          <w:sz w:val="20"/>
          <w:szCs w:val="20"/>
          <w:color w:val="auto"/>
        </w:rPr>
      </w:pPr>
    </w:p>
    <w:p>
      <w:pPr>
        <w:ind w:right="80" w:firstLine="374"/>
        <w:spacing w:after="0" w:line="266"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business, financial condition, results of operations and prospects could be materially and adversely affected.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135" w:lineRule="exact"/>
        <w:rPr>
          <w:sz w:val="20"/>
          <w:szCs w:val="20"/>
          <w:color w:val="auto"/>
        </w:rPr>
      </w:pPr>
    </w:p>
    <w:p>
      <w:pPr>
        <w:ind w:right="100" w:firstLine="374"/>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08" w:lineRule="exact"/>
        <w:rPr>
          <w:sz w:val="20"/>
          <w:szCs w:val="20"/>
          <w:color w:val="auto"/>
        </w:rPr>
      </w:pPr>
    </w:p>
    <w:p>
      <w:pPr>
        <w:ind w:left="1140" w:right="120" w:hanging="383"/>
        <w:spacing w:after="0" w:line="266"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a product that is similar to our current products and future products we intend to commercialize and that is not covered by the patents that we own or exclusively in-license and have the right to enforce;</w:t>
      </w:r>
    </w:p>
    <w:p>
      <w:pPr>
        <w:spacing w:after="0" w:line="94" w:lineRule="exact"/>
        <w:rPr>
          <w:rFonts w:ascii="Times New Roman" w:cs="Times New Roman" w:eastAsia="Times New Roman" w:hAnsi="Times New Roman"/>
          <w:sz w:val="18"/>
          <w:szCs w:val="18"/>
          <w:color w:val="auto"/>
        </w:rPr>
      </w:pPr>
    </w:p>
    <w:p>
      <w:pPr>
        <w:ind w:left="1140" w:right="300" w:hanging="383"/>
        <w:spacing w:after="0" w:line="266"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any of our current or future licensors or collaborators might not have been the first to make the inventions covered by the issued patents or pending patent applications that we own, license or may own or license in the future;</w:t>
      </w:r>
    </w:p>
    <w:p>
      <w:pPr>
        <w:spacing w:after="0" w:line="94" w:lineRule="exact"/>
        <w:rPr>
          <w:rFonts w:ascii="Times New Roman" w:cs="Times New Roman" w:eastAsia="Times New Roman" w:hAnsi="Times New Roman"/>
          <w:sz w:val="18"/>
          <w:szCs w:val="18"/>
          <w:color w:val="auto"/>
        </w:rPr>
      </w:pPr>
    </w:p>
    <w:p>
      <w:pPr>
        <w:ind w:left="1140" w:right="120" w:hanging="383"/>
        <w:spacing w:after="0" w:line="266"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current or future licensors or collaborators might not have been the first to file patent applications covering certain of our inventions;</w:t>
      </w:r>
    </w:p>
    <w:p>
      <w:pPr>
        <w:spacing w:after="0" w:line="94" w:lineRule="exact"/>
        <w:rPr>
          <w:rFonts w:ascii="Times New Roman" w:cs="Times New Roman" w:eastAsia="Times New Roman" w:hAnsi="Times New Roman"/>
          <w:sz w:val="18"/>
          <w:szCs w:val="18"/>
          <w:color w:val="auto"/>
        </w:rPr>
      </w:pPr>
    </w:p>
    <w:p>
      <w:pPr>
        <w:ind w:left="1140" w:right="1060" w:hanging="383"/>
        <w:spacing w:after="0" w:line="282"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misappropriating or otherwise violating our intellectual property rights;</w:t>
      </w:r>
    </w:p>
    <w:p>
      <w:pPr>
        <w:spacing w:after="0" w:line="80"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current or future owned or in-licensed patent applications will not lead to issued patents;</w:t>
      </w:r>
    </w:p>
    <w:p>
      <w:pPr>
        <w:spacing w:after="0" w:line="144" w:lineRule="exact"/>
        <w:rPr>
          <w:rFonts w:ascii="Times New Roman" w:cs="Times New Roman" w:eastAsia="Times New Roman" w:hAnsi="Times New Roman"/>
          <w:sz w:val="18"/>
          <w:szCs w:val="18"/>
          <w:color w:val="auto"/>
        </w:rPr>
      </w:pPr>
    </w:p>
    <w:p>
      <w:pPr>
        <w:ind w:left="1140" w:right="80" w:hanging="383"/>
        <w:spacing w:after="0" w:line="266"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in-license may not provide us with any competitive advantages, or may be held invalid or unenforceable as a result of legal challenges, including as a result of legal challenges by our competitors;</w:t>
      </w:r>
    </w:p>
    <w:p>
      <w:pPr>
        <w:spacing w:after="0" w:line="94" w:lineRule="exact"/>
        <w:rPr>
          <w:rFonts w:ascii="Times New Roman" w:cs="Times New Roman" w:eastAsia="Times New Roman" w:hAnsi="Times New Roman"/>
          <w:sz w:val="18"/>
          <w:szCs w:val="18"/>
          <w:color w:val="auto"/>
        </w:rPr>
      </w:pPr>
    </w:p>
    <w:p>
      <w:pPr>
        <w:ind w:left="1140" w:right="80" w:hanging="383"/>
        <w:spacing w:after="0" w:line="280" w:lineRule="auto"/>
        <w:tabs>
          <w:tab w:leader="none" w:pos="11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51" w:right="379" w:bottom="1440" w:gutter="0" w:footer="0" w:header="0"/>
        </w:sectPr>
      </w:pPr>
    </w:p>
    <w:bookmarkStart w:id="70" w:name="page71"/>
    <w:bookmarkEnd w:id="70"/>
    <w:p>
      <w:pPr>
        <w:ind w:left="1140" w:hanging="383"/>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 and</w:t>
      </w:r>
    </w:p>
    <w:p>
      <w:pPr>
        <w:spacing w:after="0" w:line="144" w:lineRule="exact"/>
        <w:rPr>
          <w:rFonts w:ascii="Times New Roman" w:cs="Times New Roman" w:eastAsia="Times New Roman" w:hAnsi="Times New Roman"/>
          <w:sz w:val="18"/>
          <w:szCs w:val="18"/>
          <w:color w:val="auto"/>
        </w:rPr>
      </w:pPr>
    </w:p>
    <w:p>
      <w:pPr>
        <w:ind w:left="1140" w:right="340" w:hanging="383"/>
        <w:spacing w:after="0" w:line="266"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for certain trade secrets or know-how, and a third party may subsequently file a patent covering such intellectual property.</w:t>
      </w:r>
    </w:p>
    <w:p>
      <w:pPr>
        <w:spacing w:after="0" w:line="91"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future use of “open source” software could subject our proprietary software to general release, adversely affect our ability to sell our products and subject us to possible litigation.</w:t>
      </w:r>
    </w:p>
    <w:p>
      <w:pPr>
        <w:spacing w:after="0" w:line="63"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7"/>
          <w:szCs w:val="17"/>
          <w:color w:val="auto"/>
        </w:rPr>
        <w:t>We intend to incorporate open source software in future products or technologies licensed, developed and/or distributed by us. Open source software is generally licensed by its authors or other third parties under open source licenses. Some open source licenses contain requirements that we disclose source code for modifications we make to the open source software and that we license such modifications to third parties at no cost. In some circumstances, distribution of our software in connection with open source software could require that we disclose and license some or all of our proprietary source code in that software, as well as distribute our products that use particular open source software at no cost to the user. We intend to monitor our use of open source software in an effort to avoid uses in a manner that would require us to disclose or grant licenses under our proprietary source code; however, there can be no assurance that such efforts will be successful. Open source license terms are often ambiguous and such use could inadvertently occur. There is little legal precedent governing the interpretation of many of the terms of these licenses, and the potential impact of these terms on our business may result in unanticipated obligations regarding our products and technologies. Companies that incorporate open source software into their products have, in the past, faced claims seeking enforcement of open source license provisions and claims asserting ownership of open source software incorporated into their product.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 In addition, if we combine our proprietary software with open source software in certain ways, under some open source licenses, we could be required to release the source code of our proprietary software, which could substantially help our competitors develop products that are similar to or better than ours and otherwise adversely affect our business. These risks could be difficult to eliminate or manage, and, if not addressed, could harm our business, financial condition and results of operations.</w:t>
      </w:r>
    </w:p>
    <w:p>
      <w:pPr>
        <w:spacing w:after="0" w:line="75"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our trademarks, service marks and tradenames are not adequately protected, then we may not be able to build name recognition in our markets and our business may be adversely affected.</w:t>
      </w:r>
    </w:p>
    <w:p>
      <w:pPr>
        <w:spacing w:after="0" w:line="50" w:lineRule="exact"/>
        <w:rPr>
          <w:sz w:val="20"/>
          <w:szCs w:val="20"/>
          <w:color w:val="auto"/>
        </w:rPr>
      </w:pPr>
    </w:p>
    <w:p>
      <w:pPr>
        <w:ind w:firstLine="374"/>
        <w:spacing w:after="0" w:line="242" w:lineRule="auto"/>
        <w:rPr>
          <w:sz w:val="20"/>
          <w:szCs w:val="20"/>
          <w:color w:val="auto"/>
        </w:rPr>
      </w:pPr>
      <w:r>
        <w:rPr>
          <w:rFonts w:ascii="Times New Roman" w:cs="Times New Roman" w:eastAsia="Times New Roman" w:hAnsi="Times New Roman"/>
          <w:sz w:val="18"/>
          <w:szCs w:val="18"/>
          <w:color w:val="auto"/>
        </w:rPr>
        <w:t>We rely on trademarks, service marks, tradenames and brand names to distinguish our products from the products of our competitors and have registered or applied to register these trademarks. We cannot assure you that our trademark and service mark applications will be approved. During trademark and service mark registration proceedings, we may receive rejections. Although we are given an opportunity to respond to those rejections, we may be unable to overcome such rejections. In addition, in proceedings before the USPTO and comparable agencies in many foreign jurisdictions, third parties are given an opportunity to oppose pending trademark and service mark applications and to seek to cancel registered trademarks and service marks. Opposition or cancellation proceedings may be filed against our trademarks and service marks, and our trademarks and service marks may not survive such proceedings. In the event that our trademarks and service marks are successfully challenged, we could be forced to rebrand our products, which could result in loss of brand recognition and could require us to devote resources towards advertising and marketing new brands. At times, competitors may adopt trade names, trademarks or service marks similar to ours, thereby impeding our ability to build brand identity and possibly leading to market confusion. As a means to enforce our trademark and service mark rights and prevent infringement and other violations, we may be required to file claims against third parties or initiate opposition proceedings. This can be expensive and time-consuming. In addition, there could be potential trademark or service mark infringement claims brought by owners of other registered trademarks, service marks, or trademarks or service marks that incorporate variations of our registered or unregistered trademarks or service marks. Certain of our current or future trademarks or service marks may become so well known by the public that their use becomes generic and they lose trademark or service mark protection. Over the long term, if we are unable to establish name recognition based on our trademarks, service marks and trade names, then we may not be able to compete effectively and our business, financial condition and results of operations may be adversely affected.</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04"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obtain and maintain necessary regulatory clearances or approvals for our products, or if clearances or approvals for future products and indications are delayed or not issued, our commercial operations would be harmed.</w:t>
      </w:r>
    </w:p>
    <w:p>
      <w:pPr>
        <w:spacing w:after="0" w:line="63" w:lineRule="exact"/>
        <w:rPr>
          <w:sz w:val="20"/>
          <w:szCs w:val="20"/>
          <w:color w:val="auto"/>
        </w:rPr>
      </w:pPr>
    </w:p>
    <w:p>
      <w:pPr>
        <w:ind w:right="100" w:firstLine="374"/>
        <w:spacing w:after="0" w:line="266" w:lineRule="auto"/>
        <w:rPr>
          <w:sz w:val="20"/>
          <w:szCs w:val="20"/>
          <w:color w:val="auto"/>
        </w:rPr>
      </w:pPr>
      <w:r>
        <w:rPr>
          <w:rFonts w:ascii="Times New Roman" w:cs="Times New Roman" w:eastAsia="Times New Roman" w:hAnsi="Times New Roman"/>
          <w:sz w:val="18"/>
          <w:szCs w:val="18"/>
          <w:color w:val="auto"/>
        </w:rPr>
        <w:t>Our products are subject to extensive regulation by the FDA in the United States and by regulatory agencies in other countries where we may choose to do business. Government regulations specific to medical devices are wide ranging and govern, among other things:</w:t>
      </w:r>
    </w:p>
    <w:p>
      <w:pPr>
        <w:spacing w:after="0" w:line="54" w:lineRule="exact"/>
        <w:rPr>
          <w:sz w:val="20"/>
          <w:szCs w:val="20"/>
          <w:color w:val="auto"/>
        </w:rPr>
      </w:pPr>
    </w:p>
    <w:p>
      <w:pPr>
        <w:ind w:left="1140" w:hanging="383"/>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design, development and manufacture;</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preclinical and clinical testing, labeling, packaging, storage and distribution;</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premarketing clearance or approval;</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keeping;</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safety and effective;</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changes;</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marketing, promotion and advertising, sales and distribution; and</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 marketing surveillance, including reporting of deaths or serious injuries and recalls and correction and removals.</w:t>
      </w:r>
    </w:p>
    <w:p>
      <w:pPr>
        <w:spacing w:after="0" w:line="144" w:lineRule="exact"/>
        <w:rPr>
          <w:sz w:val="20"/>
          <w:szCs w:val="20"/>
          <w:color w:val="auto"/>
        </w:rPr>
      </w:pPr>
    </w:p>
    <w:p>
      <w:pPr>
        <w:ind w:right="120" w:firstLine="374"/>
        <w:spacing w:after="0" w:line="258" w:lineRule="auto"/>
        <w:rPr>
          <w:sz w:val="20"/>
          <w:szCs w:val="20"/>
          <w:color w:val="auto"/>
        </w:rPr>
      </w:pPr>
      <w:r>
        <w:rPr>
          <w:rFonts w:ascii="Times New Roman" w:cs="Times New Roman" w:eastAsia="Times New Roman" w:hAnsi="Times New Roman"/>
          <w:sz w:val="18"/>
          <w:szCs w:val="18"/>
          <w:color w:val="auto"/>
        </w:rPr>
        <w:t>Before a new medical device, or a new intended use for an existing product, can be marketed in the United States, a company must first submit and receive either 510(k) clearance pursuant to Section 510(k) of the Food, Drug and Cosmetic Act, or the (“FDCA”), or approval of a premarket approval, or PMA, application from the FDA, unless an exemption applies.</w:t>
      </w:r>
    </w:p>
    <w:p>
      <w:pPr>
        <w:spacing w:after="0" w:line="102" w:lineRule="exact"/>
        <w:rPr>
          <w:sz w:val="20"/>
          <w:szCs w:val="20"/>
          <w:color w:val="auto"/>
        </w:rPr>
      </w:pPr>
    </w:p>
    <w:p>
      <w:pPr>
        <w:ind w:firstLine="374"/>
        <w:spacing w:after="0" w:line="242" w:lineRule="auto"/>
        <w:rPr>
          <w:sz w:val="20"/>
          <w:szCs w:val="20"/>
          <w:color w:val="auto"/>
        </w:rPr>
      </w:pPr>
      <w:r>
        <w:rPr>
          <w:rFonts w:ascii="Times New Roman" w:cs="Times New Roman" w:eastAsia="Times New Roman" w:hAnsi="Times New Roman"/>
          <w:sz w:val="18"/>
          <w:szCs w:val="18"/>
          <w:color w:val="auto"/>
        </w:rPr>
        <w:t>In many cases, the process of obtaining PMA approval is much more rigorous, costly, lengthy and uncertain than the 510(k) clearance process. In the 510(k) clearance process, the FDA must determine that a proposed device is “substantially equivalent” to a device legally on the market, known as a “predicate” device, in order to clear the proposed device for marketing.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is sometimes required to support substantial equivalence. In the PMA approval process, the FDA must determine that a proposed device is safe and effective for its intended use based on extensive data, including technical, pre-clinical, clinical trial, manufacturing and labeling data. The PMA process is typically required for devices for which the 510(k) process cannot be used and that are deemed to pose the greatest risk. Modifications to products that are approved through a PMA application generally need prior FDA approval of a PMA supplement. Similarly, some modifications made to products cleared through a 510(k) may require a new 510(k), or such modification may put the device into class III and require PMA approval. The FDA’s 510(k) clearance process usually takes from three to 12 months but may last longer. The process of obtaining a PMA generally takes from one to three years, or even longer, from the time the PMA is submitted to the FDA until an approval is obtained. Any delay or failure to obtain necessary regulatory approvals or clearances would have a material adverse effect on our business, financial condition and results of operations.</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FDA can delay, limit or deny clearance or approval of a device for many reasons, including:</w:t>
      </w:r>
    </w:p>
    <w:p>
      <w:pPr>
        <w:spacing w:after="0" w:line="144" w:lineRule="exact"/>
        <w:rPr>
          <w:sz w:val="20"/>
          <w:szCs w:val="20"/>
          <w:color w:val="auto"/>
        </w:rPr>
      </w:pPr>
    </w:p>
    <w:p>
      <w:pPr>
        <w:ind w:left="1140" w:right="160" w:hanging="383"/>
        <w:spacing w:after="0" w:line="282"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to the satisfaction of the FDA or the applicable regulatory entity or notified body that our products are safe or effective for their intended uses;</w:t>
      </w:r>
    </w:p>
    <w:p>
      <w:pPr>
        <w:spacing w:after="0" w:line="80" w:lineRule="exact"/>
        <w:rPr>
          <w:rFonts w:ascii="Times New Roman" w:cs="Times New Roman" w:eastAsia="Times New Roman" w:hAnsi="Times New Roman"/>
          <w:sz w:val="18"/>
          <w:szCs w:val="18"/>
          <w:color w:val="auto"/>
        </w:rPr>
      </w:pPr>
    </w:p>
    <w:p>
      <w:pPr>
        <w:ind w:left="1140" w:right="160" w:hanging="383"/>
        <w:spacing w:after="0" w:line="266"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disagreement of the FDA or the applicable foreign regulatory body with the design, conduct or implementation of our clinical trials or the analyses or interpretation of data from pre-clinical studies or clinical trials;</w:t>
      </w:r>
    </w:p>
    <w:p>
      <w:pPr>
        <w:spacing w:after="0" w:line="9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adverse device effects experienced by participants in our clinical trials;</w:t>
      </w: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7" w:right="379" w:bottom="1440" w:gutter="0" w:footer="0" w:header="0"/>
        </w:sectPr>
      </w:pPr>
    </w:p>
    <w:bookmarkStart w:id="72" w:name="page73"/>
    <w:bookmarkEnd w:id="72"/>
    <w:p>
      <w:pPr>
        <w:ind w:left="1140" w:hanging="383"/>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from our pre-clinical studies and clinical trials may be insufficient to support clearance or approval, where required;</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that the clinical and other benefits of the device outweigh the risks;</w:t>
      </w:r>
    </w:p>
    <w:p>
      <w:pPr>
        <w:spacing w:after="0" w:line="144" w:lineRule="exact"/>
        <w:rPr>
          <w:rFonts w:ascii="Times New Roman" w:cs="Times New Roman" w:eastAsia="Times New Roman" w:hAnsi="Times New Roman"/>
          <w:sz w:val="18"/>
          <w:szCs w:val="18"/>
          <w:color w:val="auto"/>
        </w:rPr>
      </w:pPr>
    </w:p>
    <w:p>
      <w:pPr>
        <w:ind w:left="1140" w:right="400" w:hanging="383"/>
        <w:spacing w:after="0" w:line="250"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advisory committee, if convened by the applicable regulatory authority, may recommend against approval of our application or may recommend that the applicable regulatory authority require, as a condition of approval, additional preclinical studies or clinical trials, limitations on approved labeling or distribution and use restrictions, or even if an advisory committee, if convened, makes a favorable recommendation, the respective regulatory authority may still not approve the product;</w:t>
      </w:r>
    </w:p>
    <w:p>
      <w:pPr>
        <w:spacing w:after="0" w:line="109" w:lineRule="exact"/>
        <w:rPr>
          <w:rFonts w:ascii="Times New Roman" w:cs="Times New Roman" w:eastAsia="Times New Roman" w:hAnsi="Times New Roman"/>
          <w:sz w:val="18"/>
          <w:szCs w:val="18"/>
          <w:color w:val="auto"/>
        </w:rPr>
      </w:pPr>
    </w:p>
    <w:p>
      <w:pPr>
        <w:ind w:left="1140" w:right="160" w:hanging="383"/>
        <w:spacing w:after="0" w:line="266"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regulatory authority may identify significant deficiencies in our manufacturing processes, facilities or analytical methods or those of our third-party contract manufacturers;</w:t>
      </w:r>
    </w:p>
    <w:p>
      <w:pPr>
        <w:spacing w:after="0" w:line="94" w:lineRule="exact"/>
        <w:rPr>
          <w:rFonts w:ascii="Times New Roman" w:cs="Times New Roman" w:eastAsia="Times New Roman" w:hAnsi="Times New Roman"/>
          <w:sz w:val="18"/>
          <w:szCs w:val="18"/>
          <w:color w:val="auto"/>
        </w:rPr>
      </w:pPr>
    </w:p>
    <w:p>
      <w:pPr>
        <w:ind w:left="1140" w:right="360" w:hanging="383"/>
        <w:spacing w:after="0" w:line="266"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approval policies or regulations of the FDA or applicable foreign regulatory bodies to change significantly in a manner rendering our clinical data or regulatory filings insufficient for clearance or approval; and</w:t>
      </w:r>
    </w:p>
    <w:p>
      <w:pPr>
        <w:spacing w:after="0" w:line="94" w:lineRule="exact"/>
        <w:rPr>
          <w:rFonts w:ascii="Times New Roman" w:cs="Times New Roman" w:eastAsia="Times New Roman" w:hAnsi="Times New Roman"/>
          <w:sz w:val="18"/>
          <w:szCs w:val="18"/>
          <w:color w:val="auto"/>
        </w:rPr>
      </w:pPr>
    </w:p>
    <w:p>
      <w:pPr>
        <w:ind w:left="1140" w:right="260" w:hanging="383"/>
        <w:spacing w:after="0" w:line="282"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foreign regulatory authorities may audit our clinical trial data and conclude that the data is not sufficiently reliable to support approval or clearance.</w:t>
      </w:r>
    </w:p>
    <w:p>
      <w:pPr>
        <w:spacing w:after="0" w:line="81" w:lineRule="exact"/>
        <w:rPr>
          <w:sz w:val="20"/>
          <w:szCs w:val="20"/>
          <w:color w:val="auto"/>
        </w:rPr>
      </w:pPr>
    </w:p>
    <w:p>
      <w:pPr>
        <w:ind w:right="40" w:firstLine="374"/>
        <w:spacing w:after="0" w:line="246" w:lineRule="auto"/>
        <w:rPr>
          <w:sz w:val="20"/>
          <w:szCs w:val="20"/>
          <w:color w:val="auto"/>
        </w:rPr>
      </w:pPr>
      <w:r>
        <w:rPr>
          <w:rFonts w:ascii="Times New Roman" w:cs="Times New Roman" w:eastAsia="Times New Roman" w:hAnsi="Times New Roman"/>
          <w:sz w:val="18"/>
          <w:szCs w:val="18"/>
          <w:color w:val="auto"/>
        </w:rPr>
        <w:t>Similarly, regulators may determine that our financial relationships with our principal investigators resulted in a perceived or actual conflict of interest that may have affected the interpretation of a study, the integrity of the data generated at the applicable clinical trial site or the utility of the clinical trial itself. Even if we are granted regulatory clearances or approvals, they may include significant limitations on the indicated uses for the product, which may limit the market for the product. Moreover, the FDA and European Union regulatory authorities strictly regulate the labeling, promotion and advertising of medical devices, including comparative and superiority claims vis a vis competitors’ products, that may be made about products.</w:t>
      </w:r>
    </w:p>
    <w:p>
      <w:pPr>
        <w:spacing w:after="0" w:line="114" w:lineRule="exact"/>
        <w:rPr>
          <w:sz w:val="20"/>
          <w:szCs w:val="20"/>
          <w:color w:val="auto"/>
        </w:rPr>
      </w:pPr>
    </w:p>
    <w:p>
      <w:pPr>
        <w:ind w:firstLine="374"/>
        <w:spacing w:after="0" w:line="246" w:lineRule="auto"/>
        <w:rPr>
          <w:sz w:val="20"/>
          <w:szCs w:val="20"/>
          <w:color w:val="auto"/>
        </w:rPr>
      </w:pPr>
      <w:r>
        <w:rPr>
          <w:rFonts w:ascii="Times New Roman" w:cs="Times New Roman" w:eastAsia="Times New Roman" w:hAnsi="Times New Roman"/>
          <w:sz w:val="18"/>
          <w:szCs w:val="18"/>
          <w:color w:val="auto"/>
        </w:rPr>
        <w:t>As a condition of approving a PMA application,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safety and effectiveness data for the device. Failure to conduct the post-approval study in compliance with applicable regulations or to timely complete required post-approval studies or comply with other post-approval requirements could result in withdrawal of approval of the PMA, which would harm our business.</w:t>
      </w:r>
    </w:p>
    <w:p>
      <w:pPr>
        <w:spacing w:after="0" w:line="114" w:lineRule="exact"/>
        <w:rPr>
          <w:sz w:val="20"/>
          <w:szCs w:val="20"/>
          <w:color w:val="auto"/>
        </w:rPr>
      </w:pPr>
    </w:p>
    <w:p>
      <w:pPr>
        <w:ind w:firstLine="374"/>
        <w:spacing w:after="0" w:line="250" w:lineRule="auto"/>
        <w:rPr>
          <w:sz w:val="20"/>
          <w:szCs w:val="20"/>
          <w:color w:val="auto"/>
        </w:rPr>
      </w:pPr>
      <w:r>
        <w:rPr>
          <w:rFonts w:ascii="Times New Roman" w:cs="Times New Roman" w:eastAsia="Times New Roman" w:hAnsi="Times New Roman"/>
          <w:sz w:val="18"/>
          <w:szCs w:val="18"/>
          <w:color w:val="auto"/>
        </w:rPr>
        <w:t>In addition, we are required to timely file various reports with the FDA, including MDR, that requires that we report to the regulatory authorities if our products may have caused or contributed to a death or serious injury or malfunctioned in a way that would likely cause or contribute to a death or serious injury if the malfunction were to recur. If these reports are not filed in a timely manner, regulators may impose sanctions and we may be subject to product liability or regulatory enforcement actions, all of which could harm our business.</w:t>
      </w:r>
    </w:p>
    <w:p>
      <w:pPr>
        <w:spacing w:after="0" w:line="110" w:lineRule="exact"/>
        <w:rPr>
          <w:sz w:val="20"/>
          <w:szCs w:val="20"/>
          <w:color w:val="auto"/>
        </w:rPr>
      </w:pPr>
    </w:p>
    <w:p>
      <w:pPr>
        <w:ind w:right="80" w:firstLine="374"/>
        <w:spacing w:after="0" w:line="246" w:lineRule="auto"/>
        <w:rPr>
          <w:sz w:val="20"/>
          <w:szCs w:val="20"/>
          <w:color w:val="auto"/>
        </w:rPr>
      </w:pPr>
      <w:r>
        <w:rPr>
          <w:rFonts w:ascii="Times New Roman" w:cs="Times New Roman" w:eastAsia="Times New Roman" w:hAnsi="Times New Roman"/>
          <w:sz w:val="18"/>
          <w:szCs w:val="18"/>
          <w:color w:val="auto"/>
        </w:rPr>
        <w:t>If we initiate a correction or removal action for our products to reduce a significant risk to health posed by our products, we would be required to submit a publicly available correction and removal report to the FDA and, in many cases, similar reports to other regulatory agencies. This report could be classified by the FDA as a device recall which could lead to increased scrutiny by the FDA, other international regulatory agencies and our customers regarding the quality and safety of our products. Furthermore, the submission of these reports could be used by competitors against us and cause doctors to delay or cancel procedures, which could harm our reputation.</w:t>
      </w:r>
    </w:p>
    <w:p>
      <w:pPr>
        <w:spacing w:after="0" w:line="114" w:lineRule="exact"/>
        <w:rPr>
          <w:sz w:val="20"/>
          <w:szCs w:val="20"/>
          <w:color w:val="auto"/>
        </w:rPr>
      </w:pPr>
    </w:p>
    <w:p>
      <w:pPr>
        <w:ind w:right="20" w:firstLine="374"/>
        <w:spacing w:after="0" w:line="246" w:lineRule="auto"/>
        <w:rPr>
          <w:sz w:val="20"/>
          <w:szCs w:val="20"/>
          <w:color w:val="auto"/>
        </w:rPr>
      </w:pPr>
      <w:r>
        <w:rPr>
          <w:rFonts w:ascii="Times New Roman" w:cs="Times New Roman" w:eastAsia="Times New Roman" w:hAnsi="Times New Roman"/>
          <w:sz w:val="18"/>
          <w:szCs w:val="18"/>
          <w:color w:val="auto"/>
        </w:rPr>
        <w:t>The FDA and the Federal Trade Commission, or FTC, also regulate the advertising, promotion and labeling of our products to ensure that the claims we make are consistent with our regulatory clearances and approvals, that there is adequate and reasonable scientific data to substantiate the claims and that our promotional labeling and advertising is neither false nor misleading in any respect. If the FDA or FTC determines that any of our advertising or promotional claims are misleading, not substantiated or not permissible, we may be subject to enforcement actions, including adverse publicity and warning letters, and we may be required to revise our promotional claims and make other corrections or restitutions.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3" w:name="page74"/>
    <w:bookmarkEnd w:id="73"/>
    <w:p>
      <w:pPr>
        <w:ind w:right="680" w:firstLine="374"/>
        <w:spacing w:after="0" w:line="266" w:lineRule="auto"/>
        <w:rPr>
          <w:sz w:val="20"/>
          <w:szCs w:val="20"/>
          <w:color w:val="auto"/>
        </w:rPr>
      </w:pPr>
      <w:r>
        <w:rPr>
          <w:rFonts w:ascii="Times New Roman" w:cs="Times New Roman" w:eastAsia="Times New Roman" w:hAnsi="Times New Roman"/>
          <w:sz w:val="18"/>
          <w:szCs w:val="18"/>
          <w:color w:val="auto"/>
        </w:rPr>
        <w:t>The FDA and state authorities have broad enforcement powers. Our failure to comply with applicable regulatory requirements could result in enforcement action by the FDA or state agencies, which may include any of the following sanctions:</w:t>
      </w:r>
    </w:p>
    <w:p>
      <w:pPr>
        <w:spacing w:after="0" w:line="95" w:lineRule="exact"/>
        <w:rPr>
          <w:sz w:val="20"/>
          <w:szCs w:val="20"/>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warning letters, fines, injunctions, consent decrees and civil penalties;</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repair, replacement, refunds, recalls, termination of distribution, administrative detention or seizure of our products;</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partial suspension or total shutdown of production;</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denial of our requests for 510(k) clearance or PMA of new products, new intended uses or modifications to existing products;</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510(k) clearance or PMAs that have already been granted; and</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144" w:lineRule="exact"/>
        <w:rPr>
          <w:sz w:val="20"/>
          <w:szCs w:val="20"/>
          <w:color w:val="auto"/>
        </w:rPr>
      </w:pPr>
    </w:p>
    <w:p>
      <w:pPr>
        <w:ind w:right="20" w:firstLine="374"/>
        <w:spacing w:after="0" w:line="266" w:lineRule="auto"/>
        <w:rPr>
          <w:sz w:val="20"/>
          <w:szCs w:val="20"/>
          <w:color w:val="auto"/>
        </w:rPr>
      </w:pPr>
      <w:r>
        <w:rPr>
          <w:rFonts w:ascii="Times New Roman" w:cs="Times New Roman" w:eastAsia="Times New Roman" w:hAnsi="Times New Roman"/>
          <w:sz w:val="18"/>
          <w:szCs w:val="18"/>
          <w:color w:val="auto"/>
        </w:rPr>
        <w:t>If any of these events were to occur, our business and financial condition could be harmed. In addition, the FDA’s and other regulatory authorities’ policies may change and additional government regulations may be enacted that could prevent, limit or delay regulatory approval of our products.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financial condition and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and operations are subject to extensive government regulation and oversight in the United States.</w:t>
      </w:r>
    </w:p>
    <w:p>
      <w:pPr>
        <w:spacing w:after="0" w:line="135" w:lineRule="exact"/>
        <w:rPr>
          <w:sz w:val="20"/>
          <w:szCs w:val="20"/>
          <w:color w:val="auto"/>
        </w:rPr>
      </w:pPr>
    </w:p>
    <w:p>
      <w:pPr>
        <w:ind w:right="80" w:firstLine="374"/>
        <w:spacing w:after="0" w:line="263" w:lineRule="auto"/>
        <w:rPr>
          <w:sz w:val="20"/>
          <w:szCs w:val="20"/>
          <w:color w:val="auto"/>
        </w:rPr>
      </w:pPr>
      <w:r>
        <w:rPr>
          <w:rFonts w:ascii="Times New Roman" w:cs="Times New Roman" w:eastAsia="Times New Roman" w:hAnsi="Times New Roman"/>
          <w:sz w:val="18"/>
          <w:szCs w:val="18"/>
          <w:color w:val="auto"/>
        </w:rPr>
        <w:t>Medical devices regulated by the FDA are subject to “general controls” which include: registration with the FDA; listing commercially distributed products with the FDA; complying with all applicable requirements under the QSR; filing reports with the FDA of and keeping records relative to certain types of adverse events associated with devices under the medical device reporting regulation; assuring that device labeling complies with device labeling requirements; reporting certain device field removals and corrections to the FDA; and obtaining pre-market notification 510(k) clearance for devices prior to marketing. Some devices known as “510(k)-exempt” devices can be marketed without prior marketing-clearance or approval from the FDA. In addition to the “general controls,” some Class II medical devices are also subject to “special controls,” including adherence to a particular guidance document and compliance with the performance standard. Instead of obtaining 510(k) clearance, most Class III devices are subject to PMA.</w:t>
      </w:r>
    </w:p>
    <w:p>
      <w:pPr>
        <w:spacing w:after="0" w:line="113" w:lineRule="exact"/>
        <w:rPr>
          <w:sz w:val="20"/>
          <w:szCs w:val="20"/>
          <w:color w:val="auto"/>
        </w:rPr>
      </w:pPr>
    </w:p>
    <w:p>
      <w:pPr>
        <w:ind w:right="140" w:firstLine="374"/>
        <w:spacing w:after="0" w:line="271" w:lineRule="auto"/>
        <w:rPr>
          <w:sz w:val="20"/>
          <w:szCs w:val="20"/>
          <w:color w:val="auto"/>
        </w:rPr>
      </w:pPr>
      <w:r>
        <w:rPr>
          <w:rFonts w:ascii="Times New Roman" w:cs="Times New Roman" w:eastAsia="Times New Roman" w:hAnsi="Times New Roman"/>
          <w:sz w:val="18"/>
          <w:szCs w:val="18"/>
          <w:color w:val="auto"/>
        </w:rPr>
        <w:t>Although our products have received regulatory approval or clearance from FDA in the United States for a particular patient population, they will be subject to ongoing regulatory requirements for manufacturing, labeling, packaging, storage, advertising, promotion, sampling, record-keeping, conduct of post-marketing studies and submission of safety, effectiveness and other post-market information, including both federal and state requirements in the United States and requirements of comparable non-U.S. regulatory authorities in any international markets we choose to enter.</w:t>
      </w:r>
    </w:p>
    <w:p>
      <w:pPr>
        <w:spacing w:after="0" w:line="105" w:lineRule="exact"/>
        <w:rPr>
          <w:sz w:val="20"/>
          <w:szCs w:val="20"/>
          <w:color w:val="auto"/>
        </w:rPr>
      </w:pPr>
    </w:p>
    <w:p>
      <w:pPr>
        <w:ind w:firstLine="374"/>
        <w:spacing w:after="0" w:line="263" w:lineRule="auto"/>
        <w:rPr>
          <w:sz w:val="20"/>
          <w:szCs w:val="20"/>
          <w:color w:val="auto"/>
        </w:rPr>
      </w:pPr>
      <w:r>
        <w:rPr>
          <w:rFonts w:ascii="Times New Roman" w:cs="Times New Roman" w:eastAsia="Times New Roman" w:hAnsi="Times New Roman"/>
          <w:sz w:val="18"/>
          <w:szCs w:val="18"/>
          <w:color w:val="auto"/>
        </w:rPr>
        <w:t>Any regulatory clearances or approvals that we have received for our products will be subject to limitations on the cleared or approved indicated uses for which the product may be marketed and promoted, will be subject to the conditions of approval, or will contain requirements for potentially costly post-marketing testing. We are required to report certain adverse events and production problems, if any, to the FDA and comparable foreign regulatory authorities. Any new legislation addressing product safety issues could result in increased costs to assure compliance. The FDA and other agencies, including the DOJ, closely regulate and monitor the post-clearance or approval marketing and promotion of products to ensure that they are marketed and distributed only for the cleared or approved indications and in accordance with the provisions of the cleared or approved labeling. We have to comply with requirements concerning advertising and promotion for our products.</w:t>
      </w:r>
    </w:p>
    <w:p>
      <w:pPr>
        <w:spacing w:after="0" w:line="113" w:lineRule="exact"/>
        <w:rPr>
          <w:sz w:val="20"/>
          <w:szCs w:val="20"/>
          <w:color w:val="auto"/>
        </w:rPr>
      </w:pPr>
    </w:p>
    <w:p>
      <w:pPr>
        <w:ind w:right="520" w:firstLine="374"/>
        <w:spacing w:after="0" w:line="297" w:lineRule="auto"/>
        <w:rPr>
          <w:sz w:val="20"/>
          <w:szCs w:val="20"/>
          <w:color w:val="auto"/>
        </w:rPr>
      </w:pPr>
      <w:r>
        <w:rPr>
          <w:rFonts w:ascii="Times New Roman" w:cs="Times New Roman" w:eastAsia="Times New Roman" w:hAnsi="Times New Roman"/>
          <w:sz w:val="18"/>
          <w:szCs w:val="18"/>
          <w:color w:val="auto"/>
        </w:rPr>
        <w:t>Promotional communications with respect to devices are subject to a variety of legal and regulatory restrictions and must be consistent with the information in the products’ cleared or approved labeling. As such, we may not</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74" w:name="page75"/>
    <w:bookmarkEnd w:id="74"/>
    <w:p>
      <w:pPr>
        <w:ind w:right="20"/>
        <w:spacing w:after="0" w:line="262" w:lineRule="auto"/>
        <w:rPr>
          <w:sz w:val="20"/>
          <w:szCs w:val="20"/>
          <w:color w:val="auto"/>
        </w:rPr>
      </w:pPr>
      <w:r>
        <w:rPr>
          <w:rFonts w:ascii="Times New Roman" w:cs="Times New Roman" w:eastAsia="Times New Roman" w:hAnsi="Times New Roman"/>
          <w:sz w:val="18"/>
          <w:szCs w:val="18"/>
          <w:color w:val="auto"/>
        </w:rPr>
        <w:t>promote our products for indications or uses for which they do not have clearance or approval. We received a PMA for the LAL and LDD, which is indicated for the reduction of residual astigmatism to improve uncorrected visual acuity after removal of the cataractous natural lens by phacoemulsification and implantation of the intraocular lens in the capsular bag, in adult patients with pre-existing corneal astigmatism of &gt; 0.75 diopters and without pre-existing macular disease. We also received a 510(k) clearance for our contact lens, which is indicated for visualization and treatment in the anterior segment of the eye. We train our marketing and sales force against promoting our products for uses outside of the cleared or approved indications for use, known as “off-label uses.” However, doctors may use our products for off-label purposes and are allowed to do so when in the doctor’s independent professional medical judgment he or she deems it appropriate. If the FDA determines that our promotional materials or training constitute promotion of an off-label or other improper use, or that our internal policies and procedures are inadequate to prevent such off-label uses, it could subject us to regulatory or enforcement actions as discussed below.</w:t>
      </w:r>
    </w:p>
    <w:p>
      <w:pPr>
        <w:spacing w:after="0" w:line="113"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In addition, we cannot make comparative claims regarding the use of our products against any alternative treatments without conducting head-to-head comparative clinical studies, which would be expensive and time-consuming. If the FDA determines that our promotional, reimbursement or training materials for sales representatives or doctors constitute promotion of an off-label use, the FDA could request that we modify our training, promotional or reimbursement materials and/or subject us to regulatory or enforcement actions, including the issuance of an untitled letter, a warning letter, injunction, seizure, disgorgement of profits, significant penalties, including civil fines and criminal penalties. Other federal, state or foreign governmental authorities also might take action if they consider our promotion, reimbursement or training materials to constitute promotion of an off-label use, which could result in significant fines or penalties under other statutory authorities, such as laws prohibiting false claims for reimbursement. Although we train our sales force not to promote our products for off-label uses, and our instructions for use in all markets specify that our products are not intended for use outside of those indications cleared or approved for use, the FDA or another regulatory agency could conclude that we have engaged in off-label promotion. For example, the government may take the position that off-label promotion resulted in inappropriate reimbursement for an off-label use in violation of the federal civil False Claims Act for which it might impose significant civil fines and even pursue criminal action. In those possible events, our reputation could be damaged, and adoption of the products would be impaired.</w:t>
      </w:r>
    </w:p>
    <w:p>
      <w:pPr>
        <w:spacing w:after="0" w:line="120" w:lineRule="exact"/>
        <w:rPr>
          <w:sz w:val="20"/>
          <w:szCs w:val="20"/>
          <w:color w:val="auto"/>
        </w:rPr>
      </w:pPr>
    </w:p>
    <w:p>
      <w:pPr>
        <w:ind w:right="120" w:firstLine="374"/>
        <w:spacing w:after="0" w:line="274" w:lineRule="auto"/>
        <w:rPr>
          <w:sz w:val="20"/>
          <w:szCs w:val="20"/>
          <w:color w:val="auto"/>
        </w:rPr>
      </w:pPr>
      <w:r>
        <w:rPr>
          <w:rFonts w:ascii="Times New Roman" w:cs="Times New Roman" w:eastAsia="Times New Roman" w:hAnsi="Times New Roman"/>
          <w:sz w:val="18"/>
          <w:szCs w:val="18"/>
          <w:color w:val="auto"/>
        </w:rPr>
        <w:t>If a regulatory agency discovers previously unknown problems with a product, such as adverse events of unanticipated severity or frequency, or problems with our facility where the product is manufactured or disagrees with the promotion, marketing or labeling of a product, such regulatory agency may impose restrictions on that product or us, including requiring withdrawal of the product from the market.</w:t>
      </w:r>
    </w:p>
    <w:p>
      <w:pPr>
        <w:spacing w:after="0" w:line="1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If we fail to comply with applicable regulatory requirements, a regulatory agency or enforcement authority may, among other things:</w:t>
      </w:r>
    </w:p>
    <w:p>
      <w:pPr>
        <w:spacing w:after="0" w:line="158" w:lineRule="exact"/>
        <w:rPr>
          <w:sz w:val="20"/>
          <w:szCs w:val="20"/>
          <w:color w:val="auto"/>
        </w:rPr>
      </w:pPr>
    </w:p>
    <w:p>
      <w:pPr>
        <w:ind w:left="1140" w:right="740" w:hanging="383"/>
        <w:spacing w:after="0" w:line="266" w:lineRule="auto"/>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our facility to an adverse inspectional finding or Form 483, or other compliance or enforcement notice, communication or correspondence;</w:t>
      </w:r>
    </w:p>
    <w:p>
      <w:pPr>
        <w:spacing w:after="0" w:line="9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warning or untitled letters that would result in adverse publicity or may require corrective advertising;</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civil or criminal penalties;</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regulatory clearances or approvals;</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clear or approve pending applications or supplements to approved applications submitted by us;</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restrictions on our operations, including closing our sub-assembly suppliers’ facilities;</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products; or</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product recall.</w:t>
      </w: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51" w:right="379" w:bottom="1440" w:gutter="0" w:footer="0" w:header="0"/>
        </w:sectPr>
      </w:pPr>
    </w:p>
    <w:bookmarkStart w:id="75" w:name="page76"/>
    <w:bookmarkEnd w:id="75"/>
    <w:p>
      <w:pPr>
        <w:ind w:right="100" w:firstLine="374"/>
        <w:spacing w:after="0" w:line="282" w:lineRule="auto"/>
        <w:rPr>
          <w:sz w:val="20"/>
          <w:szCs w:val="20"/>
          <w:color w:val="auto"/>
        </w:rPr>
      </w:pPr>
      <w:r>
        <w:rPr>
          <w:rFonts w:ascii="Times New Roman" w:cs="Times New Roman" w:eastAsia="Times New Roman" w:hAnsi="Times New Roman"/>
          <w:sz w:val="18"/>
          <w:szCs w:val="18"/>
          <w:color w:val="auto"/>
        </w:rPr>
        <w:t>In addition, violations of the FDCA relating to the promotion of approved products may lead to investigations alleging violations of federal and state healthcare fraud and abuse and other laws, as well as state consumer protection laws.</w:t>
      </w:r>
    </w:p>
    <w:p>
      <w:pPr>
        <w:spacing w:after="0" w:line="108" w:lineRule="exact"/>
        <w:rPr>
          <w:sz w:val="20"/>
          <w:szCs w:val="20"/>
          <w:color w:val="auto"/>
        </w:rPr>
      </w:pPr>
    </w:p>
    <w:p>
      <w:pPr>
        <w:ind w:right="200" w:firstLine="374"/>
        <w:spacing w:after="0" w:line="266"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clearance or approval is withdrawn, it would have a material adverse effect on our business, financial condition and results of operations.</w:t>
      </w:r>
    </w:p>
    <w:p>
      <w:pPr>
        <w:spacing w:after="0" w:line="104" w:lineRule="exact"/>
        <w:rPr>
          <w:sz w:val="20"/>
          <w:szCs w:val="20"/>
          <w:color w:val="auto"/>
        </w:rPr>
      </w:pPr>
    </w:p>
    <w:p>
      <w:pPr>
        <w:ind w:right="80"/>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Material modifications to our products may require new 510(k) clearances or pre-market approvals or may require us to recall or cease marketing our products until clearances or approvals are obtained.</w:t>
      </w:r>
    </w:p>
    <w:p>
      <w:pPr>
        <w:spacing w:after="0" w:line="37" w:lineRule="exact"/>
        <w:rPr>
          <w:sz w:val="20"/>
          <w:szCs w:val="20"/>
          <w:color w:val="auto"/>
        </w:rPr>
      </w:pPr>
    </w:p>
    <w:p>
      <w:pPr>
        <w:ind w:firstLine="374"/>
        <w:spacing w:after="0" w:line="262" w:lineRule="auto"/>
        <w:rPr>
          <w:sz w:val="20"/>
          <w:szCs w:val="20"/>
          <w:color w:val="auto"/>
        </w:rPr>
      </w:pPr>
      <w:r>
        <w:rPr>
          <w:rFonts w:ascii="Times New Roman" w:cs="Times New Roman" w:eastAsia="Times New Roman" w:hAnsi="Times New Roman"/>
          <w:sz w:val="18"/>
          <w:szCs w:val="18"/>
          <w:color w:val="auto"/>
        </w:rPr>
        <w:t>Modifications that could significantly affect the safety and effectiveness of our approved or cleared products, such as changes to the intended use or technological characteristics of our products, will require new 510(k) clearances or PMAs or require us to recall or cease marketing the modified devices until these clearances or approvals are obtained. Based on FDA published guidelines, the FDA requires device manufacturers to initially make and document a determination of whether or not a modification requires a new approval, supplemental approval or clearance; however, the FDA can review a manufacturer’s decision. Any modification to an FDA-cleared device that could significantly affect its safety or efficacy or that would constitute a major change in its intended use would require a new 510(k) clearance or possibly a PMA. We may not be able to obtain the required 510(k) clearances or PMAs, or PMA supplements, or similar marketing authorization in applicable foreign jurisdictions, for new products or for modifications to, or additional indications for, our products in a timely fashion, or at all. Delays in obtaining required future clearances or approvals would adversely affect our ability to introduce new or enhanced products in a timely manner, which in turn would harm our future growth. We have made modifications to our products in the past and expect to make additional modifications in the future that we believe do not or will not require additional clearances or approvals. If the FDA or a comparable foreign regulatory authority disagrees and requires new clearances or approvals for these modifications, we may be required to recall and to stop selling or marketing such products as modified, which could harm our operating results and require us to redesign such products. In these circumstances, we may be subject to significant enforcement actions.</w:t>
      </w:r>
    </w:p>
    <w:p>
      <w:pPr>
        <w:spacing w:after="0" w:line="110"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current and future products in one jurisdiction does not mean that we will be successful in obtaining regulatory approval of our current and future products in other jurisdictions. The FDA and other comparable foreign regulatory authorities may not accept data from trials conducted in locations outside of their jurisdiction.</w:t>
      </w:r>
    </w:p>
    <w:p>
      <w:pPr>
        <w:spacing w:after="0" w:line="73" w:lineRule="exact"/>
        <w:rPr>
          <w:sz w:val="20"/>
          <w:szCs w:val="20"/>
          <w:color w:val="auto"/>
        </w:rPr>
      </w:pPr>
    </w:p>
    <w:p>
      <w:pPr>
        <w:ind w:right="20" w:firstLine="374"/>
        <w:spacing w:after="0" w:line="262" w:lineRule="auto"/>
        <w:rPr>
          <w:sz w:val="20"/>
          <w:szCs w:val="20"/>
          <w:color w:val="auto"/>
        </w:rPr>
      </w:pPr>
      <w:r>
        <w:rPr>
          <w:rFonts w:ascii="Times New Roman" w:cs="Times New Roman" w:eastAsia="Times New Roman" w:hAnsi="Times New Roman"/>
          <w:sz w:val="18"/>
          <w:szCs w:val="18"/>
          <w:color w:val="auto"/>
        </w:rPr>
        <w:t>Obtaining and maintaining regulatory approvals or clearances of our current and future products in one jurisdiction does not guarantee that we will be able to obtain or maintain regulatory approval in any other jurisdiction. For example, even if the FDA grants marketing approval or clearance of a current or future product, comparable regulatory authorities in foreign jurisdictions must also approve or clear the manufacturing, marketing and promotion and reimbursement of a current or future product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must be approved for reimbursement before it can be approved for sale in that jurisdiction. In some cases, the price that we intend to charge for our products is also subject to approval.</w:t>
      </w:r>
    </w:p>
    <w:p>
      <w:pPr>
        <w:spacing w:after="0" w:line="113" w:lineRule="exact"/>
        <w:rPr>
          <w:sz w:val="20"/>
          <w:szCs w:val="20"/>
          <w:color w:val="auto"/>
        </w:rPr>
      </w:pPr>
    </w:p>
    <w:p>
      <w:pPr>
        <w:ind w:right="20" w:firstLine="374"/>
        <w:spacing w:after="0" w:line="266" w:lineRule="auto"/>
        <w:rPr>
          <w:sz w:val="20"/>
          <w:szCs w:val="20"/>
          <w:color w:val="auto"/>
        </w:rPr>
      </w:pPr>
      <w:r>
        <w:rPr>
          <w:rFonts w:ascii="Times New Roman" w:cs="Times New Roman" w:eastAsia="Times New Roman" w:hAnsi="Times New Roman"/>
          <w:sz w:val="18"/>
          <w:szCs w:val="18"/>
          <w:color w:val="auto"/>
        </w:rPr>
        <w:t>The RxSight system has a CE Mark for improving uncorrected visual acuity by adjusting the LAL power to correct residual postoperative refractive error, including for -2.0 to + 2.0 diopters of sphere and -3.0 to -0.50 diopters of cylinder and by changing lens curvature to introduce controlled amounts of spherical aberration (+/- 1 micron) and center near add (up to 2.0 diopters) which is also registered with the MHRA in the United Kingdom and in Mexico. Obtaining additional foreign regulatory approvals and establishing and maintaining compliance with foreign regulatory requirements in jurisdictions where we conduct business currently or in the future, such as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51" w:right="379" w:bottom="1440" w:gutter="0" w:footer="0" w:header="0"/>
        </w:sectPr>
      </w:pPr>
    </w:p>
    <w:bookmarkStart w:id="76" w:name="page77"/>
    <w:bookmarkEnd w:id="76"/>
    <w:p>
      <w:pPr>
        <w:ind w:right="80"/>
        <w:spacing w:after="0" w:line="266" w:lineRule="auto"/>
        <w:rPr>
          <w:sz w:val="20"/>
          <w:szCs w:val="20"/>
          <w:color w:val="auto"/>
        </w:rPr>
      </w:pPr>
      <w:r>
        <w:rPr>
          <w:rFonts w:ascii="Times New Roman" w:cs="Times New Roman" w:eastAsia="Times New Roman" w:hAnsi="Times New Roman"/>
          <w:sz w:val="18"/>
          <w:szCs w:val="18"/>
          <w:color w:val="auto"/>
        </w:rPr>
        <w:t>requirements under the EU MDR,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or clearances, our target market will be reduced and our ability to realize the full market potential of our current and future products will be harmed.</w:t>
      </w:r>
    </w:p>
    <w:p>
      <w:pPr>
        <w:spacing w:after="0" w:line="122" w:lineRule="exact"/>
        <w:rPr>
          <w:sz w:val="20"/>
          <w:szCs w:val="20"/>
          <w:color w:val="auto"/>
        </w:rPr>
      </w:pPr>
    </w:p>
    <w:p>
      <w:pPr>
        <w:ind w:firstLine="374"/>
        <w:spacing w:after="0" w:line="259" w:lineRule="auto"/>
        <w:rPr>
          <w:sz w:val="20"/>
          <w:szCs w:val="20"/>
          <w:color w:val="auto"/>
        </w:rPr>
      </w:pPr>
      <w:r>
        <w:rPr>
          <w:rFonts w:ascii="Times New Roman" w:cs="Times New Roman" w:eastAsia="Times New Roman" w:hAnsi="Times New Roman"/>
          <w:sz w:val="18"/>
          <w:szCs w:val="18"/>
          <w:color w:val="auto"/>
        </w:rPr>
        <w:t>In addition, we have conducted clinical trials in Mexico and may choose to conduct further international clinical trials. The acceptance of study data by the FDA or other comparable foreign regulatory authority from clinical trials conducted outside of their respective jurisdictions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U.S. population and U.S. medical practice;</w:t>
      </w:r>
    </w:p>
    <w:p>
      <w:pPr>
        <w:spacing w:after="0" w:line="2" w:lineRule="exact"/>
        <w:rPr>
          <w:sz w:val="20"/>
          <w:szCs w:val="20"/>
          <w:color w:val="auto"/>
        </w:rPr>
      </w:pPr>
    </w:p>
    <w:p>
      <w:pPr>
        <w:ind w:right="80" w:firstLine="8"/>
        <w:spacing w:after="0" w:line="262" w:lineRule="auto"/>
        <w:tabs>
          <w:tab w:leader="none" w:pos="2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trials are performed by clinical investigators of recognized competence and pursuant to current good clinical practices regulations; and (3) audits by regulatory authorities of the clinical data do not identify significant data integrity issues. Additionally, the FDA’s clinical trial requirements, including the adequacy of the patient population studied and statistical powering, must be met. In addition, such foreign trials are subject to the applicable local laws of the foreign jurisdictions where the trials are conducted. There can be no assurance that the FDA or any applicable foreign regulatory authority will accept data from trials conducted outside of its applicable jurisdiction. If the FDA or any applicable foreign regulatory authority does not accept such data, it would result in the need for additional trials, which would be costly and time-consuming and delay aspects of our business plan, and which may result in our products not receiving approval or clearance for commercialization in the applicable jurisdiction.</w:t>
      </w:r>
    </w:p>
    <w:p>
      <w:pPr>
        <w:spacing w:after="0" w:line="110" w:lineRule="exact"/>
        <w:rPr>
          <w:sz w:val="20"/>
          <w:szCs w:val="20"/>
          <w:color w:val="auto"/>
        </w:rPr>
      </w:pPr>
    </w:p>
    <w:p>
      <w:pPr>
        <w:ind w:right="220"/>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Our products may be subject to recalls after receiving FDA or foreign approval or clearance, which could divert managerial and financial resources, harm our reputation and adversely affect our business.</w:t>
      </w:r>
    </w:p>
    <w:p>
      <w:pPr>
        <w:spacing w:after="0" w:line="37" w:lineRule="exact"/>
        <w:rPr>
          <w:sz w:val="20"/>
          <w:szCs w:val="20"/>
          <w:color w:val="auto"/>
        </w:rPr>
      </w:pPr>
    </w:p>
    <w:p>
      <w:pPr>
        <w:ind w:right="80" w:firstLine="374"/>
        <w:spacing w:after="0" w:line="266" w:lineRule="auto"/>
        <w:rPr>
          <w:sz w:val="20"/>
          <w:szCs w:val="20"/>
          <w:color w:val="auto"/>
        </w:rPr>
      </w:pPr>
      <w:r>
        <w:rPr>
          <w:rFonts w:ascii="Times New Roman" w:cs="Times New Roman" w:eastAsia="Times New Roman" w:hAnsi="Times New Roman"/>
          <w:sz w:val="18"/>
          <w:szCs w:val="18"/>
          <w:color w:val="auto"/>
        </w:rPr>
        <w:t>The FDA and similar foreign governmental authorities have the authority to require the recall of our products because of any failure to comply with applicable laws and regulations, or defects in design or manufacture. A government mandated or voluntary product recall by us could occur because of, for example, component failures, device malfunctions or other adverse events, such as serious injuries or deaths, or quality-related issues, such as manufacturing errors or design or labeling defects. Any future recalls of our products could divert managerial and financial resources, harm our reputation and adversely affect our business.</w:t>
      </w:r>
    </w:p>
    <w:p>
      <w:pPr>
        <w:spacing w:after="0" w:line="122" w:lineRule="exact"/>
        <w:rPr>
          <w:sz w:val="20"/>
          <w:szCs w:val="20"/>
          <w:color w:val="auto"/>
        </w:rPr>
      </w:pPr>
    </w:p>
    <w:p>
      <w:pPr>
        <w:jc w:val="both"/>
        <w:ind w:right="100" w:firstLine="374"/>
        <w:spacing w:after="0" w:line="266" w:lineRule="auto"/>
        <w:rPr>
          <w:sz w:val="20"/>
          <w:szCs w:val="20"/>
          <w:color w:val="auto"/>
        </w:rPr>
      </w:pPr>
      <w:r>
        <w:rPr>
          <w:rFonts w:ascii="Times New Roman" w:cs="Times New Roman" w:eastAsia="Times New Roman" w:hAnsi="Times New Roman"/>
          <w:sz w:val="18"/>
          <w:szCs w:val="18"/>
          <w:color w:val="auto"/>
        </w:rPr>
        <w:t>If we initiate a correction or removal for one of our devices to reduce a risk to health posed by the device, we would be required to submit a publicly available Correction and Removal report to the FDA and, in many cases, similar reports to other regulatory agencies. This report could be classified by the FDA as a device recall which could lead to increased scrutiny by the FDA, other international regulatory agencies and our customers regarding the quality and safety of our devices. Furthermore, the submission of these reports has been and could be used by competitors against us in competitive situations and cause customers to delay purchase decisions or cancel orders and would harm our reputation.</w:t>
      </w:r>
    </w:p>
    <w:p>
      <w:pPr>
        <w:spacing w:after="0" w:line="108" w:lineRule="exact"/>
        <w:rPr>
          <w:sz w:val="20"/>
          <w:szCs w:val="20"/>
          <w:color w:val="auto"/>
        </w:rPr>
      </w:pPr>
    </w:p>
    <w:p>
      <w:pPr>
        <w:ind w:right="20" w:firstLine="374"/>
        <w:spacing w:after="0" w:line="266" w:lineRule="auto"/>
        <w:rPr>
          <w:sz w:val="20"/>
          <w:szCs w:val="20"/>
          <w:color w:val="auto"/>
        </w:rPr>
      </w:pPr>
      <w:r>
        <w:rPr>
          <w:rFonts w:ascii="Times New Roman" w:cs="Times New Roman" w:eastAsia="Times New Roman" w:hAnsi="Times New Roman"/>
          <w:sz w:val="18"/>
          <w:szCs w:val="18"/>
          <w:color w:val="auto"/>
        </w:rPr>
        <w:t>In addition, we are subject to medical device reporting regulations that require us to report to the FDA or similar foreign governmental authorities if one of our products may have caused or contributed to a death or serious injury or if we become aware that it has malfunctioned in a way that would likely cause or contribute to a death or serious injury if the malfunction recurred. Failures to properly identify reportable events or to file timely reports, as well as failure to address each of the observations to the FDA’s satisfaction, can subject us to sanctions and penalties, including warning letters and recalls.</w:t>
      </w:r>
    </w:p>
    <w:p>
      <w:pPr>
        <w:spacing w:after="0" w:line="122" w:lineRule="exact"/>
        <w:rPr>
          <w:sz w:val="20"/>
          <w:szCs w:val="20"/>
          <w:color w:val="auto"/>
        </w:rPr>
      </w:pPr>
    </w:p>
    <w:p>
      <w:pPr>
        <w:ind w:right="160" w:firstLine="374"/>
        <w:spacing w:after="0" w:line="274" w:lineRule="auto"/>
        <w:rPr>
          <w:sz w:val="20"/>
          <w:szCs w:val="20"/>
          <w:color w:val="auto"/>
        </w:rPr>
      </w:pPr>
      <w:r>
        <w:rPr>
          <w:rFonts w:ascii="Times New Roman" w:cs="Times New Roman" w:eastAsia="Times New Roman" w:hAnsi="Times New Roman"/>
          <w:sz w:val="18"/>
          <w:szCs w:val="18"/>
          <w:color w:val="auto"/>
        </w:rPr>
        <w:t>Doctors may make similar reports to regulatory authorities. Any such reports may trigger an investigation by the FDA or similar foreign regulatory bodies, which could divert managerial and financial resources, harm our reputation and have a material adverse effect on our business, financial condition and results of operations.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7" w:name="page78"/>
    <w:bookmarkEnd w:id="77"/>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suppliers, fail to comply with the FDA’s QSR or applicable foreign regulations, our manufacturing or distribution operations could be delayed or shut down and our revenue could suffer.</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Our manufacturing and design processes and those of our third-party component suppliers are required to comply with the FDA’s Quality System</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Regulation (“QSR”), which covers procedures and documentation of the design, testing, production, control, quality assurance, labeling, packaging, storage and shipping of our products in the United States. We are also subject to similar state requirements and licenses, and to ongoing ISO 13485 compliance in our operations, including design, manufacturing, and service, to maintain our CE Mark in Europe. In addition, we must engage in extensive recordkeeping and reporting and must make available our facilities and records for periodic unannounced inspections by governmental agencies, including the FDA, state authorities, EU Notified Bodies, and comparable agencies in other countries. If we fail a regulatory inspection, our operations could be disrupted and our manufacturing interrupted. Failure to take timely and adequate corrective action in response to an adverse regulatory inspection could result in, among other things, a shutdown of our manufacturing or product distribution operations, significant fines, suspension of marketing clearances and approvals, seizures or recalls of our device, operating restrictions and criminal prosecutions, any of which would cause our business to suffer. Furthermore, our key component suppliers may not currently be or may not continue to be in compliance with applicable regulatory requirements, which may result in manufacturing delays for our products and cause our revenue to decline.</w:t>
      </w:r>
    </w:p>
    <w:p>
      <w:pPr>
        <w:spacing w:after="0" w:line="115" w:lineRule="exact"/>
        <w:rPr>
          <w:sz w:val="20"/>
          <w:szCs w:val="20"/>
          <w:color w:val="auto"/>
        </w:rPr>
      </w:pPr>
    </w:p>
    <w:p>
      <w:pPr>
        <w:jc w:val="both"/>
        <w:ind w:right="120" w:firstLine="374"/>
        <w:spacing w:after="0" w:line="274" w:lineRule="auto"/>
        <w:rPr>
          <w:sz w:val="20"/>
          <w:szCs w:val="20"/>
          <w:color w:val="auto"/>
        </w:rPr>
      </w:pPr>
      <w:r>
        <w:rPr>
          <w:rFonts w:ascii="Times New Roman" w:cs="Times New Roman" w:eastAsia="Times New Roman" w:hAnsi="Times New Roman"/>
          <w:sz w:val="18"/>
          <w:szCs w:val="18"/>
          <w:color w:val="auto"/>
        </w:rPr>
        <w:t>The FDA has broad post-market and regulatory enforcement powers. We are subject to unannounced inspections by the FDA and the Food and Drug Branch of the California Department of Public Health (“CDPH”), and our Notified Body to determine our compliance with the QSR and other regulations at both our design and manufacturing facilities, and these inspections may include the manufacturing facilities of our suppliers.</w:t>
      </w:r>
    </w:p>
    <w:p>
      <w:pPr>
        <w:spacing w:after="0" w:line="115" w:lineRule="exact"/>
        <w:rPr>
          <w:sz w:val="20"/>
          <w:szCs w:val="20"/>
          <w:color w:val="auto"/>
        </w:rPr>
      </w:pPr>
    </w:p>
    <w:p>
      <w:pPr>
        <w:ind w:right="40" w:firstLine="374"/>
        <w:spacing w:after="0" w:line="266" w:lineRule="auto"/>
        <w:rPr>
          <w:sz w:val="20"/>
          <w:szCs w:val="20"/>
          <w:color w:val="auto"/>
        </w:rPr>
      </w:pPr>
      <w:r>
        <w:rPr>
          <w:rFonts w:ascii="Times New Roman" w:cs="Times New Roman" w:eastAsia="Times New Roman" w:hAnsi="Times New Roman"/>
          <w:sz w:val="18"/>
          <w:szCs w:val="18"/>
          <w:color w:val="auto"/>
        </w:rPr>
        <w:t>We can provide no assurance that we will continue to remain in material compliance with the QSR. If the FDA, CDPH, or any applicable notified body in the European Union or United Kingdom inspects any of our facilities and discover compliance problems, we may have to cease manufacturing and product distribution until we can take the appropriate remedial steps to correct the audit findings. Taking corrective action may be expensive, time consuming and a distraction for management and if we experience a delay at our manufacturing facility, we may be unable to produce our products, which would harm our business.</w:t>
      </w:r>
    </w:p>
    <w:p>
      <w:pPr>
        <w:spacing w:after="0" w:line="104" w:lineRule="exact"/>
        <w:rPr>
          <w:sz w:val="20"/>
          <w:szCs w:val="20"/>
          <w:color w:val="auto"/>
        </w:rPr>
      </w:pPr>
    </w:p>
    <w:p>
      <w:pPr>
        <w:ind w:right="520"/>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Healthcare reform initiatives and other administrative and legislative proposals may adversely affect our business, financial condition, results of operations and cash flows in our key markets.</w:t>
      </w:r>
    </w:p>
    <w:p>
      <w:pPr>
        <w:spacing w:after="0" w:line="37" w:lineRule="exact"/>
        <w:rPr>
          <w:sz w:val="20"/>
          <w:szCs w:val="20"/>
          <w:color w:val="auto"/>
        </w:rPr>
      </w:pPr>
    </w:p>
    <w:p>
      <w:pPr>
        <w:ind w:right="120" w:firstLine="374"/>
        <w:spacing w:after="0" w:line="271" w:lineRule="auto"/>
        <w:rPr>
          <w:sz w:val="20"/>
          <w:szCs w:val="20"/>
          <w:color w:val="auto"/>
        </w:rPr>
      </w:pPr>
      <w:r>
        <w:rPr>
          <w:rFonts w:ascii="Times New Roman" w:cs="Times New Roman" w:eastAsia="Times New Roman" w:hAnsi="Times New Roman"/>
          <w:sz w:val="18"/>
          <w:szCs w:val="18"/>
          <w:color w:val="auto"/>
        </w:rPr>
        <w:t>There have been and continue to be proposals by the federal government, state governments, regulators and third-party payors to control or manage the increased costs of healthcare and, more generally, to reform the U.S. healthcare system. Certain of these proposals could limit the prices we are able to charge for our products or the coverage and reimbursement available for our products and could limit the acceptance and availability of our products. The adoption of proposals to control costs could have a material adverse effect on our business, financial condition and results of operations.</w:t>
      </w:r>
    </w:p>
    <w:p>
      <w:pPr>
        <w:spacing w:after="0" w:line="105" w:lineRule="exact"/>
        <w:rPr>
          <w:sz w:val="20"/>
          <w:szCs w:val="20"/>
          <w:color w:val="auto"/>
        </w:rPr>
      </w:pPr>
    </w:p>
    <w:p>
      <w:pPr>
        <w:ind w:right="100" w:firstLine="374"/>
        <w:spacing w:after="0" w:line="266" w:lineRule="auto"/>
        <w:rPr>
          <w:sz w:val="20"/>
          <w:szCs w:val="20"/>
          <w:color w:val="auto"/>
        </w:rPr>
      </w:pPr>
      <w:r>
        <w:rPr>
          <w:rFonts w:ascii="Times New Roman" w:cs="Times New Roman" w:eastAsia="Times New Roman" w:hAnsi="Times New Roman"/>
          <w:sz w:val="18"/>
          <w:szCs w:val="18"/>
          <w:color w:val="auto"/>
        </w:rPr>
        <w:t>For example, in the United States, in March 2010, the Patient Protection and Affordable Care Act, as amended by the Health Care and Education Reconciliation Act of 2010, together, the Affordable Care Act (“ACA”), was enacted. The ACA is a sweeping measure intended to expand healthcare coverage within the United States, primarily through the imposition of health insurance mandates on employers and individuals, the provision of subsidies to eligible individuals enrolled in plans offered on the health insurance exchanges and the expansion of the Medicaid program. The ACA has impacted existing government healthcare programs and has resulted in the development of new programs.</w:t>
      </w:r>
    </w:p>
    <w:p>
      <w:pPr>
        <w:spacing w:after="0" w:line="108" w:lineRule="exact"/>
        <w:rPr>
          <w:sz w:val="20"/>
          <w:szCs w:val="20"/>
          <w:color w:val="auto"/>
        </w:rPr>
      </w:pPr>
    </w:p>
    <w:p>
      <w:pPr>
        <w:ind w:right="180" w:firstLine="374"/>
        <w:spacing w:after="0" w:line="266" w:lineRule="auto"/>
        <w:rPr>
          <w:sz w:val="20"/>
          <w:szCs w:val="20"/>
          <w:color w:val="auto"/>
        </w:rPr>
      </w:pPr>
      <w:r>
        <w:rPr>
          <w:rFonts w:ascii="Times New Roman" w:cs="Times New Roman" w:eastAsia="Times New Roman" w:hAnsi="Times New Roman"/>
          <w:sz w:val="18"/>
          <w:szCs w:val="18"/>
          <w:color w:val="auto"/>
        </w:rPr>
        <w:t>Certain provisions of the ACA have been subject to judicial and Congressional challenges. For example, various portions of the ACA have been the subject of legal and constitutional challenges, including legal proceedings in the Fifth Circuit Court of Appeals. In June 2021, the United States Supreme Court held that Texas and other challengers had no legal standing to challenge the ACA, dismissing the case on procedural grounds without specifically ruling on the constitutionality of the ACA. Thus, the ACA will remain in effect in its current form. It is unclear how this Supreme Court decision, future litigation, and healthcare measures promulgated by the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7" w:right="359" w:bottom="1440" w:gutter="0" w:footer="0" w:header="0"/>
        </w:sectPr>
      </w:pPr>
    </w:p>
    <w:bookmarkStart w:id="78" w:name="page79"/>
    <w:bookmarkEnd w:id="78"/>
    <w:p>
      <w:pPr>
        <w:ind w:right="320"/>
        <w:spacing w:after="0" w:line="282" w:lineRule="auto"/>
        <w:rPr>
          <w:sz w:val="20"/>
          <w:szCs w:val="20"/>
          <w:color w:val="auto"/>
        </w:rPr>
      </w:pPr>
      <w:r>
        <w:rPr>
          <w:rFonts w:ascii="Times New Roman" w:cs="Times New Roman" w:eastAsia="Times New Roman" w:hAnsi="Times New Roman"/>
          <w:sz w:val="18"/>
          <w:szCs w:val="18"/>
          <w:color w:val="auto"/>
        </w:rPr>
        <w:t>Biden administration will impact the ACA, our business, financial condition and results of operations. Complying with any new legislation or reversing changes implemented under the ACA could be time-intensive and expensive, resulting in a material adverse effect on our business.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On August 2, 2011, the Budget Control Act of</w:t>
      </w:r>
    </w:p>
    <w:p>
      <w:pPr>
        <w:spacing w:after="0" w:line="2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2011 was signed into law, which, among other things, includes reductions to Medicare payments to providers of, on average, 2% per fiscal year, which went into effect on April 1, 2013, which, due to subsequent legislative amendments, will stay in effect through 2031, with the exception of a temporary suspension implemented under various COVID-19 relief legislation from May 1, 2020 through March 31, 2022, unless additional congressional action is taken. Under current legislation, the actual reduction in Medicare payments will vary from 1% in 2022 to up to 4% in the final fiscal year of this sequester.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products, if approved, and accordingly, our financial operations. We cannot assure you that the ACA, as currently enacted or as amended in the future, will not harm our business and financial results, and we cannot predict how future federal or state legislative or administrative changes relating to healthcare reform will affect our business.</w:t>
      </w:r>
    </w:p>
    <w:p>
      <w:pPr>
        <w:spacing w:after="0" w:line="115" w:lineRule="exact"/>
        <w:rPr>
          <w:sz w:val="20"/>
          <w:szCs w:val="20"/>
          <w:color w:val="auto"/>
        </w:rPr>
      </w:pPr>
    </w:p>
    <w:p>
      <w:pPr>
        <w:ind w:right="420" w:firstLine="374"/>
        <w:spacing w:after="0" w:line="274" w:lineRule="auto"/>
        <w:rPr>
          <w:sz w:val="20"/>
          <w:szCs w:val="20"/>
          <w:color w:val="auto"/>
        </w:rPr>
      </w:pPr>
      <w:r>
        <w:rPr>
          <w:rFonts w:ascii="Times New Roman" w:cs="Times New Roman" w:eastAsia="Times New Roman" w:hAnsi="Times New Roman"/>
          <w:sz w:val="18"/>
          <w:szCs w:val="18"/>
          <w:color w:val="auto"/>
        </w:rPr>
        <w:t>There likely will continue to be legislative and regulatory proposals at the federal and state levels directed at containing or lowering the cost of healthcare. We cannot predict the initiatives that may be adopted in the future or their full impact. The continuing efforts of the government, insurance companies, managed care organizations and other payors of healthcare services to contain or reduce costs of healthcare may harm:</w:t>
      </w:r>
    </w:p>
    <w:p>
      <w:pPr>
        <w:spacing w:after="0" w:line="101" w:lineRule="exact"/>
        <w:rPr>
          <w:sz w:val="20"/>
          <w:szCs w:val="20"/>
          <w:color w:val="auto"/>
        </w:rPr>
      </w:pPr>
    </w:p>
    <w:p>
      <w:pPr>
        <w:ind w:left="1140" w:hanging="383"/>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products;</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 and</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144" w:lineRule="exact"/>
        <w:rPr>
          <w:sz w:val="20"/>
          <w:szCs w:val="20"/>
          <w:color w:val="auto"/>
        </w:rPr>
      </w:pPr>
    </w:p>
    <w:p>
      <w:pPr>
        <w:ind w:firstLine="374"/>
        <w:spacing w:after="0" w:line="243" w:lineRule="auto"/>
        <w:rPr>
          <w:sz w:val="20"/>
          <w:szCs w:val="20"/>
          <w:color w:val="auto"/>
        </w:rPr>
      </w:pPr>
      <w:r>
        <w:rPr>
          <w:rFonts w:ascii="Times New Roman" w:cs="Times New Roman" w:eastAsia="Times New Roman" w:hAnsi="Times New Roman"/>
          <w:sz w:val="18"/>
          <w:szCs w:val="18"/>
          <w:color w:val="auto"/>
        </w:rPr>
        <w:t>Further, recently there has been heightened governmental scrutiny over the manner in which manufacturers set prices for their marketed products, which has resulted in several United States Congressional inquiries and proposed and enacted federal legislation designed to bring transparency to product pricing and reduce the cost of products and services under government healthcare programs. While some of these measures may require additional authorization to become effective, Congress and the federal administration have each indicated that it will continue to seek new legislative and/or administrative measures to control healthcare costs. Additionally, individual states in the United States have also increasingly passed legislation and implemented regulations designed to control product pricing, including price or patient reimbursement constraints, discounts, restrictions on certain product access and marketing cost disclosure and transparency measures. Moreover, regional healthcare authorities and individual hospitals are increasingly using bidding procedures to determine what products to purchase and which suppliers will be included in their healthcare programs. Adoption of price controls and other cost-containment measures, and adoption of more restrictive policies in jurisdictions with existing controls and measures may prevent or limit our ability to generate revenue and attain profitability. Various new healthcare reform proposals are emerging at the federal and state level. Any new federal and state healthcare initiatives that may be adopted could limit the amounts that federal and state governments will pay for healthcare products and services and could have a material adverse effect on our business, financial condition and results of operations.</w:t>
      </w:r>
    </w:p>
    <w:p>
      <w:pPr>
        <w:spacing w:after="0" w:line="73" w:lineRule="exact"/>
        <w:rPr>
          <w:sz w:val="20"/>
          <w:szCs w:val="20"/>
          <w:color w:val="auto"/>
        </w:rPr>
      </w:pPr>
    </w:p>
    <w:p>
      <w:pPr>
        <w:jc w:val="both"/>
        <w:ind w:right="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United States federal and state fraud and abuse and other healthcare laws and regulations, we could face substantial penalties and our business operations and financial condition could be adversely affected.</w:t>
      </w:r>
    </w:p>
    <w:p>
      <w:pPr>
        <w:spacing w:after="0" w:line="63" w:lineRule="exact"/>
        <w:rPr>
          <w:sz w:val="20"/>
          <w:szCs w:val="20"/>
          <w:color w:val="auto"/>
        </w:rPr>
      </w:pPr>
    </w:p>
    <w:p>
      <w:pPr>
        <w:jc w:val="both"/>
        <w:ind w:right="40" w:firstLine="374"/>
        <w:spacing w:after="0" w:line="246" w:lineRule="auto"/>
        <w:rPr>
          <w:sz w:val="20"/>
          <w:szCs w:val="20"/>
          <w:color w:val="auto"/>
        </w:rPr>
      </w:pPr>
      <w:r>
        <w:rPr>
          <w:rFonts w:ascii="Times New Roman" w:cs="Times New Roman" w:eastAsia="Times New Roman" w:hAnsi="Times New Roman"/>
          <w:sz w:val="18"/>
          <w:szCs w:val="18"/>
          <w:color w:val="auto"/>
        </w:rPr>
        <w:t>Healthcare providers and third-party payors play a primary role in the distribution, recommendation, ordering and purchasing of any medical device for which we have or obtain marketing clearance or approval. Through our arrangements with principal investigators, healthcare professionals, third-party payors and customers, we are exposed to broadly applicable anti-fraud and abuse, anti-kickback, false claims and other healthcare laws and regulations that may constrain our business, our arrangements and relationships with customers, and how we market, sell and distribute our marketed medical devices. We have a compliance program, a Code of Conduct and associated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9" w:name="page80"/>
    <w:bookmarkEnd w:id="79"/>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policies and procedures, but it is not always possible to identify and deter misconduct by our employees and other third parties, and the precautions we take to detect and prevent noncompliance may not be effective in protecting us from governmental investigations for failure to comply with applicable fraud and abuse or other healthcare laws and regulations.</w:t>
      </w:r>
    </w:p>
    <w:p>
      <w:pPr>
        <w:spacing w:after="0" w:line="109" w:lineRule="exact"/>
        <w:rPr>
          <w:sz w:val="20"/>
          <w:szCs w:val="20"/>
          <w:color w:val="auto"/>
        </w:rPr>
      </w:pPr>
    </w:p>
    <w:p>
      <w:pPr>
        <w:ind w:right="100" w:firstLine="374"/>
        <w:spacing w:after="0" w:line="247" w:lineRule="auto"/>
        <w:rPr>
          <w:sz w:val="20"/>
          <w:szCs w:val="20"/>
          <w:color w:val="auto"/>
        </w:rPr>
      </w:pPr>
      <w:r>
        <w:rPr>
          <w:rFonts w:ascii="Times New Roman" w:cs="Times New Roman" w:eastAsia="Times New Roman" w:hAnsi="Times New Roman"/>
          <w:sz w:val="18"/>
          <w:szCs w:val="18"/>
          <w:color w:val="auto"/>
        </w:rPr>
        <w:t>In the United States, we are subject to various state and federal anti-fraud and abuse laws, including, without limitation, the federal healthcare Anti-Kickback Statute and federal civil False Claims Act. There are similar laws in other countries. 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products for which we obtain marketing approval. Healthcare fraud and abuse laws and related regulations are complex, and even minor irregularities can potentially give rise to claims that a statute or prohibition has been violated. The laws that may affect our ability to operate include:</w:t>
      </w:r>
    </w:p>
    <w:p>
      <w:pPr>
        <w:spacing w:after="0" w:line="112" w:lineRule="exact"/>
        <w:rPr>
          <w:sz w:val="20"/>
          <w:szCs w:val="20"/>
          <w:color w:val="auto"/>
        </w:rPr>
      </w:pPr>
    </w:p>
    <w:p>
      <w:pPr>
        <w:ind w:left="1140" w:hanging="383"/>
        <w:spacing w:after="0" w:line="247"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makes it illegal for any person, including a prescription drug or medical device manufacturer (or a party acting on its behalf), to knowingly and willfully solicit, receive, offer or pay any remuneration that is intended to induce or reward referrals, including the purchase, recommendation, or order of, items or services for which payment may be made, in whole or in part, under a federal healthcare program, such as Medicare or Medicaid. Moreover, the ACA provides that the government may assert that a claim including items or services resulting from a violation of the federal Anti-Kickback Statute constitutes a false or fraudulent claim for purposes of the civil False Claims Act;</w:t>
      </w:r>
    </w:p>
    <w:p>
      <w:pPr>
        <w:spacing w:after="0" w:line="112" w:lineRule="exact"/>
        <w:rPr>
          <w:rFonts w:ascii="Times New Roman" w:cs="Times New Roman" w:eastAsia="Times New Roman" w:hAnsi="Times New Roman"/>
          <w:sz w:val="18"/>
          <w:szCs w:val="18"/>
          <w:color w:val="auto"/>
        </w:rPr>
      </w:pPr>
    </w:p>
    <w:p>
      <w:pPr>
        <w:ind w:left="1140" w:right="40" w:hanging="383"/>
        <w:spacing w:after="0" w:line="246"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including its civil provisions that can be enforced by private citizens through civil whistleblower or qui tam actions, and civil monetary penalties prohibiting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and/or impose exclusions from federal health care programs and/or penalties for parties who engage in such prohibited conduct;</w:t>
      </w:r>
    </w:p>
    <w:p>
      <w:pPr>
        <w:spacing w:after="0" w:line="113" w:lineRule="exact"/>
        <w:rPr>
          <w:rFonts w:ascii="Times New Roman" w:cs="Times New Roman" w:eastAsia="Times New Roman" w:hAnsi="Times New Roman"/>
          <w:sz w:val="18"/>
          <w:szCs w:val="18"/>
          <w:color w:val="auto"/>
        </w:rPr>
      </w:pPr>
    </w:p>
    <w:p>
      <w:pPr>
        <w:ind w:left="1140" w:right="380" w:hanging="383"/>
        <w:spacing w:after="0" w:line="266"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prohibits, among other things, executing or attempting to execute a scheme to defraud any healthcare benefit program or making false statements relating to healthcare matters;</w:t>
      </w:r>
    </w:p>
    <w:p>
      <w:pPr>
        <w:spacing w:after="0" w:line="94" w:lineRule="exact"/>
        <w:rPr>
          <w:rFonts w:ascii="Times New Roman" w:cs="Times New Roman" w:eastAsia="Times New Roman" w:hAnsi="Times New Roman"/>
          <w:sz w:val="18"/>
          <w:szCs w:val="18"/>
          <w:color w:val="auto"/>
        </w:rPr>
      </w:pPr>
    </w:p>
    <w:p>
      <w:pPr>
        <w:ind w:left="1140" w:right="60" w:hanging="383"/>
        <w:spacing w:after="0" w:line="250"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and their implementing regulations also impose obligations on covered entities such as health insurance plans, healthcare clearinghouses, and certain health care providers and their respective business associates and their covered subcontractors, including mandatory contractual terms, with respect to safeguarding the privacy, security and transmission of individually identifiable health information;</w:t>
      </w:r>
    </w:p>
    <w:p>
      <w:pPr>
        <w:spacing w:after="0" w:line="109" w:lineRule="exact"/>
        <w:rPr>
          <w:rFonts w:ascii="Times New Roman" w:cs="Times New Roman" w:eastAsia="Times New Roman" w:hAnsi="Times New Roman"/>
          <w:sz w:val="18"/>
          <w:szCs w:val="18"/>
          <w:color w:val="auto"/>
        </w:rPr>
      </w:pPr>
    </w:p>
    <w:p>
      <w:pPr>
        <w:ind w:left="1140" w:right="20" w:hanging="383"/>
        <w:spacing w:after="0" w:line="244"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also referred to as the CMS Open Payments, which requires applicable manufacturers of covered drugs, devices, biologics and medical supplies for which payment is available under Medicare, Medicaid or the Children’s Health Insurance Program, with specific exceptions, to annually report to CMS information regarding certain payments and other transfers of value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 and</w:t>
      </w:r>
    </w:p>
    <w:p>
      <w:pPr>
        <w:spacing w:after="0" w:line="114" w:lineRule="exact"/>
        <w:rPr>
          <w:rFonts w:ascii="Times New Roman" w:cs="Times New Roman" w:eastAsia="Times New Roman" w:hAnsi="Times New Roman"/>
          <w:sz w:val="18"/>
          <w:szCs w:val="18"/>
          <w:color w:val="auto"/>
        </w:rPr>
      </w:pPr>
    </w:p>
    <w:p>
      <w:pPr>
        <w:ind w:left="1140" w:right="40" w:hanging="383"/>
        <w:spacing w:after="0" w:line="247"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laws that require biotechnology companies to comply with the biotechnology industry’s voluntary compliance guidelines and the relevant compliance guidance promulgated by the federal government; state and local laws that require medical device manufacturers to report information related to payments and other transfers of value to doctors or marketing expenditures and require the registration of their sales representatives; state laws that require medical device companies to report information on the pricing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0" w:name="page81"/>
    <w:bookmarkEnd w:id="80"/>
    <w:p>
      <w:pPr>
        <w:ind w:left="1140" w:right="640"/>
        <w:spacing w:after="0" w:line="250" w:lineRule="auto"/>
        <w:rPr>
          <w:sz w:val="20"/>
          <w:szCs w:val="20"/>
          <w:color w:val="auto"/>
        </w:rPr>
      </w:pPr>
      <w:r>
        <w:rPr>
          <w:rFonts w:ascii="Times New Roman" w:cs="Times New Roman" w:eastAsia="Times New Roman" w:hAnsi="Times New Roman"/>
          <w:sz w:val="18"/>
          <w:szCs w:val="18"/>
          <w:color w:val="auto"/>
        </w:rPr>
        <w:t>of certain medical device products; and state and foreign laws that govern the privacy and security of health information in some circumstances, many of which differ from each other in significant ways and often are not preempted by HIPAA, thus complicating compliance efforts.</w:t>
      </w:r>
    </w:p>
    <w:p>
      <w:pPr>
        <w:spacing w:after="0" w:line="109" w:lineRule="exact"/>
        <w:rPr>
          <w:sz w:val="20"/>
          <w:szCs w:val="20"/>
          <w:color w:val="auto"/>
        </w:rPr>
      </w:pPr>
    </w:p>
    <w:p>
      <w:pPr>
        <w:ind w:right="140" w:firstLine="374"/>
        <w:spacing w:after="0" w:line="247" w:lineRule="auto"/>
        <w:rPr>
          <w:sz w:val="20"/>
          <w:szCs w:val="20"/>
          <w:color w:val="auto"/>
        </w:rPr>
      </w:pPr>
      <w:r>
        <w:rPr>
          <w:rFonts w:ascii="Times New Roman" w:cs="Times New Roman" w:eastAsia="Times New Roman" w:hAnsi="Times New Roman"/>
          <w:sz w:val="18"/>
          <w:szCs w:val="18"/>
          <w:color w:val="auto"/>
        </w:rPr>
        <w:t>State and federal regulatory and enforcement agencies continue to actively investigate violations of healthcare laws and regulations, and the U.S. Congress continues to strengthen the arsenal of enforcement tools. Most recently, the Bipartisan Budget Act of 2018 (“BBA”), increased the criminal and civil penalties that can be imposed for violating certain federal health care laws, including the Anti-Kickback Statute. Enforcement agencies also continue to pursue novel theories of liability under these laws. In particular, government agencies recently have increased regulatory scrutiny and enforcement activity with respect to manufacturer reimbursement support activities and patient support programs, including bringing criminal charges or civil enforcement actions under the Anti-Kickback Statute, federal civil False Claims Act and HIPAA’s healthcare fraud and privacy provisions.</w:t>
      </w:r>
    </w:p>
    <w:p>
      <w:pPr>
        <w:spacing w:after="0" w:line="112" w:lineRule="exact"/>
        <w:rPr>
          <w:sz w:val="20"/>
          <w:szCs w:val="20"/>
          <w:color w:val="auto"/>
        </w:rPr>
      </w:pPr>
    </w:p>
    <w:p>
      <w:pPr>
        <w:ind w:right="100" w:firstLine="374"/>
        <w:spacing w:after="0" w:line="246"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available statutory and regulatory exemptions or safe harbors, it is possible that some of our activities, such as stock-option compensation paid to doctors that have entered into consulting agreements with us, could be subject to challenge under one or more of such laws. Any action brought against us for violations of these laws or regulations, even successfully defended, could cause us to incur significant legal expenses and divert our management’s attention from the operation of our business. We may be subject to private “qui tam” actions brought by individual whistleblowers on behalf of the federal or state governments.</w:t>
      </w:r>
    </w:p>
    <w:p>
      <w:pPr>
        <w:spacing w:after="0" w:line="114" w:lineRule="exact"/>
        <w:rPr>
          <w:sz w:val="20"/>
          <w:szCs w:val="20"/>
          <w:color w:val="auto"/>
        </w:rPr>
      </w:pPr>
    </w:p>
    <w:p>
      <w:pPr>
        <w:ind w:firstLine="374"/>
        <w:spacing w:after="0" w:line="244" w:lineRule="auto"/>
        <w:rPr>
          <w:sz w:val="20"/>
          <w:szCs w:val="20"/>
          <w:color w:val="auto"/>
        </w:rPr>
      </w:pPr>
      <w:r>
        <w:rPr>
          <w:rFonts w:ascii="Times New Roman" w:cs="Times New Roman" w:eastAsia="Times New Roman" w:hAnsi="Times New Roman"/>
          <w:sz w:val="18"/>
          <w:szCs w:val="18"/>
          <w:color w:val="auto"/>
        </w:rPr>
        <w:t>The growth of our business and sales organization and our expansion outside of the United States may increase the potential of violating these laws or our internal policies and procedures. The risk of our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 federal, state and foreign laws described above or any other current or future fraud and abuse or other healthcare laws and regulations that apply to us, we may be subject to penalties, including significant criminal, civil, and administrative penalties, damages, fines, imprisonment of individuals, exclusion from participation in government programs, such as Medicare and Medicaid, and we could be required to curtail or cease our operations. Any of the foregoing consequences could seriously harm our business and our financial results.</w:t>
      </w:r>
    </w:p>
    <w:p>
      <w:pPr>
        <w:spacing w:after="0" w:line="118" w:lineRule="exact"/>
        <w:rPr>
          <w:sz w:val="20"/>
          <w:szCs w:val="20"/>
          <w:color w:val="auto"/>
        </w:rPr>
      </w:pPr>
    </w:p>
    <w:p>
      <w:pPr>
        <w:ind w:firstLine="374"/>
        <w:spacing w:after="0" w:line="242" w:lineRule="auto"/>
        <w:rPr>
          <w:sz w:val="20"/>
          <w:szCs w:val="20"/>
          <w:color w:val="auto"/>
        </w:rPr>
      </w:pPr>
      <w:r>
        <w:rPr>
          <w:rFonts w:ascii="Times New Roman" w:cs="Times New Roman" w:eastAsia="Times New Roman" w:hAnsi="Times New Roman"/>
          <w:sz w:val="18"/>
          <w:szCs w:val="18"/>
          <w:color w:val="auto"/>
        </w:rPr>
        <w:t>Achieving and sustaining compliance with applicable federal and state anti-fraud and abuse laws may prove costly. If we or our employees are found to have violated any of the above laws we may be subjected to substantial criminal, civil and administrative penalties, including imprisonment, exclusion from participation in federal healthcare programs, such as Medicare and Medicaid, and significant fines, monetary penalties, forfeiture, disgorgement and damages, contractual damages, reputational harm, administrative burdens, diminished profits and future earnings and the curtailment or restructuring of our operations, any of which could adversely affect our ability to operate our business and our financial results. Any action or investigation against us for the violation of these healthcare fraud and abuse laws, even if successfully defended, could result in significant legal expenses and could divert our management’s attention from the operation of our business. Companies settling federal civil False Claims Act, Anti-Kickback Statute or civil monetary penalties law cases also may be required to enter into a Corporate Integrity Agreement with the OIG in order to avoid exclusion from participation (i.e., loss of coverage for their products) in federal healthcare programs such as Medicare and Medicaid. Corporate Integrity Agreements typically impose substantial costs on companies to ensure compliance. Defending against any such actions can be costly, time-consuming and may require significant personnel resources, and may have a material adverse effect on our business,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the CMS fee schedules may harm our revenue and operating results.</w:t>
      </w:r>
    </w:p>
    <w:p>
      <w:pPr>
        <w:spacing w:after="0" w:line="108" w:lineRule="exact"/>
        <w:rPr>
          <w:sz w:val="20"/>
          <w:szCs w:val="20"/>
          <w:color w:val="auto"/>
        </w:rPr>
      </w:pPr>
    </w:p>
    <w:p>
      <w:pPr>
        <w:ind w:right="200" w:firstLine="374"/>
        <w:spacing w:after="0" w:line="246" w:lineRule="auto"/>
        <w:rPr>
          <w:sz w:val="20"/>
          <w:szCs w:val="20"/>
          <w:color w:val="auto"/>
        </w:rPr>
      </w:pPr>
      <w:r>
        <w:rPr>
          <w:rFonts w:ascii="Times New Roman" w:cs="Times New Roman" w:eastAsia="Times New Roman" w:hAnsi="Times New Roman"/>
          <w:sz w:val="18"/>
          <w:szCs w:val="18"/>
          <w:color w:val="auto"/>
        </w:rPr>
        <w:t>Government payers, such as CMS as well as insurers, have increased their efforts to control the cost, utilization and delivery of healthcare services. From time to time, the United States Congress has considered and implemented changes in the CMS fee schedules in conjunction with budgetary legislation. Reductions of reimbursement by Medicare or Medicaid for procedures that use our products or changes in policy regarding coverage of these procedures, such as adding requirements for payment, or prior authorizations, may be implemented from time to time. Reductions in the reimbursement rates and changes in payment policies of other third-party payers may occur</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81" w:name="page82"/>
    <w:bookmarkEnd w:id="81"/>
    <w:p>
      <w:pPr>
        <w:ind w:right="180"/>
        <w:spacing w:after="0" w:line="250" w:lineRule="auto"/>
        <w:rPr>
          <w:sz w:val="20"/>
          <w:szCs w:val="20"/>
          <w:color w:val="auto"/>
        </w:rPr>
      </w:pPr>
      <w:r>
        <w:rPr>
          <w:rFonts w:ascii="Times New Roman" w:cs="Times New Roman" w:eastAsia="Times New Roman" w:hAnsi="Times New Roman"/>
          <w:sz w:val="18"/>
          <w:szCs w:val="18"/>
          <w:color w:val="auto"/>
        </w:rPr>
        <w:t>as well. Similar changes in the past have resulted in reduced payments for procedures that use medical device products as well as added costs and have added more complex regulatory and administrative requirements. Further changes in federal, state, local and third-party payer regulations or policies may have a material adverse impact on the demand for our products and on our business. Actions by agencies regulating insurance or changes in other laws, regulations, or policies may also have a material adverse effect on our business, financial condition and results of operations.</w:t>
      </w:r>
    </w:p>
    <w:p>
      <w:pPr>
        <w:spacing w:after="0" w:line="106" w:lineRule="exact"/>
        <w:rPr>
          <w:sz w:val="20"/>
          <w:szCs w:val="20"/>
          <w:color w:val="auto"/>
        </w:rPr>
      </w:pPr>
    </w:p>
    <w:p>
      <w:pPr>
        <w:ind w:right="4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Legislative or regulatory reforms may make it more difficult and costly for us to obtain regulatory clearance or approval of our planned or future products and to manufacture, market and distribute our products after clearance or approval is obtained.</w:t>
      </w:r>
    </w:p>
    <w:p>
      <w:pPr>
        <w:spacing w:after="0" w:line="50" w:lineRule="exact"/>
        <w:rPr>
          <w:sz w:val="20"/>
          <w:szCs w:val="20"/>
          <w:color w:val="auto"/>
        </w:rPr>
      </w:pPr>
    </w:p>
    <w:p>
      <w:pPr>
        <w:ind w:right="160" w:firstLine="374"/>
        <w:spacing w:after="0" w:line="250" w:lineRule="auto"/>
        <w:rPr>
          <w:sz w:val="20"/>
          <w:szCs w:val="20"/>
          <w:color w:val="auto"/>
        </w:rPr>
      </w:pPr>
      <w:r>
        <w:rPr>
          <w:rFonts w:ascii="Times New Roman" w:cs="Times New Roman" w:eastAsia="Times New Roman" w:hAnsi="Times New Roman"/>
          <w:sz w:val="18"/>
          <w:szCs w:val="18"/>
          <w:color w:val="auto"/>
        </w:rPr>
        <w:t>From time to time, legislation is drafted and introduced in Congress that could significantly change the statutory provisions governing the regulatory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planned or future products. It is impossible to predict whether legislative changes will be enacted, or FDA regulations, guidance or interpretations changed, and what the impact of such changes, if any, may be.</w:t>
      </w:r>
    </w:p>
    <w:p>
      <w:pPr>
        <w:spacing w:after="0" w:line="110" w:lineRule="exact"/>
        <w:rPr>
          <w:sz w:val="20"/>
          <w:szCs w:val="20"/>
          <w:color w:val="auto"/>
        </w:rPr>
      </w:pPr>
    </w:p>
    <w:p>
      <w:pPr>
        <w:ind w:right="20" w:firstLine="374"/>
        <w:spacing w:after="0" w:line="250" w:lineRule="auto"/>
        <w:rPr>
          <w:sz w:val="20"/>
          <w:szCs w:val="20"/>
          <w:color w:val="auto"/>
        </w:rPr>
      </w:pPr>
      <w:r>
        <w:rPr>
          <w:rFonts w:ascii="Times New Roman" w:cs="Times New Roman" w:eastAsia="Times New Roman" w:hAnsi="Times New Roman"/>
          <w:sz w:val="18"/>
          <w:szCs w:val="18"/>
          <w:color w:val="auto"/>
        </w:rPr>
        <w:t>Any change in the laws or regulations that govern the clearance and approval processes relating to our current, planned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spacing w:after="0" w:line="10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Compliance with the EU Medical Device Regulation, applicable regulations in the United Kingdom, and other applicable foreign regulations, as well as any changes to existing regulations, may be costly and disruptive to our business, and expose us to increased liability.</w:t>
      </w:r>
    </w:p>
    <w:p>
      <w:pPr>
        <w:spacing w:after="0" w:line="50" w:lineRule="exact"/>
        <w:rPr>
          <w:sz w:val="20"/>
          <w:szCs w:val="20"/>
          <w:color w:val="auto"/>
        </w:rPr>
      </w:pPr>
    </w:p>
    <w:p>
      <w:pPr>
        <w:ind w:right="20" w:firstLine="374"/>
        <w:spacing w:after="0" w:line="245" w:lineRule="auto"/>
        <w:rPr>
          <w:sz w:val="20"/>
          <w:szCs w:val="20"/>
          <w:color w:val="auto"/>
        </w:rPr>
      </w:pPr>
      <w:r>
        <w:rPr>
          <w:rFonts w:ascii="Times New Roman" w:cs="Times New Roman" w:eastAsia="Times New Roman" w:hAnsi="Times New Roman"/>
          <w:sz w:val="18"/>
          <w:szCs w:val="18"/>
          <w:color w:val="auto"/>
        </w:rPr>
        <w:t>In 2017, the European Union (“EU”) published the new EU Medical Device Regulation (“MDR”) (2017/745), the application of which was postponed until May 26, 2021 for class I devices (lowest risk) and May 26, 2024 for all other class devices (higher risk devices). The new regulations replace predecessor directives and emphasize a global convergence of regulations. With the transition from the Medical Devices Directive (“MDD”), to the MDR, notified bodies are required to seek designation to operate as conformity assessment authorities under the new law. While we are currently in compliance with the MDR and in process of transferring certification from MDD to MDR, compliance with any new or changing regulations in the EU or other jurisdictions where we currently commercialize our products or intend to commercialize in the future is a time consuming process that may require comprehensive quality system audits and new conformity assessment certifications for our products. Major changes include:</w:t>
      </w:r>
    </w:p>
    <w:p>
      <w:pPr>
        <w:spacing w:after="0" w:line="114" w:lineRule="exact"/>
        <w:rPr>
          <w:sz w:val="20"/>
          <w:szCs w:val="20"/>
          <w:color w:val="auto"/>
        </w:rPr>
      </w:pPr>
    </w:p>
    <w:p>
      <w:pPr>
        <w:ind w:left="1140" w:hanging="383"/>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of some products;</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emphasis on clinical data;</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transparency, including publication of clinical trial data and safety summaries;</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defined content and structure for technical files to support registration;</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unique device identification system;</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burden on post-market surveillance and clinical follow-up;</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of adverse event reporting time from 30 to 15 days after the event; and</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power to notified bodies.</w:t>
      </w:r>
    </w:p>
    <w:p>
      <w:pPr>
        <w:spacing w:after="0" w:line="144" w:lineRule="exact"/>
        <w:rPr>
          <w:sz w:val="20"/>
          <w:szCs w:val="20"/>
          <w:color w:val="auto"/>
        </w:rPr>
      </w:pPr>
    </w:p>
    <w:p>
      <w:pPr>
        <w:jc w:val="both"/>
        <w:ind w:right="180" w:firstLine="374"/>
        <w:spacing w:after="0" w:line="250" w:lineRule="auto"/>
        <w:rPr>
          <w:sz w:val="20"/>
          <w:szCs w:val="20"/>
          <w:color w:val="auto"/>
        </w:rPr>
      </w:pPr>
      <w:r>
        <w:rPr>
          <w:rFonts w:ascii="Times New Roman" w:cs="Times New Roman" w:eastAsia="Times New Roman" w:hAnsi="Times New Roman"/>
          <w:sz w:val="18"/>
          <w:szCs w:val="18"/>
          <w:color w:val="auto"/>
        </w:rPr>
        <w:t>Implementation of the Medical Device Regulations introduces substantial changes to the obligations with which medical device manufacturers must comply in the EU. High risk medical devices will be subject to additional scrutiny during the conformity assessment procedure. For any products that we may develop in the future, complying with these new regulations may result in Europe being less attractive as a “first market” destination.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2" w:name="page83"/>
    <w:bookmarkEnd w:id="82"/>
    <w:p>
      <w:pPr>
        <w:ind w:right="460"/>
        <w:spacing w:after="0" w:line="266" w:lineRule="auto"/>
        <w:rPr>
          <w:sz w:val="20"/>
          <w:szCs w:val="20"/>
          <w:color w:val="auto"/>
        </w:rPr>
      </w:pPr>
      <w:r>
        <w:rPr>
          <w:rFonts w:ascii="Times New Roman" w:cs="Times New Roman" w:eastAsia="Times New Roman" w:hAnsi="Times New Roman"/>
          <w:sz w:val="18"/>
          <w:szCs w:val="18"/>
          <w:color w:val="auto"/>
        </w:rPr>
        <w:t>Marketing authorization timelines will become more protracted and the costs of operating in Europe will increase. A significantly more costly path to regulatory compliance is anticipated.</w:t>
      </w:r>
    </w:p>
    <w:p>
      <w:pPr>
        <w:spacing w:after="0" w:line="9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fail to demonstrate competent and reliable evidence of the safety and effectiveness of our products, which would prevent or delay commercialization of our products in development.</w:t>
      </w:r>
    </w:p>
    <w:p>
      <w:pPr>
        <w:spacing w:after="0" w:line="63" w:lineRule="exact"/>
        <w:rPr>
          <w:sz w:val="20"/>
          <w:szCs w:val="20"/>
          <w:color w:val="auto"/>
        </w:rPr>
      </w:pPr>
    </w:p>
    <w:p>
      <w:pPr>
        <w:ind w:firstLine="374"/>
        <w:spacing w:after="0" w:line="243" w:lineRule="auto"/>
        <w:rPr>
          <w:sz w:val="20"/>
          <w:szCs w:val="20"/>
          <w:color w:val="auto"/>
        </w:rPr>
      </w:pPr>
      <w:r>
        <w:rPr>
          <w:rFonts w:ascii="Times New Roman" w:cs="Times New Roman" w:eastAsia="Times New Roman" w:hAnsi="Times New Roman"/>
          <w:sz w:val="18"/>
          <w:szCs w:val="18"/>
          <w:color w:val="auto"/>
        </w:rPr>
        <w:t>We may be required to conduct clinical studies that demonstrate competent and reliable evidence that our products are safe and effective before we can commercialize our products. Clinical testing is expensive and can take many years to complete, and its outcome is inherently uncertain. We cannot be certain that our planned clinical trials or any other future clinical trials will be successful. In addition, even if such clinical trials are successfully completed, we cannot guarantee that the FDA or foreign regulatory authorities will interpret the results as we do, and more trials could be required before we submit our products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products. Even if regulatory approval is secured for any of our products, the terms of such approval may limit the scope and use of our products, which may also limit their commercial potential.</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Defects or failures associated with our products could lead to recalls, safety alerts or litigation, as well as significant costs and negative publicity.</w:t>
      </w:r>
    </w:p>
    <w:p>
      <w:pPr>
        <w:spacing w:after="0" w:line="108" w:lineRule="exact"/>
        <w:rPr>
          <w:sz w:val="20"/>
          <w:szCs w:val="20"/>
          <w:color w:val="auto"/>
        </w:rPr>
      </w:pPr>
    </w:p>
    <w:p>
      <w:pPr>
        <w:ind w:right="20" w:firstLine="374"/>
        <w:spacing w:after="0" w:line="245" w:lineRule="auto"/>
        <w:rPr>
          <w:sz w:val="20"/>
          <w:szCs w:val="20"/>
          <w:color w:val="auto"/>
        </w:rPr>
      </w:pPr>
      <w:r>
        <w:rPr>
          <w:rFonts w:ascii="Times New Roman" w:cs="Times New Roman" w:eastAsia="Times New Roman" w:hAnsi="Times New Roman"/>
          <w:sz w:val="18"/>
          <w:szCs w:val="18"/>
          <w:color w:val="auto"/>
        </w:rPr>
        <w:t>Our business is subject to significant risks associated with manufacture, distribution and use of medical devices that are placed inside the human body, including the risk that patients may be severely injured by or even die from the misuse or malfunction of our products caused by design flaws or manufacturing defects. In addition, component failures, design defects, off-label uses, or inadequate disclosure of product-related information could also result in an unsafe condition or the injury or death of a patient. These problems could lead to a recall or market withdrawal of, or issuance of a safety alert relating to, our products and result in significant costs, negative publicity and adverse competitive pressure. The circumstances giving rise to recalls are unpredictable, and any recalls of existing or future products could have a material adverse effect on our business, financial condition and results of operations.</w:t>
      </w:r>
    </w:p>
    <w:p>
      <w:pPr>
        <w:spacing w:after="0" w:line="114" w:lineRule="exact"/>
        <w:rPr>
          <w:sz w:val="20"/>
          <w:szCs w:val="20"/>
          <w:color w:val="auto"/>
        </w:rPr>
      </w:pPr>
    </w:p>
    <w:p>
      <w:pPr>
        <w:ind w:right="20" w:firstLine="374"/>
        <w:spacing w:after="0" w:line="250" w:lineRule="auto"/>
        <w:rPr>
          <w:sz w:val="20"/>
          <w:szCs w:val="20"/>
          <w:color w:val="auto"/>
        </w:rPr>
      </w:pPr>
      <w:r>
        <w:rPr>
          <w:rFonts w:ascii="Times New Roman" w:cs="Times New Roman" w:eastAsia="Times New Roman" w:hAnsi="Times New Roman"/>
          <w:sz w:val="18"/>
          <w:szCs w:val="18"/>
          <w:color w:val="auto"/>
        </w:rPr>
        <w:t>We provide a limited warranty that our products are free of material defects and conform to specifications and offer to repair the LDD in the event of a defect and replace or refund the purchase price of a defective LAL. As a result, we bear the risk of potential warranty claims on our products. In the event that we attempt to recover some or all of the expenses associated with a warranty claim against us from our suppliers or vendors, we may not be successful in claiming such recovery, or any recovery from such vendor or supplier may be inadequate or unavailable.</w:t>
      </w:r>
    </w:p>
    <w:p>
      <w:pPr>
        <w:spacing w:after="0" w:line="110" w:lineRule="exact"/>
        <w:rPr>
          <w:sz w:val="20"/>
          <w:szCs w:val="20"/>
          <w:color w:val="auto"/>
        </w:rPr>
      </w:pPr>
    </w:p>
    <w:p>
      <w:pPr>
        <w:ind w:right="60" w:firstLine="374"/>
        <w:spacing w:after="0" w:line="243" w:lineRule="auto"/>
        <w:rPr>
          <w:sz w:val="20"/>
          <w:szCs w:val="20"/>
          <w:color w:val="auto"/>
        </w:rPr>
      </w:pPr>
      <w:r>
        <w:rPr>
          <w:rFonts w:ascii="Times New Roman" w:cs="Times New Roman" w:eastAsia="Times New Roman" w:hAnsi="Times New Roman"/>
          <w:sz w:val="18"/>
          <w:szCs w:val="18"/>
          <w:color w:val="auto"/>
        </w:rPr>
        <w:t>The medical device industry has historically been subject to extensive litigation over product liability claims. We may be subject to product liability claims if our products cause, or merely appear to have caused, an injury or death, even if due to doctor error. In addition, an injury or death that is caused by the activities of our suppliers, such as those that provide us with components and raw materials, or by an aspect of a treatment used in combination with our products, such as a complementary drug or anesthesia, may be the basis for a claim against us by patients, doctors or others purchasing or using our products, even if our products were not the actual cause of such injury or death. We may choose to settle any claims to avoid a determination of fault, even if we believe fault was not due to failure of our products. An adverse outcome involving one of our products could result in reduced market acceptance and demand for such products or any or all of our other products and could harm our brand and reputation and our ability to market our products in the future. In some circumstances, adverse events arising from or associated with the design, manufacture or marketing of our products could result in the suspension or delay of regulatory reviews of our premarket notifications or applications for marketing. Any of the foregoing problems could disrupt our business and have a material adverse effect on our business, financial condition and results of operations.</w:t>
      </w:r>
    </w:p>
    <w:p>
      <w:pPr>
        <w:spacing w:after="0" w:line="118" w:lineRule="exact"/>
        <w:rPr>
          <w:sz w:val="20"/>
          <w:szCs w:val="20"/>
          <w:color w:val="auto"/>
        </w:rPr>
      </w:pPr>
    </w:p>
    <w:p>
      <w:pPr>
        <w:ind w:firstLine="374"/>
        <w:spacing w:after="0" w:line="244" w:lineRule="auto"/>
        <w:rPr>
          <w:sz w:val="20"/>
          <w:szCs w:val="20"/>
          <w:color w:val="auto"/>
        </w:rPr>
      </w:pPr>
      <w:r>
        <w:rPr>
          <w:rFonts w:ascii="Times New Roman" w:cs="Times New Roman" w:eastAsia="Times New Roman" w:hAnsi="Times New Roman"/>
          <w:sz w:val="18"/>
          <w:szCs w:val="18"/>
          <w:color w:val="auto"/>
        </w:rPr>
        <w:t>Although we carry product liability insurance in the United States and in other countries in which we conduct business, including for clinical trials and product marketing, we can give no assurance that such coverage will be available or adequate to satisfy any claims. Product liability insurance is expensive, subject to significant deductibles and exclusions, and may not be available on acceptable terms, if at all. If we are unable to obtain or maintain insurance at an acceptable cost or on acceptable terms with adequate coverage or otherwise protect against potential product liability claims, we could be exposed to significant liabilities. A product liability claim recall or other claim with respect to uninsured liabilities or for amounts in excess of insured liabilities could have a material adverse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3" w:name="page84"/>
    <w:bookmarkEnd w:id="83"/>
    <w:p>
      <w:pPr>
        <w:ind w:right="280"/>
        <w:spacing w:after="0" w:line="250" w:lineRule="auto"/>
        <w:rPr>
          <w:sz w:val="20"/>
          <w:szCs w:val="20"/>
          <w:color w:val="auto"/>
        </w:rPr>
      </w:pPr>
      <w:r>
        <w:rPr>
          <w:rFonts w:ascii="Times New Roman" w:cs="Times New Roman" w:eastAsia="Times New Roman" w:hAnsi="Times New Roman"/>
          <w:sz w:val="18"/>
          <w:szCs w:val="18"/>
          <w:color w:val="auto"/>
        </w:rPr>
        <w:t>effect on our business, financial condition and results of operations. Defending a suit, regardless of its merit or eventual outcome, could be costly, could divert management’s attention from our business and might result in adverse publicity, which could result in reduced acceptance of our products in the market, product recalls or market withdrawals.</w:t>
      </w:r>
    </w:p>
    <w:p>
      <w:pPr>
        <w:spacing w:after="0" w:line="109" w:lineRule="exact"/>
        <w:rPr>
          <w:sz w:val="20"/>
          <w:szCs w:val="20"/>
          <w:color w:val="auto"/>
        </w:rPr>
      </w:pPr>
    </w:p>
    <w:p>
      <w:pPr>
        <w:ind w:right="100" w:firstLine="374"/>
        <w:spacing w:after="0" w:line="246" w:lineRule="auto"/>
        <w:rPr>
          <w:sz w:val="20"/>
          <w:szCs w:val="20"/>
          <w:color w:val="auto"/>
        </w:rPr>
      </w:pPr>
      <w:r>
        <w:rPr>
          <w:rFonts w:ascii="Times New Roman" w:cs="Times New Roman" w:eastAsia="Times New Roman" w:hAnsi="Times New Roman"/>
          <w:sz w:val="18"/>
          <w:szCs w:val="18"/>
          <w:color w:val="auto"/>
        </w:rPr>
        <w:t>We are required to file adverse event reports under Medical Device Reporting, or MDR, regulations with the FDA that are publicly available on the FDA’s website. We are required to file MDRs if our products may have caused or contributed to a serious injury or death or malfunctioned in a way that could likely cause or contribute to a serious injury or death if it were to recur. Any such MDR that reports a significant adverse event could result in negative publicity, which could harm our reputation and future sales. If we fail to report events required to be reported to the FDA within the required timeframes, or at all, the FDA could take enforcement action and impose sanctions against us. Any such adverse event involving our products also could result in future voluntary corrective actions, such as recalls or customer notifications, or agency action, such as inspection or enforcement action. Any corrective action, whether voluntary or involuntary, as well as defending ourselves in a lawsuit, would require our time and capital, distract management from operating our business and may harm our reputation and have a material adverse effect on our business, financial condition and results of operations.</w:t>
      </w:r>
    </w:p>
    <w:p>
      <w:pPr>
        <w:spacing w:after="0" w:line="108"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distributors and vendors may engage in misconduct or other improper activities, including noncompliance with regulatory standards and requirements.</w:t>
      </w:r>
    </w:p>
    <w:p>
      <w:pPr>
        <w:spacing w:after="0" w:line="50" w:lineRule="exact"/>
        <w:rPr>
          <w:sz w:val="20"/>
          <w:szCs w:val="20"/>
          <w:color w:val="auto"/>
        </w:rPr>
      </w:pPr>
    </w:p>
    <w:p>
      <w:pPr>
        <w:ind w:firstLine="374"/>
        <w:spacing w:after="0" w:line="243"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commercial partners, distributors and vendors may engage in fraudulent or illegal activity. Misconduct by these parties could include intentional, reckless and/or negligent conduct or disclosure of unauthorized activities to us that violates: (i) the laws of the FDA and other similar foreign regulatory bodies, including those laws requiring the reporting of true, complete and accurate information to such regulators; (ii) manufacturing standards; (iii) healthcare fraud and abuse laws in the United States and similar foreign fraudulent misconduct laws; or (iv) laws that require the true, complete and accurate reporting of financial information or data. These laws may impact, among other things,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118" w:lineRule="exact"/>
        <w:rPr>
          <w:sz w:val="20"/>
          <w:szCs w:val="20"/>
          <w:color w:val="auto"/>
        </w:rPr>
      </w:pPr>
    </w:p>
    <w:p>
      <w:pPr>
        <w:ind w:right="20" w:firstLine="374"/>
        <w:spacing w:after="0" w:line="242" w:lineRule="auto"/>
        <w:rPr>
          <w:sz w:val="20"/>
          <w:szCs w:val="20"/>
          <w:color w:val="auto"/>
        </w:rPr>
      </w:pPr>
      <w:r>
        <w:rPr>
          <w:rFonts w:ascii="Times New Roman" w:cs="Times New Roman" w:eastAsia="Times New Roman" w:hAnsi="Times New Roman"/>
          <w:sz w:val="18"/>
          <w:szCs w:val="18"/>
          <w:color w:val="auto"/>
        </w:rPr>
        <w:t>We have adopted a code of business conduct and ethics, but it is not always possible to identify and deter misconduct by our employees and other third parties, and the precautions we take to detect and prevent these activities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individual imprisonment, additional integrity reporting and oversight obligations, possible exclusion from participation in Medicare, Medicaid and other federal healthcare programs, contractual damages, reputational harm, diminished profits and future earnings and curtailment of operations, any of which could adversely affect our ability to operate our business and our results of operations. Whether or not we are successful in defending against any such actions or investigations, we could incur substantial costs, including legal fees, and divert the attention of management in defending ourselves against any of these claims or investigations, which could have a material adverse effect on our business, financial condition and results of operations.</w:t>
      </w:r>
    </w:p>
    <w:p>
      <w:pPr>
        <w:spacing w:after="0" w:line="117"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Environmental health and safety laws may result in liabilities, expenses and restrictions on our operations. Failure to comply with environmental laws and regulations could subject us to significant liability.</w:t>
      </w:r>
    </w:p>
    <w:p>
      <w:pPr>
        <w:spacing w:after="0" w:line="63" w:lineRule="exact"/>
        <w:rPr>
          <w:sz w:val="20"/>
          <w:szCs w:val="20"/>
          <w:color w:val="auto"/>
        </w:rPr>
      </w:pPr>
    </w:p>
    <w:p>
      <w:pPr>
        <w:ind w:right="100" w:firstLine="374"/>
        <w:spacing w:after="0" w:line="250" w:lineRule="auto"/>
        <w:rPr>
          <w:sz w:val="20"/>
          <w:szCs w:val="20"/>
          <w:color w:val="auto"/>
        </w:rPr>
      </w:pPr>
      <w:r>
        <w:rPr>
          <w:rFonts w:ascii="Times New Roman" w:cs="Times New Roman" w:eastAsia="Times New Roman" w:hAnsi="Times New Roman"/>
          <w:sz w:val="18"/>
          <w:szCs w:val="18"/>
          <w:color w:val="auto"/>
        </w:rPr>
        <w:t>Our research and development and manufacturing operations involve the use of hazardous substances and are subject to a variety of federal, state, local and foreign environmental laws and regulations relating to the storage, use, discharge, disposal, remediation of, and human exposure to, hazardous substances and the sale, labeling, collection, recycling, treatment and disposal of products containing hazardous substances. Liability under environmental laws and regulations can be joint and several and without regard to fault or negligence. Compliance</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84" w:name="page85"/>
    <w:bookmarkEnd w:id="84"/>
    <w:p>
      <w:pPr>
        <w:spacing w:after="0" w:line="246" w:lineRule="auto"/>
        <w:rPr>
          <w:sz w:val="20"/>
          <w:szCs w:val="20"/>
          <w:color w:val="auto"/>
        </w:rPr>
      </w:pPr>
      <w:r>
        <w:rPr>
          <w:rFonts w:ascii="Times New Roman" w:cs="Times New Roman" w:eastAsia="Times New Roman" w:hAnsi="Times New Roman"/>
          <w:sz w:val="18"/>
          <w:szCs w:val="18"/>
          <w:color w:val="auto"/>
        </w:rPr>
        <w:t>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 equipment failure or other causes. The expense associated with environmental regulation and remediation could harm our financial condition and operating results.</w:t>
      </w:r>
    </w:p>
    <w:p>
      <w:pPr>
        <w:spacing w:after="0" w:line="114" w:lineRule="exact"/>
        <w:rPr>
          <w:sz w:val="20"/>
          <w:szCs w:val="20"/>
          <w:color w:val="auto"/>
        </w:rPr>
      </w:pPr>
    </w:p>
    <w:p>
      <w:pPr>
        <w:ind w:right="20" w:firstLine="374"/>
        <w:spacing w:after="0" w:line="241" w:lineRule="auto"/>
        <w:rPr>
          <w:sz w:val="20"/>
          <w:szCs w:val="20"/>
          <w:color w:val="auto"/>
        </w:rPr>
      </w:pPr>
      <w:r>
        <w:rPr>
          <w:rFonts w:ascii="Times New Roman" w:cs="Times New Roman" w:eastAsia="Times New Roman" w:hAnsi="Times New Roman"/>
          <w:sz w:val="18"/>
          <w:szCs w:val="18"/>
          <w:color w:val="auto"/>
        </w:rPr>
        <w:t>Federal, state, local and foreign laws regarding environmental protection, hazardous substances and human health and safety may adversely affect our business. Our research and development and manufacturing operations involve the use of hazardous substances and are subject to a variety of federal, state, local and foreign environmental laws and regulations relating to the storage, use, discharge, disposal and remediation of, as well as human exposure to, hazardous substances and the sale, labeling, collection, recycling, treatment and disposal of products containing hazardous substances. These operations are permitted by regulatory authorities, and the resultant waste materials are disposed of in material compliance with environmental laws and regulations. Using hazardous substances in our operations exposes us to the risk of accidental injury, contamination or other liability from the use, storage, importation, handling or disposal of hazardous materials. If our or our suppliers’ operations result in the contamination of the environment or expose individuals to hazardous substances, we could be liable for damages and fines, and any liability could significantly exceed our insurance coverage and have a material adverse effect on our on our business, financial condition and results of operations.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 equipment failure or other causes. The expense associated with environmental regulation and remediation could harm our business, financial condition and results of operation.</w:t>
      </w:r>
    </w:p>
    <w:p>
      <w:pPr>
        <w:spacing w:after="0" w:line="11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related to our collection and use of data, which could result in investigations, inquiries, litigation, fines, legislative and regulatory action and negative press about our privacy and data protection practices.</w:t>
      </w:r>
    </w:p>
    <w:p>
      <w:pPr>
        <w:spacing w:after="0" w:line="37" w:lineRule="exact"/>
        <w:rPr>
          <w:sz w:val="20"/>
          <w:szCs w:val="20"/>
          <w:color w:val="auto"/>
        </w:rPr>
      </w:pPr>
    </w:p>
    <w:p>
      <w:pPr>
        <w:ind w:right="20" w:firstLine="374"/>
        <w:spacing w:after="0" w:line="243" w:lineRule="auto"/>
        <w:rPr>
          <w:sz w:val="20"/>
          <w:szCs w:val="20"/>
          <w:color w:val="auto"/>
        </w:rPr>
      </w:pPr>
      <w:r>
        <w:rPr>
          <w:rFonts w:ascii="Times New Roman" w:cs="Times New Roman" w:eastAsia="Times New Roman" w:hAnsi="Times New Roman"/>
          <w:sz w:val="18"/>
          <w:szCs w:val="18"/>
          <w:color w:val="auto"/>
        </w:rPr>
        <w:t>Our business processes personal data, including some data related to health. When conducting clinical trials, we face risks associated with collecting trial participants’ data, especially health data, in a manner consistent with applicable laws and regulations, such as the Common Rule (“GCP”) guidelines, or FDA human subject protection regulations. We also face risks inherent in handling large volumes of data and in protecting the security of such data. We could be subject to attacks on our systems by outside parties or fraudulent or inappropriate behavior by our service providers or employees. Third parties may also gain access to users’ accounts using stolen or inferred credentials, computer malware, viruses, spamming, phishing attacks or other means, and may use such access to obtain users’ personal data or prevent use of their accounts. Data breaches could result in a violation of applicable United States and international privacy, data protection and other laws, and subject us to individual or consumer class action litigation and governmental investigations and proceedings by federal, state and local regulatory entities in the United States and by international regulatory entities, resulting in exposure to material civil and/or criminal liability. Further, our general liability insurance and corporate risk program may not cover all potential claims to which we are exposed and may not be adequate to indemnify us for all liability that may be imposed.</w:t>
      </w:r>
    </w:p>
    <w:p>
      <w:pPr>
        <w:spacing w:after="0" w:line="118" w:lineRule="exact"/>
        <w:rPr>
          <w:sz w:val="20"/>
          <w:szCs w:val="20"/>
          <w:color w:val="auto"/>
        </w:rPr>
      </w:pPr>
    </w:p>
    <w:p>
      <w:pPr>
        <w:ind w:right="100" w:firstLine="374"/>
        <w:spacing w:after="0" w:line="242" w:lineRule="auto"/>
        <w:rPr>
          <w:sz w:val="20"/>
          <w:szCs w:val="20"/>
          <w:color w:val="auto"/>
        </w:rPr>
      </w:pPr>
      <w:r>
        <w:rPr>
          <w:rFonts w:ascii="Times New Roman" w:cs="Times New Roman" w:eastAsia="Times New Roman" w:hAnsi="Times New Roman"/>
          <w:sz w:val="18"/>
          <w:szCs w:val="18"/>
          <w:color w:val="auto"/>
        </w:rPr>
        <w:t>This risk is enhanced in certain jurisdictions and, as we expand our operations domestically and internationally, we may be subject to additional laws in other jurisdictions. Any failure, or perceived failure, by us to comply with privacy and data protection laws, rules and regulations could result in proceedings or actions against us by governmental entities or others. These proceedings or actions may subject us to significant penalties and negative publicity, require us to change our business practices, increase our costs and severely disrupt our business. 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and have prioritized privacy and information security violations for enforcement actions. Additionally, in the United States, California adopted the California Consumer Privacy Act (“CCPA”), in January 2020 which requires certain companies that process information on California consumers to, among other things, provide new disclosures to California consumers and afford such consumers new</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5" w:name="page86"/>
    <w:bookmarkEnd w:id="85"/>
    <w:p>
      <w:pPr>
        <w:ind w:right="120"/>
        <w:spacing w:after="0" w:line="243" w:lineRule="auto"/>
        <w:rPr>
          <w:sz w:val="20"/>
          <w:szCs w:val="20"/>
          <w:color w:val="auto"/>
        </w:rPr>
      </w:pPr>
      <w:r>
        <w:rPr>
          <w:rFonts w:ascii="Times New Roman" w:cs="Times New Roman" w:eastAsia="Times New Roman" w:hAnsi="Times New Roman"/>
          <w:sz w:val="18"/>
          <w:szCs w:val="18"/>
          <w:color w:val="auto"/>
        </w:rPr>
        <w:t>abilities to exercise certain rights with respect to their personal information and opt out of certain sales of personal information, in addition to severely limiting our ability to use their information. The CCPA provides for civil penalties for violations, as well as a private right of action for certain data breaches that result in the loss of personal information. It remains unclear how various provisions of the CCPA will be interpreted and enforced. Furthermore, in November 2020, California voters passed the California Privacy Rights Act of 2020 (“CPRA”). Effective beginning January 1, 2023, the CPRA imposes additional obligations on companies covered by the legislation and will significantly modify the CCPA, including by expanding California residents’ rights with respect to certain sensitive personal information. Other states have passed, or plan to pass, data privacy laws that are similar to the CCPA and CPRA, further complicating the legal landscape. In addition, laws in all 50 states require businesses to provide notice to consumers whose personal information has been accessed or acquired as a result of a data breach (and, in some cases, to regulators). The effects of the CCPA, CPRA and other such privacy laws are potentially significant, and may require us to modify our data processing practices and policies and to incur substantial costs and expenses in an effort to comply.</w:t>
      </w:r>
    </w:p>
    <w:p>
      <w:pPr>
        <w:spacing w:after="0" w:line="118" w:lineRule="exact"/>
        <w:rPr>
          <w:sz w:val="20"/>
          <w:szCs w:val="20"/>
          <w:color w:val="auto"/>
        </w:rPr>
      </w:pPr>
    </w:p>
    <w:p>
      <w:pPr>
        <w:ind w:firstLine="374"/>
        <w:spacing w:after="0" w:line="245" w:lineRule="auto"/>
        <w:rPr>
          <w:sz w:val="20"/>
          <w:szCs w:val="20"/>
          <w:color w:val="auto"/>
        </w:rPr>
      </w:pPr>
      <w:r>
        <w:rPr>
          <w:rFonts w:ascii="Times New Roman" w:cs="Times New Roman" w:eastAsia="Times New Roman" w:hAnsi="Times New Roman"/>
          <w:sz w:val="18"/>
          <w:szCs w:val="18"/>
          <w:color w:val="auto"/>
        </w:rPr>
        <w:t>In addition, we are subject to international laws, regulations and standards in many jurisdictions, which apply broadly to the collection, use, retention, security, disclosure, transfer and other processing of personal information. For example, the General Data Protection Regulation (“GDPR”), which was adopted by the EU and became effective in May 2018, applies extraterritorially and imposes several stringent requirements for controllers and processors of personal data, including, for example, higher standards for obtaining consent from individuals to process their personal data, more robust disclosures to individuals and a strengthened individual data rights regime, shortened timelines for data breach notifications, limitations on retention of information, increased requirements pertaining to special categories of personal data and pseudonymized (i.e., key-coded) data and additional obligations when we contract third-party processors in connection with the processing of the personal data.</w:t>
      </w:r>
    </w:p>
    <w:p>
      <w:pPr>
        <w:spacing w:after="0" w:line="100" w:lineRule="exact"/>
        <w:rPr>
          <w:sz w:val="20"/>
          <w:szCs w:val="20"/>
          <w:color w:val="auto"/>
        </w:rPr>
      </w:pPr>
    </w:p>
    <w:p>
      <w:pPr>
        <w:ind w:right="20" w:firstLine="374"/>
        <w:spacing w:after="0" w:line="243" w:lineRule="auto"/>
        <w:rPr>
          <w:sz w:val="20"/>
          <w:szCs w:val="20"/>
          <w:color w:val="auto"/>
        </w:rPr>
      </w:pPr>
      <w:r>
        <w:rPr>
          <w:rFonts w:ascii="Times New Roman" w:cs="Times New Roman" w:eastAsia="Times New Roman" w:hAnsi="Times New Roman"/>
          <w:sz w:val="18"/>
          <w:szCs w:val="18"/>
          <w:color w:val="auto"/>
        </w:rPr>
        <w:t>The GDPR provides that EU member states may make their own laws and regulations limiting the (i) processing of personal data, including special categories of data (e.g., racial or ethnic origin, political opinions, religious or philosophical beliefs) and (ii) profiling and automated individual decision-making of individuals, which could limit our ability to use and share personal data or other data and could cause our costs to increase, harming our business and financial condition. Non-compliance with GDPR is subject to significant penalties, including fines of up to €20 million or 4% of total worldwide revenue, whichever is greater. The interpretations of the GDPR by local data protection authorities in EU member states, along with the complexity of the new data protection regime itself, will leave the interpretation and enforcement of the law unclear in the near term, with potential inconsistencies across the EU member states. The implementation and enforcement of the GDPR may subject us to enforcement risk and requirements to change certain of our data collection, processing and other policies and practices. We could incur significant costs investigating and defending such claims and, if we are found liable, significant damages. If any of these events were to occur, our business and financial results could be adversely affected. Other jurisdictions outside the EU are similarly introducing or enhancing laws and regulations relating to privacy and data security, which enhances risks relating to compliance with such laws. Further, the United Kingdom’s decision to leave the European Union has created uncertainty with regard to data protection regulation in the United Kingdom. As of January 1, 2021, we are also subject to the UK General Data Protection Regulation and UK Data Protection Act of 2018, which retains the GDPR in the United Kingdom’s national law. These recent developments will require us to review and amend the legal mechanisms by which we make and/or receive personal data transfers.</w:t>
      </w:r>
    </w:p>
    <w:p>
      <w:pPr>
        <w:spacing w:after="0" w:line="117" w:lineRule="exact"/>
        <w:rPr>
          <w:sz w:val="20"/>
          <w:szCs w:val="20"/>
          <w:color w:val="auto"/>
        </w:rPr>
      </w:pPr>
    </w:p>
    <w:p>
      <w:pPr>
        <w:ind w:right="20" w:firstLine="374"/>
        <w:spacing w:after="0" w:line="244" w:lineRule="auto"/>
        <w:rPr>
          <w:sz w:val="20"/>
          <w:szCs w:val="20"/>
          <w:color w:val="auto"/>
        </w:rPr>
      </w:pPr>
      <w:r>
        <w:rPr>
          <w:rFonts w:ascii="Times New Roman" w:cs="Times New Roman" w:eastAsia="Times New Roman" w:hAnsi="Times New Roman"/>
          <w:sz w:val="18"/>
          <w:szCs w:val="18"/>
          <w:color w:val="auto"/>
        </w:rPr>
        <w:t>Additionally, we are subject to laws and regulations regarding cross-border transfers of personal data, including laws relating to transfer of personal data outside of the European Economic Area (“EEA”). We rely on transfer mechanisms permitted under these laws, including EU Standard Contract Clauses. Such mechanisms have received heightened regulatory and judicial scrutiny in recent years. If we cannot rely on existing mechanisms for transferring personal data from the EEA, the United Kingdom or other jurisdictions, we could be prevented from transferring personal data of users or employees in those regions. This could adversely affect the manner in which we provide our services and thus materially affect our operations and financial results.</w:t>
      </w:r>
    </w:p>
    <w:p>
      <w:pPr>
        <w:spacing w:after="0" w:line="114" w:lineRule="exact"/>
        <w:rPr>
          <w:sz w:val="20"/>
          <w:szCs w:val="20"/>
          <w:color w:val="auto"/>
        </w:rPr>
      </w:pPr>
    </w:p>
    <w:p>
      <w:pPr>
        <w:ind w:right="20" w:firstLine="374"/>
        <w:spacing w:after="0" w:line="246" w:lineRule="auto"/>
        <w:rPr>
          <w:sz w:val="20"/>
          <w:szCs w:val="20"/>
          <w:color w:val="auto"/>
        </w:rPr>
      </w:pPr>
      <w:r>
        <w:rPr>
          <w:rFonts w:ascii="Times New Roman" w:cs="Times New Roman" w:eastAsia="Times New Roman" w:hAnsi="Times New Roman"/>
          <w:sz w:val="18"/>
          <w:szCs w:val="18"/>
          <w:color w:val="auto"/>
        </w:rPr>
        <w:t>Because the interpretation and application of laws, regulations, standards and other obligations relating to data privacy and security are still uncertain, it is possible that these laws, regulations, standards and other obligations may be interpreted and applied in a manner that is inconsistent with our data processing practices and policies. If our practices are not consistent, or are viewed as not consistent, with changes in laws, regulations and standards or new interpretations or applications of existing laws, regulations and standards, we may also become subject to fines, audits, inquiries, whistleblower complaints, adverse media coverage, investigations, lawsuits, loss of export</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6" w:name="page87"/>
    <w:bookmarkEnd w:id="86"/>
    <w:p>
      <w:pPr>
        <w:ind w:right="20"/>
        <w:spacing w:after="0" w:line="244" w:lineRule="auto"/>
        <w:rPr>
          <w:sz w:val="20"/>
          <w:szCs w:val="20"/>
          <w:color w:val="auto"/>
        </w:rPr>
      </w:pPr>
      <w:r>
        <w:rPr>
          <w:rFonts w:ascii="Times New Roman" w:cs="Times New Roman" w:eastAsia="Times New Roman" w:hAnsi="Times New Roman"/>
          <w:sz w:val="18"/>
          <w:szCs w:val="18"/>
          <w:color w:val="auto"/>
        </w:rPr>
        <w:t>privileges, severe criminal or civil sanction or other penalties. Although we endeavor to comply with our public statements and documentation, we may at times fail to do so or be alleged to have failed to do so. The publication of our privacy policies and other statements that provide promises and assurances about data privacy and security can subject us to potential government or legal action if they are found to be deceptive, unfair or misrepresentative of our actual practices. Any concerns about our data privacy and security practices, even if unfounded, could damage the reputation of our businesses and discourage potential users from our products and services. Any of the foregoing could have an adverse effect on our business, financial condition, results of operations and prospects.</w:t>
      </w:r>
    </w:p>
    <w:p>
      <w:pPr>
        <w:spacing w:after="0" w:line="110"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60" w:lineRule="exact"/>
        <w:rPr>
          <w:sz w:val="20"/>
          <w:szCs w:val="20"/>
          <w:color w:val="auto"/>
        </w:rPr>
      </w:pPr>
    </w:p>
    <w:p>
      <w:pPr>
        <w:ind w:right="140" w:firstLine="374"/>
        <w:spacing w:after="0" w:line="258"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w:t>
      </w:r>
    </w:p>
    <w:p>
      <w:pPr>
        <w:spacing w:after="0" w:line="102" w:lineRule="exact"/>
        <w:rPr>
          <w:sz w:val="20"/>
          <w:szCs w:val="20"/>
          <w:color w:val="auto"/>
        </w:rPr>
      </w:pPr>
    </w:p>
    <w:p>
      <w:pPr>
        <w:ind w:right="40" w:firstLine="374"/>
        <w:spacing w:after="0" w:line="242"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medical devices to be reviewed and/or approved by necessary government agencies, which would adversely affect our business. For example, in recent years, including in 2018 and 2019, the U.S. government shut down several times and certain regulatory agencies such as the FDA had to furlough critical employees and stop critical activities. Separately, in response to the COVID-19 pandemic, since March 2020 when foreign and domestic inspections of facilities were largely placed on hold, the FDA has been working to resume routine surveillance, bioresearch monitoring and pre-approval inspections on a prioritized basis. In 2020 and 2021, a number of companies announced receipt of complete response letters due to the FDA’s inability to complete required inspections for their applications. The FDA continues to ensure timely reviews of applications for medical products during the ongoing COVID-19 pandemic in line with its user fee performance goals and conducting mission critical domestic and foreign inspections to ensure compliance of manufacturing facilities. However, the FDA may not be able to continue its current inspection pace or may be unable to complete required inspections during the review period, which can delay clinical development and result in a complete response letter. Regulatory authorities outside the U.S. may adopt similar restrictions or other policy measures in response to the COVID-19 pandemic and may experience delays in their regulatory activities. If a prolonged government shutdown or other disruption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12"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global operations can expose us to numerous and sometimes conflicting legal and regulatory requirements, including to anti-bribery and anti-corruption laws, such as the FCPA and the U.K. Bribery Act, and violation of these requirements could result in substantial penalties and prosecution and harm our business.</w:t>
      </w:r>
    </w:p>
    <w:p>
      <w:pPr>
        <w:spacing w:after="0" w:line="60" w:lineRule="exact"/>
        <w:rPr>
          <w:sz w:val="20"/>
          <w:szCs w:val="20"/>
          <w:color w:val="auto"/>
        </w:rPr>
      </w:pPr>
    </w:p>
    <w:p>
      <w:pPr>
        <w:ind w:firstLine="374"/>
        <w:spacing w:after="0" w:line="242" w:lineRule="auto"/>
        <w:rPr>
          <w:sz w:val="20"/>
          <w:szCs w:val="20"/>
          <w:color w:val="auto"/>
        </w:rPr>
      </w:pPr>
      <w:r>
        <w:rPr>
          <w:rFonts w:ascii="Times New Roman" w:cs="Times New Roman" w:eastAsia="Times New Roman" w:hAnsi="Times New Roman"/>
          <w:sz w:val="18"/>
          <w:szCs w:val="18"/>
          <w:color w:val="auto"/>
        </w:rPr>
        <w:t>We have commercialized the RxSight system outside of the United States, each component of which has received a CE mark and is registered with the MHRA in the United Kingdom. We are subject to numerous, and sometimes conflicting, legal regimes in the countries in which we operate, including on matters as diverse as health and safety standards, marketing and promotional activities, anticorruption, import/export controls, content requirements, trade restrictions, tariffs, taxation, sanctions, immigration, internal and disclosure control obligations, securities regulation, anti-competition, data privacy and labor relations. This includes in emerging markets where legal systems may be less familiar to us. We strive to abide by and maintain compliance with these laws and regulations. Compliance with diverse legal requirements is costly, time-consuming and requires significant resources. Violations of one or more of these regulations in the conduct of our business could result in significant fines, criminal sanctions against us or our officers, prohibitions on doing business and damage to our reputation. Violations of these regulations in connection with the performance of our obligations to our customers also could result in liability for significant monetary damages, fines and/or criminal prosecution, unfavorable publicity and other reputational damage, restrictions on our ability to process information and allegations by our customers or distributors that we have not performed our contractual obligations. Due to the varying degrees of development of the legal systems of the countries in which we operate, local laws might be insufficient to protect our rights.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87" w:name="page88"/>
    <w:bookmarkEnd w:id="87"/>
    <w:p>
      <w:pPr>
        <w:ind w:right="40" w:firstLine="374"/>
        <w:spacing w:after="0" w:line="242" w:lineRule="auto"/>
        <w:rPr>
          <w:sz w:val="20"/>
          <w:szCs w:val="20"/>
          <w:color w:val="auto"/>
        </w:rPr>
      </w:pPr>
      <w:r>
        <w:rPr>
          <w:rFonts w:ascii="Times New Roman" w:cs="Times New Roman" w:eastAsia="Times New Roman" w:hAnsi="Times New Roman"/>
          <w:sz w:val="18"/>
          <w:szCs w:val="18"/>
          <w:color w:val="auto"/>
        </w:rPr>
        <w:t>Our operations outside of the United States are subject to various heavily enforced anti-bribery and anti-corruption laws, such as the FCPA, U.K. Bribery Act and similar laws around the world. These laws generally prohibit U.S. companies and their employees and intermediaries from offering, promising, authorizing or making improper payments to foreign government officials for the purpose of obtaining or retaining business or gaining any advantage. We face significant risks if we, which includes our third-party business partners and intermediaries, fail to comply with the FCPA or other anti-corruption and anti-bribery laws. Responding to any enforcement action or related investigation may result in a materially significant diversion of management’s attention and resources and significant defense costs and other professional fees. Any violation of the FCPA or other applicable anti-bribery, anti-corruption or anti-money laundering laws could result in whistleblower complaints, adverse media coverage, investigations, loss of export privileges, severe criminal or civil sanctions and, in the case of the FCPA, suspension or debarment from U.S. government contracts, which could have a material and adverse effect on our business, financial condition and results of operations.</w:t>
      </w:r>
    </w:p>
    <w:p>
      <w:pPr>
        <w:spacing w:after="0" w:line="120" w:lineRule="exact"/>
        <w:rPr>
          <w:sz w:val="20"/>
          <w:szCs w:val="20"/>
          <w:color w:val="auto"/>
        </w:rPr>
      </w:pPr>
    </w:p>
    <w:p>
      <w:pPr>
        <w:ind w:right="80" w:firstLine="374"/>
        <w:spacing w:after="0" w:line="250" w:lineRule="auto"/>
        <w:rPr>
          <w:sz w:val="20"/>
          <w:szCs w:val="20"/>
          <w:color w:val="auto"/>
        </w:rPr>
      </w:pPr>
      <w:r>
        <w:rPr>
          <w:rFonts w:ascii="Times New Roman" w:cs="Times New Roman" w:eastAsia="Times New Roman" w:hAnsi="Times New Roman"/>
          <w:sz w:val="18"/>
          <w:szCs w:val="18"/>
          <w:color w:val="auto"/>
        </w:rPr>
        <w:t>Our international operations could be affected by changes in laws, trade regulations, labor and employment regulations, and procedures and actions affecting approval, products and solutions, pricing, reimbursement and marketing of our products and solutions, as well as by inter-governmental disputes. Any of these changes could adversely affect our business. The imposition of new laws or regulations, including potential trade barriers, may increase our operating costs, impose restrictions on our operations or require us to spend additional funds to gain compliance with the new rules, if possible, which could have an adverse impact on our financial condition and results of operations.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reliance on third parties</w:t>
      </w:r>
    </w:p>
    <w:p>
      <w:pPr>
        <w:spacing w:after="0" w:line="104"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8"/>
          <w:szCs w:val="18"/>
          <w:b w:val="1"/>
          <w:bCs w:val="1"/>
          <w:i w:val="1"/>
          <w:iCs w:val="1"/>
          <w:color w:val="auto"/>
        </w:rPr>
        <w:t>From time to time, we engage outside parties to perform services related to certain of our clinical studies and trials. If these third parties do not successfully carry out their contractual duties or meet expected deadlines, we may not be able to obtain regulatory approval for or commercialize our products.</w:t>
      </w:r>
    </w:p>
    <w:p>
      <w:pPr>
        <w:spacing w:after="0" w:line="59" w:lineRule="exact"/>
        <w:rPr>
          <w:sz w:val="20"/>
          <w:szCs w:val="20"/>
          <w:color w:val="auto"/>
        </w:rPr>
      </w:pPr>
    </w:p>
    <w:p>
      <w:pPr>
        <w:ind w:right="20" w:firstLine="374"/>
        <w:spacing w:after="0" w:line="244" w:lineRule="auto"/>
        <w:rPr>
          <w:sz w:val="20"/>
          <w:szCs w:val="20"/>
          <w:color w:val="auto"/>
        </w:rPr>
      </w:pPr>
      <w:r>
        <w:rPr>
          <w:rFonts w:ascii="Times New Roman" w:cs="Times New Roman" w:eastAsia="Times New Roman" w:hAnsi="Times New Roman"/>
          <w:sz w:val="18"/>
          <w:szCs w:val="18"/>
          <w:color w:val="auto"/>
        </w:rPr>
        <w:t>From time to time, we engage consultants to help design, monitor and analyze the results of certain of our clinical studies and trials. The consultants we engage interact with clinical investigators to enroll patients in our clinical trials. We depend on these consultants and clinical investigators to conduct clinical studies and trials and monitor and analyze data from these studies and trials under the investigational plan and protocol for the study or trial and in compliance with applicable regulations and standards, such as GCP guidelines, the Common Rule, and FDA human subject protection regulations. We may face delays in our regulatory approval process if these parties do not perform their obligations in a timely, compliant or competent manner. If these third parties do not successfully carry out their duties or meet expected deadlines, or if the quality, completeness or accuracy of the data they obtain is compromised due to the failure to adhere to our clinical trial protocols or for other reasons, our clinical studies or trials may be extended, delayed or terminated or may otherwise prove to be unsuccessful, and we may have to conduct additional studies, which would significantly increase our costs, in order to obtain the regulatory clearances or approvals that we need to commercialize our products.</w:t>
      </w:r>
    </w:p>
    <w:p>
      <w:pPr>
        <w:spacing w:after="0" w:line="114"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and our component suppliers may not meet regulatory quality standards applicable to our manufacturing processes, which could have an adverse effect on our business, financial condition and results of operations.</w:t>
      </w:r>
    </w:p>
    <w:p>
      <w:pPr>
        <w:spacing w:after="0" w:line="63" w:lineRule="exact"/>
        <w:rPr>
          <w:sz w:val="20"/>
          <w:szCs w:val="20"/>
          <w:color w:val="auto"/>
        </w:rPr>
      </w:pPr>
    </w:p>
    <w:p>
      <w:pPr>
        <w:ind w:right="60" w:firstLine="374"/>
        <w:spacing w:after="0" w:line="244" w:lineRule="auto"/>
        <w:rPr>
          <w:sz w:val="20"/>
          <w:szCs w:val="20"/>
          <w:color w:val="auto"/>
        </w:rPr>
      </w:pPr>
      <w:r>
        <w:rPr>
          <w:rFonts w:ascii="Times New Roman" w:cs="Times New Roman" w:eastAsia="Times New Roman" w:hAnsi="Times New Roman"/>
          <w:sz w:val="18"/>
          <w:szCs w:val="18"/>
          <w:color w:val="auto"/>
        </w:rPr>
        <w:t>As a medical device manufacturer, we must register with the FDA and non-U.S. regulatory agencies in jurisdictions where we commercialize our products, and we are subject to periodic inspection by the FDA and foreign regulatory agencies, for compliance with certain good manufacturing practices, including design controls, product validation and verification, in process testing, quality control and documentation procedures. Compliance with applicable regulatory requirements is subject to continual review and is rigorously monitored through periodic inspections by the FDA and foreign regulatory agencies. Our manufacturer, component, and sub-component suppliers are also required to meet certain standards applicable to their manufacturing processes.</w:t>
      </w:r>
    </w:p>
    <w:p>
      <w:pPr>
        <w:spacing w:after="0" w:line="114" w:lineRule="exact"/>
        <w:rPr>
          <w:sz w:val="20"/>
          <w:szCs w:val="20"/>
          <w:color w:val="auto"/>
        </w:rPr>
      </w:pPr>
    </w:p>
    <w:p>
      <w:pPr>
        <w:ind w:firstLine="374"/>
        <w:spacing w:after="0" w:line="247" w:lineRule="auto"/>
        <w:rPr>
          <w:sz w:val="20"/>
          <w:szCs w:val="20"/>
          <w:color w:val="auto"/>
        </w:rPr>
      </w:pPr>
      <w:r>
        <w:rPr>
          <w:rFonts w:ascii="Times New Roman" w:cs="Times New Roman" w:eastAsia="Times New Roman" w:hAnsi="Times New Roman"/>
          <w:sz w:val="18"/>
          <w:szCs w:val="18"/>
          <w:color w:val="auto"/>
        </w:rPr>
        <w:t>We cannot assure you that we or our component suppliers comply or can continue to comply with all regulatory requirements. The failure by us or one of our component suppliers to achieve or maintain compliance with these requirements or quality standards may disrupt our ability to supply products sufficient to meet demand until compliance is achieved or, with a component supplier, until a new supplier has been identified and evaluated. Our or any of our component supplier’s failure to comply with applicable regulations could cause sanctions to be imposed on us, including warning letters, fines, injunctions, civil penalties, failure of regulatory authorities to grant marketing approval of our products, delays, suspension or withdrawal of approvals or clearances, license revocation, seizures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88" w:name="page89"/>
    <w:bookmarkEnd w:id="88"/>
    <w:p>
      <w:pPr>
        <w:spacing w:after="0" w:line="250" w:lineRule="auto"/>
        <w:rPr>
          <w:sz w:val="20"/>
          <w:szCs w:val="20"/>
          <w:color w:val="auto"/>
        </w:rPr>
      </w:pPr>
      <w:r>
        <w:rPr>
          <w:rFonts w:ascii="Times New Roman" w:cs="Times New Roman" w:eastAsia="Times New Roman" w:hAnsi="Times New Roman"/>
          <w:sz w:val="18"/>
          <w:szCs w:val="18"/>
          <w:color w:val="auto"/>
        </w:rPr>
        <w:t>or recalls of products, operating restrictions and criminal prosecutions, which could harm our business. We cannot assure you that if we need to engage new suppliers to satisfy our business requirements, we can locate new suppliers in compliance with regulatory requirements at a reasonable cost and in an acceptable timeframe. Our failure to do so could have a material adverse effect on our business, financial condition and results of operations.</w:t>
      </w:r>
    </w:p>
    <w:p>
      <w:pPr>
        <w:spacing w:after="0" w:line="109" w:lineRule="exact"/>
        <w:rPr>
          <w:sz w:val="20"/>
          <w:szCs w:val="20"/>
          <w:color w:val="auto"/>
        </w:rPr>
      </w:pPr>
    </w:p>
    <w:p>
      <w:pPr>
        <w:ind w:right="180" w:firstLine="374"/>
        <w:spacing w:after="0" w:line="250" w:lineRule="auto"/>
        <w:rPr>
          <w:sz w:val="20"/>
          <w:szCs w:val="20"/>
          <w:color w:val="auto"/>
        </w:rPr>
      </w:pPr>
      <w:r>
        <w:rPr>
          <w:rFonts w:ascii="Times New Roman" w:cs="Times New Roman" w:eastAsia="Times New Roman" w:hAnsi="Times New Roman"/>
          <w:sz w:val="18"/>
          <w:szCs w:val="18"/>
          <w:color w:val="auto"/>
        </w:rPr>
        <w:t>For products that we currently distribute or market in the EU and the United Kingdom, as well as future products for which we obtain the applicable marketing authorization, we must maintain certain International Organization for Standardization (“ISO”), certifications to sell our products and must undergo periodic inspections by notified bodies, such as BSI, to obtain and maintain these certifications. If we fail these inspections or fail to meet these regulatory standards, it could have a material adverse effect on our business, financial condition and results of operations.</w:t>
      </w:r>
    </w:p>
    <w:p>
      <w:pPr>
        <w:spacing w:after="0" w:line="106"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upon third parties, including single and sole source suppliers, to manufacture certain components and subcomponents of the RxSight system making us vulnerable to supply disruptions and price fluctuations.</w:t>
      </w:r>
    </w:p>
    <w:p>
      <w:pPr>
        <w:spacing w:after="0" w:line="37" w:lineRule="exact"/>
        <w:rPr>
          <w:sz w:val="20"/>
          <w:szCs w:val="20"/>
          <w:color w:val="auto"/>
        </w:rPr>
      </w:pPr>
    </w:p>
    <w:p>
      <w:pPr>
        <w:ind w:firstLine="374"/>
        <w:spacing w:after="0" w:line="241" w:lineRule="auto"/>
        <w:rPr>
          <w:sz w:val="20"/>
          <w:szCs w:val="20"/>
          <w:color w:val="auto"/>
        </w:rPr>
      </w:pPr>
      <w:r>
        <w:rPr>
          <w:rFonts w:ascii="Times New Roman" w:cs="Times New Roman" w:eastAsia="Times New Roman" w:hAnsi="Times New Roman"/>
          <w:sz w:val="18"/>
          <w:szCs w:val="18"/>
          <w:color w:val="auto"/>
        </w:rPr>
        <w:t>We rely on third parties, including single and sole source suppliers, to manufacture certain components and subcomponents of our products. We do not have long-term supply agreements with, or guaranteed commitments from our suppliers, including single and sole source suppliers. We utilize blanket orders covering the medium term of 18–24 months for the majority of our supplier base. We depend on our suppliers to provide us and our customers with materials in a timely manner that meet our and their quality, quantity and cost requirements. These suppliers may encounter problems during manufacturing for a variety of reasons, any of which could delay or impede their ability to meet our demand. The expansion of global lead times, particularly in Europe and Asia, related to the COVID-19 pandemic, and COVID related shutdowns again in China and the more recently the war in Ukraine, has resulted in the lack of availability of raw materials, including semiconductors, computers, monitors electronic parts, metals, packaging, adhesives, resins and subcontract painted components. Certain suppliers have passed on higher prices, surcharges and expedited shipping fees to defray the higher commodity prices they are paying due to short supply and pushed out delivery dates. Additionally, due to these supply chain costs and restraints, we have deferred the introduction of our lower cost LDD to the market, and will continue to ship our current LDD through 2022. Our management’s expectation is that the Company’s gross margin will be impacted by its decision to continue to produce the current LDD, which is more expensive to produce than the lower cost LDD, but it is necessary in order to mitigate potential supply chain issues. While we have taken measures to mitigate business continuity risk, including increasing standard lead times, payment of expedite fees, issuance of non-cancelable purchase orders, advance delivery of critical components ahead of normal delivery dates and second sourcing, our suppliers may cease producing the components we purchase from them or otherwise decide to cease doing business with us. Any supply interruption from our suppliers or failure to obtain additional suppliers for any of the components or subcomponents used in our products would limit our ability to manufacture our current and new products and could have a material adverse effect on our business, financial condition and 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failure of third parties to meet their contractual, regulatory, and other obligations could adversely affect our business.</w:t>
      </w:r>
    </w:p>
    <w:p>
      <w:pPr>
        <w:spacing w:after="0" w:line="108" w:lineRule="exact"/>
        <w:rPr>
          <w:sz w:val="20"/>
          <w:szCs w:val="20"/>
          <w:color w:val="auto"/>
        </w:rPr>
      </w:pPr>
    </w:p>
    <w:p>
      <w:pPr>
        <w:ind w:firstLine="374"/>
        <w:spacing w:after="0" w:line="243" w:lineRule="auto"/>
        <w:rPr>
          <w:sz w:val="20"/>
          <w:szCs w:val="20"/>
          <w:color w:val="auto"/>
        </w:rPr>
      </w:pPr>
      <w:r>
        <w:rPr>
          <w:rFonts w:ascii="Times New Roman" w:cs="Times New Roman" w:eastAsia="Times New Roman" w:hAnsi="Times New Roman"/>
          <w:sz w:val="18"/>
          <w:szCs w:val="18"/>
          <w:color w:val="auto"/>
        </w:rPr>
        <w:t>We rely on suppliers, vendors, outsourcing partners, consultants, and other third parties to research, develop, manufacture and commercialize our products. Using these third parties poses a number of risks, such as: (i) they may not perform to our standards or legal requirements; (ii) they may not produce reliable results; (iii) they may not perform in a timely manner; (iv) they may not maintain confidentiality of our proprietary information; (v) disputes may arise with respect to ownership of rights to technology developed with our partners; and (vi) disagreements could cause delays in, or termination of, the research, development or commercialization of our products or result in litigation or arbitration. Moreover, some third parties are located in markets subject to political and social risk, corruption, infrastructure problems and natural disasters, in addition to country-specific privacy and data security risk given current legal and regulatory environments. Failure of third parties to meet their contractual, regulatory and other obligations may have a material adverse effect on our business, financial condition and results of operations.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stock may be volatile, and you could lose all or part of your investment.</w:t>
      </w:r>
    </w:p>
    <w:p>
      <w:pPr>
        <w:spacing w:after="0" w:line="10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The trading price of our common stock has been and may continue to be highly volatile and could be subject to wide fluctuations in response to</w:t>
      </w:r>
    </w:p>
    <w:p>
      <w:pPr>
        <w:spacing w:after="0" w:line="27"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8"/>
          <w:szCs w:val="18"/>
          <w:color w:val="auto"/>
        </w:rPr>
        <w:t>various factors, some of which we cannot control. From the date of our initial public offering through May 1, 2022, our common stock has traded at a low of $8.80 and a high of $19.67 on the Nasdaq</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9" w:name="page90"/>
    <w:bookmarkEnd w:id="89"/>
    <w:p>
      <w:pPr>
        <w:ind w:right="120"/>
        <w:spacing w:after="0" w:line="250" w:lineRule="auto"/>
        <w:rPr>
          <w:sz w:val="20"/>
          <w:szCs w:val="20"/>
          <w:color w:val="auto"/>
        </w:rPr>
      </w:pPr>
      <w:r>
        <w:rPr>
          <w:rFonts w:ascii="Times New Roman" w:cs="Times New Roman" w:eastAsia="Times New Roman" w:hAnsi="Times New Roman"/>
          <w:sz w:val="18"/>
          <w:szCs w:val="18"/>
          <w:color w:val="auto"/>
        </w:rPr>
        <w:t>Global Market. The stock market in general has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addition to the factors discussed in Part II, Item 1A, “Risk Factors,” and elsewhere in this Quarterly Report on Form 10-Q, these factors include:</w:t>
      </w:r>
    </w:p>
    <w:p>
      <w:pPr>
        <w:spacing w:after="0" w:line="110" w:lineRule="exact"/>
        <w:rPr>
          <w:sz w:val="20"/>
          <w:szCs w:val="20"/>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preclinical studies and clinical trials of our current and future products or those of our competitors;</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announcements by potential competitors of their product development efforts;</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products or our competitors’ products;</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intellectual property or proprietary rights;</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44" w:lineRule="exact"/>
        <w:rPr>
          <w:rFonts w:ascii="Times New Roman" w:cs="Times New Roman" w:eastAsia="Times New Roman" w:hAnsi="Times New Roman"/>
          <w:sz w:val="18"/>
          <w:szCs w:val="18"/>
          <w:color w:val="auto"/>
        </w:rPr>
      </w:pPr>
    </w:p>
    <w:p>
      <w:pPr>
        <w:ind w:left="1140" w:right="600" w:hanging="383"/>
        <w:spacing w:after="0" w:line="266" w:lineRule="auto"/>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collaborations or capital commitments;</w:t>
      </w:r>
    </w:p>
    <w:p>
      <w:pPr>
        <w:spacing w:after="0" w:line="9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medical device sector;</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our other stockholders;</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market stand-off or lock-up agreements;</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w:t>
      </w:r>
    </w:p>
    <w:p>
      <w:pPr>
        <w:spacing w:after="0" w:line="144" w:lineRule="exact"/>
        <w:rPr>
          <w:sz w:val="20"/>
          <w:szCs w:val="20"/>
          <w:color w:val="auto"/>
        </w:rPr>
      </w:pPr>
    </w:p>
    <w:p>
      <w:pPr>
        <w:ind w:right="420" w:firstLine="374"/>
        <w:spacing w:after="0" w:line="266" w:lineRule="auto"/>
        <w:rPr>
          <w:sz w:val="20"/>
          <w:szCs w:val="20"/>
          <w:color w:val="auto"/>
        </w:rPr>
      </w:pPr>
      <w:r>
        <w:rPr>
          <w:rFonts w:ascii="Times New Roman" w:cs="Times New Roman" w:eastAsia="Times New Roman" w:hAnsi="Times New Roman"/>
          <w:sz w:val="18"/>
          <w:szCs w:val="18"/>
          <w:color w:val="auto"/>
        </w:rPr>
        <w:t>The realization of any of the above risks or any of a broad range of other risks, including those described in this Part II, Item 1A, “Risk Factors,” could have a dramatic and adverse impact on the market price of our common stock.</w:t>
      </w:r>
    </w:p>
    <w:p>
      <w:pPr>
        <w:spacing w:after="0" w:line="95" w:lineRule="exact"/>
        <w:rPr>
          <w:sz w:val="20"/>
          <w:szCs w:val="20"/>
          <w:color w:val="auto"/>
        </w:rPr>
      </w:pPr>
    </w:p>
    <w:p>
      <w:pPr>
        <w:ind w:firstLine="374"/>
        <w:spacing w:after="0" w:line="250" w:lineRule="auto"/>
        <w:rPr>
          <w:sz w:val="20"/>
          <w:szCs w:val="20"/>
          <w:color w:val="auto"/>
        </w:rPr>
      </w:pPr>
      <w:r>
        <w:rPr>
          <w:rFonts w:ascii="Times New Roman" w:cs="Times New Roman" w:eastAsia="Times New Roman" w:hAnsi="Times New Roman"/>
          <w:sz w:val="18"/>
          <w:szCs w:val="18"/>
          <w:color w:val="auto"/>
        </w:rPr>
        <w:t>In addition,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0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unfavorable research about our business, our stock price and trading volume could decline.</w:t>
      </w:r>
    </w:p>
    <w:p>
      <w:pPr>
        <w:spacing w:after="0" w:line="37" w:lineRule="exact"/>
        <w:rPr>
          <w:sz w:val="20"/>
          <w:szCs w:val="20"/>
          <w:color w:val="auto"/>
        </w:rPr>
      </w:pPr>
    </w:p>
    <w:p>
      <w:pPr>
        <w:jc w:val="both"/>
        <w:ind w:right="20" w:firstLine="374"/>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rely in part on the research and reports that equity research analysts publish about us and our business. We will not have any control of the analysts or the content and opinions included in their reports. The price of our stock could decline if one or more equity research analysts downgrade our</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90" w:name="page91"/>
    <w:bookmarkEnd w:id="90"/>
    <w:p>
      <w:pPr>
        <w:ind w:right="20"/>
        <w:spacing w:after="0" w:line="266" w:lineRule="auto"/>
        <w:rPr>
          <w:sz w:val="20"/>
          <w:szCs w:val="20"/>
          <w:color w:val="auto"/>
        </w:rPr>
      </w:pPr>
      <w:r>
        <w:rPr>
          <w:rFonts w:ascii="Times New Roman" w:cs="Times New Roman" w:eastAsia="Times New Roman" w:hAnsi="Times New Roman"/>
          <w:sz w:val="18"/>
          <w:szCs w:val="18"/>
          <w:color w:val="auto"/>
        </w:rPr>
        <w:t>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91"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do not know whether an active, liquid and orderly trading market will exist for our common stock or what the market price of our common stock will be and as a result it may be difficult for you to sell your shares of our common stock.</w:t>
      </w:r>
    </w:p>
    <w:p>
      <w:pPr>
        <w:spacing w:after="0" w:line="63" w:lineRule="exact"/>
        <w:rPr>
          <w:sz w:val="20"/>
          <w:szCs w:val="20"/>
          <w:color w:val="auto"/>
        </w:rPr>
      </w:pPr>
    </w:p>
    <w:p>
      <w:pPr>
        <w:ind w:right="40" w:firstLine="374"/>
        <w:spacing w:after="0" w:line="245" w:lineRule="auto"/>
        <w:rPr>
          <w:sz w:val="20"/>
          <w:szCs w:val="20"/>
          <w:color w:val="auto"/>
        </w:rPr>
      </w:pPr>
      <w:r>
        <w:rPr>
          <w:rFonts w:ascii="Times New Roman" w:cs="Times New Roman" w:eastAsia="Times New Roman" w:hAnsi="Times New Roman"/>
          <w:sz w:val="18"/>
          <w:szCs w:val="18"/>
          <w:color w:val="auto"/>
        </w:rPr>
        <w:t>Our common stock is currently traded on Nasdaq Global Market, but we can provide no assurance that we will be able to maintain an active trading market on Nasdaq Global Market or any other exchange in the future. If an active trading market does not develop is not maintained, or if we fail to satisfy the continued listing standards of the Nasdaq Global Market or applicable SEC rules for any reason and our securities are delisted, you may have difficulty selling any of our shares of common stock that you buy. The lack of an active trading market may impair your ability to sell your shares at the time you wish to sell them or at a price that you consider reasonable. The lack of an active trading market may also reduce the fair market value of your shares. Furthermore, an inactive trading market may also impair our ability to raise capital by selling shares of our common stock and may impair our ability to enter into strategic collaborations or acquire companies, technologies or other assets by using our shares of common stock as consideration.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108" w:lineRule="exact"/>
        <w:rPr>
          <w:sz w:val="20"/>
          <w:szCs w:val="20"/>
          <w:color w:val="auto"/>
        </w:rPr>
      </w:pPr>
    </w:p>
    <w:p>
      <w:pPr>
        <w:ind w:right="40" w:firstLine="374"/>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95" w:lineRule="exact"/>
        <w:rPr>
          <w:sz w:val="20"/>
          <w:szCs w:val="20"/>
          <w:color w:val="auto"/>
        </w:rPr>
      </w:pPr>
    </w:p>
    <w:p>
      <w:pPr>
        <w:jc w:val="both"/>
        <w:ind w:right="160" w:firstLine="374"/>
        <w:spacing w:after="0" w:line="258" w:lineRule="auto"/>
        <w:rPr>
          <w:sz w:val="20"/>
          <w:szCs w:val="20"/>
          <w:color w:val="auto"/>
        </w:rPr>
      </w:pPr>
      <w:r>
        <w:rPr>
          <w:rFonts w:ascii="Times New Roman" w:cs="Times New Roman" w:eastAsia="Times New Roman" w:hAnsi="Times New Roman"/>
          <w:sz w:val="18"/>
          <w:szCs w:val="18"/>
          <w:color w:val="auto"/>
        </w:rPr>
        <w:t>As of March 31, 2022, we had 27,485,685 shares of common stock issued and outstanding. Of these shares approximately 7,300,000 shares became available for sale in the public market on January 26, 2022, following the scheduled expiration of lock-up agreements that certain of our stockholders and the underwriters entered into in connection with our IPO.</w:t>
      </w:r>
    </w:p>
    <w:p>
      <w:pPr>
        <w:spacing w:after="0" w:line="102" w:lineRule="exact"/>
        <w:rPr>
          <w:sz w:val="20"/>
          <w:szCs w:val="20"/>
          <w:color w:val="auto"/>
        </w:rPr>
      </w:pPr>
    </w:p>
    <w:p>
      <w:pPr>
        <w:ind w:firstLine="374"/>
        <w:spacing w:after="0" w:line="250" w:lineRule="auto"/>
        <w:rPr>
          <w:sz w:val="20"/>
          <w:szCs w:val="20"/>
          <w:color w:val="auto"/>
        </w:rPr>
      </w:pPr>
      <w:r>
        <w:rPr>
          <w:rFonts w:ascii="Times New Roman" w:cs="Times New Roman" w:eastAsia="Times New Roman" w:hAnsi="Times New Roman"/>
          <w:sz w:val="18"/>
          <w:szCs w:val="18"/>
          <w:color w:val="auto"/>
        </w:rPr>
        <w:t>On July 30, 2021, we filed a registration statement on Form S-8 under the Securities Act registering the issuance of 7,473,839 shares of common stock subject to options or other equity awards issued or reserved for future issuance under our equity incentive plans. Shares registered under the registration statement on Form S-8 can be freely sold in the public market upon issuance, subject to volume limitations applicable to affiliates.</w:t>
      </w:r>
    </w:p>
    <w:p>
      <w:pPr>
        <w:spacing w:after="0" w:line="109" w:lineRule="exact"/>
        <w:rPr>
          <w:sz w:val="20"/>
          <w:szCs w:val="20"/>
          <w:color w:val="auto"/>
        </w:rPr>
      </w:pPr>
    </w:p>
    <w:p>
      <w:pPr>
        <w:ind w:firstLine="374"/>
        <w:spacing w:after="0" w:line="250" w:lineRule="auto"/>
        <w:rPr>
          <w:sz w:val="20"/>
          <w:szCs w:val="20"/>
          <w:color w:val="auto"/>
        </w:rPr>
      </w:pPr>
      <w:r>
        <w:rPr>
          <w:rFonts w:ascii="Times New Roman" w:cs="Times New Roman" w:eastAsia="Times New Roman" w:hAnsi="Times New Roman"/>
          <w:sz w:val="18"/>
          <w:szCs w:val="18"/>
          <w:color w:val="auto"/>
        </w:rPr>
        <w:t>In addition, on March 8, 2022, we filed on Form S-8 under the Securities Act to register the issuance of 1,368,337 shares of common stock subject to options or other equity awards issued or future issuance under our equity incentive plans. The number of shares registered represent the annual increase commencing on the first day of each fiscal year beginning with the 2022 fiscal year calculated as 4% of the outstanding shares of our common stock on the last day of our immediately preceding fiscal year under our 2021 Equity Incentive Plan and 1% of the outstanding shares of our common stock as of the last day of the immediately preceding fiscal year under our 2021 Employee Stock Purchase Plan.</w:t>
      </w:r>
    </w:p>
    <w:p>
      <w:pPr>
        <w:spacing w:after="0" w:line="110" w:lineRule="exact"/>
        <w:rPr>
          <w:sz w:val="20"/>
          <w:szCs w:val="20"/>
          <w:color w:val="auto"/>
        </w:rPr>
      </w:pPr>
    </w:p>
    <w:p>
      <w:pPr>
        <w:ind w:right="40" w:firstLine="374"/>
        <w:spacing w:after="0" w:line="246" w:lineRule="auto"/>
        <w:rPr>
          <w:sz w:val="20"/>
          <w:szCs w:val="20"/>
          <w:color w:val="auto"/>
        </w:rPr>
      </w:pPr>
      <w:r>
        <w:rPr>
          <w:rFonts w:ascii="Times New Roman" w:cs="Times New Roman" w:eastAsia="Times New Roman" w:hAnsi="Times New Roman"/>
          <w:sz w:val="18"/>
          <w:szCs w:val="18"/>
          <w:color w:val="auto"/>
        </w:rPr>
        <w:t>Moreover, holders of an aggregate of 14,651,254 shares of our common stock have rights, subject to certain conditions, to require us to file registration statements covering their shares or to include their shares in registration statements that we may file for ourselves or other stockholders. If we were to register the resale of these shares, they could be freely sold in the public market upon issuance, subject to volume limitations applicable to affiliates under applicable rules. If these additional shares are sold, or if it is perceived that they will be sold, in the public market, the trading price of our common stock could decline.</w:t>
      </w:r>
    </w:p>
    <w:p>
      <w:pPr>
        <w:spacing w:after="0" w:line="114" w:lineRule="exact"/>
        <w:rPr>
          <w:sz w:val="20"/>
          <w:szCs w:val="20"/>
          <w:color w:val="auto"/>
        </w:rPr>
      </w:pPr>
    </w:p>
    <w:p>
      <w:pPr>
        <w:ind w:right="460" w:firstLine="374"/>
        <w:spacing w:after="0" w:line="250" w:lineRule="auto"/>
        <w:rPr>
          <w:sz w:val="20"/>
          <w:szCs w:val="20"/>
          <w:color w:val="auto"/>
        </w:rPr>
      </w:pPr>
      <w:r>
        <w:rPr>
          <w:rFonts w:ascii="Times New Roman" w:cs="Times New Roman" w:eastAsia="Times New Roman" w:hAnsi="Times New Roman"/>
          <w:sz w:val="18"/>
          <w:szCs w:val="18"/>
          <w:color w:val="auto"/>
        </w:rPr>
        <w:t>In addition, in the future, we may issue additional shares of common stock or other equity or debt securities convertible into common stock in connection with a financing, acquisition, litigation settlement, and employee arrangements or otherwise. Any such issuance could result in substantial dilution to our existing stockholders and could cause our stock price to decline.</w:t>
      </w:r>
    </w:p>
    <w:p>
      <w:pPr>
        <w:spacing w:after="0" w:line="78"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1" w:name="page92"/>
    <w:bookmarkEnd w:id="91"/>
    <w:p>
      <w:pPr>
        <w:ind w:right="40" w:firstLine="374"/>
        <w:spacing w:after="0" w:line="243" w:lineRule="auto"/>
        <w:rPr>
          <w:sz w:val="20"/>
          <w:szCs w:val="20"/>
          <w:color w:val="auto"/>
        </w:rPr>
      </w:pPr>
      <w:r>
        <w:rPr>
          <w:rFonts w:ascii="Times New Roman" w:cs="Times New Roman" w:eastAsia="Times New Roman" w:hAnsi="Times New Roman"/>
          <w:sz w:val="18"/>
          <w:szCs w:val="18"/>
          <w:color w:val="auto"/>
        </w:rPr>
        <w:t>As of March 31, 2022, our executive officers, directors, holders of 5% or more of our common stock and their respective affiliates beneficially owned approximately 56% of our voting common stock. As a result, this group of stockholders will have the ability to control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1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we cannot be certain if the reduced reporting requirements applicable to emerging growth companies will make our common stock less attractive to investors.</w:t>
      </w:r>
    </w:p>
    <w:p>
      <w:pPr>
        <w:spacing w:after="0" w:line="63" w:lineRule="exact"/>
        <w:rPr>
          <w:sz w:val="20"/>
          <w:szCs w:val="20"/>
          <w:color w:val="auto"/>
        </w:rPr>
      </w:pPr>
    </w:p>
    <w:p>
      <w:pPr>
        <w:ind w:right="180" w:firstLine="374"/>
        <w:spacing w:after="0" w:line="250"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(“JOBS Act”). For as long as we continue to be an emerging growth company, we intend to take advantage of exemptions from various reporting requirements that are applicable to other public companies that are not emerging growth companies, including:</w:t>
      </w:r>
    </w:p>
    <w:p>
      <w:pPr>
        <w:spacing w:after="0" w:line="109" w:lineRule="exact"/>
        <w:rPr>
          <w:sz w:val="20"/>
          <w:szCs w:val="20"/>
          <w:color w:val="auto"/>
        </w:rPr>
      </w:pPr>
    </w:p>
    <w:p>
      <w:pPr>
        <w:ind w:left="1140" w:hanging="383"/>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w:t>
      </w:r>
    </w:p>
    <w:p>
      <w:pPr>
        <w:spacing w:after="0" w:line="144" w:lineRule="exact"/>
        <w:rPr>
          <w:rFonts w:ascii="Times New Roman" w:cs="Times New Roman" w:eastAsia="Times New Roman" w:hAnsi="Times New Roman"/>
          <w:sz w:val="18"/>
          <w:szCs w:val="18"/>
          <w:color w:val="auto"/>
        </w:rPr>
      </w:pPr>
    </w:p>
    <w:p>
      <w:pPr>
        <w:ind w:left="1140" w:right="320" w:hanging="383"/>
        <w:spacing w:after="0" w:line="258"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0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and proxy statements; and</w:t>
      </w:r>
    </w:p>
    <w:p>
      <w:pPr>
        <w:spacing w:after="0" w:line="144" w:lineRule="exact"/>
        <w:rPr>
          <w:rFonts w:ascii="Times New Roman" w:cs="Times New Roman" w:eastAsia="Times New Roman" w:hAnsi="Times New Roman"/>
          <w:sz w:val="18"/>
          <w:szCs w:val="18"/>
          <w:color w:val="auto"/>
        </w:rPr>
      </w:pPr>
    </w:p>
    <w:p>
      <w:pPr>
        <w:ind w:left="1140" w:right="120" w:hanging="383"/>
        <w:spacing w:after="0" w:line="266"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stockholder votes on executive compensation and stockholder approval of any golden parachute payments not previously approved.</w:t>
      </w:r>
    </w:p>
    <w:p>
      <w:pPr>
        <w:spacing w:after="0" w:line="95" w:lineRule="exact"/>
        <w:rPr>
          <w:sz w:val="20"/>
          <w:szCs w:val="20"/>
          <w:color w:val="auto"/>
        </w:rPr>
      </w:pPr>
    </w:p>
    <w:p>
      <w:pPr>
        <w:jc w:val="both"/>
        <w:ind w:right="600" w:firstLine="374"/>
        <w:spacing w:after="0" w:line="296" w:lineRule="auto"/>
        <w:rPr>
          <w:sz w:val="20"/>
          <w:szCs w:val="20"/>
          <w:color w:val="auto"/>
        </w:rPr>
      </w:pPr>
      <w:r>
        <w:rPr>
          <w:rFonts w:ascii="Times New Roman" w:cs="Times New Roman" w:eastAsia="Times New Roman" w:hAnsi="Times New Roman"/>
          <w:sz w:val="17"/>
          <w:szCs w:val="17"/>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71" w:lineRule="exact"/>
        <w:rPr>
          <w:sz w:val="20"/>
          <w:szCs w:val="20"/>
          <w:color w:val="auto"/>
        </w:rPr>
      </w:pPr>
    </w:p>
    <w:p>
      <w:pPr>
        <w:ind w:right="40" w:firstLine="374"/>
        <w:spacing w:after="0" w:line="250"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(1) the last day of the fiscal year in which we have more than $1.07 billion in annual revenue; (2) the date we qualify as a “large accelerated filer,” with at least $700 million of equity securities held by non-affiliates; (3) the date on which we have issued more than $1.0 billion in non-convertible debt securities during the prior three-year period; and (4) the last day of the fiscal year ending after the fifth anniversary of our initial public offering (i.e., December 31, 2026).</w:t>
      </w:r>
    </w:p>
    <w:p>
      <w:pPr>
        <w:spacing w:after="0" w:line="110" w:lineRule="exact"/>
        <w:rPr>
          <w:sz w:val="20"/>
          <w:szCs w:val="20"/>
          <w:color w:val="auto"/>
        </w:rPr>
      </w:pPr>
    </w:p>
    <w:p>
      <w:pPr>
        <w:ind w:right="60" w:firstLine="374"/>
        <w:spacing w:after="0" w:line="246"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 As a result, changes in rules of U.S. generally accepted accounting principles or their interpretation, the adoption of new guidance or the application of existing guidance to changes in our business could significantly affect our financial position and results of operations.</w:t>
      </w:r>
    </w:p>
    <w:p>
      <w:pPr>
        <w:spacing w:after="0" w:line="114" w:lineRule="exact"/>
        <w:rPr>
          <w:sz w:val="20"/>
          <w:szCs w:val="20"/>
          <w:color w:val="auto"/>
        </w:rPr>
      </w:pPr>
    </w:p>
    <w:p>
      <w:pPr>
        <w:ind w:right="80" w:firstLine="374"/>
        <w:spacing w:after="0" w:line="247"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92" w:name="page93"/>
    <w:bookmarkEnd w:id="92"/>
    <w:p>
      <w:pPr>
        <w:ind w:right="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have incurred increased costs as a result of operating as a public company, and our management devotes substantial time to new compliance initiatives and corporate governance practices. Additionally, if we fail to maintain proper and effective internal controls, our ability to produce accurate financial statements on a timely basis could be impaired.</w:t>
      </w:r>
    </w:p>
    <w:p>
      <w:pPr>
        <w:spacing w:after="0" w:line="81" w:lineRule="exact"/>
        <w:rPr>
          <w:sz w:val="20"/>
          <w:szCs w:val="20"/>
          <w:color w:val="auto"/>
        </w:rPr>
      </w:pPr>
    </w:p>
    <w:p>
      <w:pPr>
        <w:ind w:right="60" w:firstLine="374"/>
        <w:spacing w:after="0" w:line="242"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and these expenses may increase even more after we are no longer an “emerging growth company.” We will be subject to the reporting requirements of the Exchange Act, the Sarbanes-Oxley Act, the Dodd-Frank Wall Street Reform and Protection Act, as well as rules adopted, and to be adopted, by the SEC and Nasdaq. Our management and other personnel will need to devote a substantial amount of time to these compliance initiatives. Moreover, we expect these rules and regulations to substantially increase our legal and financial compliance costs and to make some activities more time-consuming and costly, which will increase our operating expenses. For example, we expect these rules and regulations to make it more difficult and more expensive for us to obtain director and officer liability insurance and we may be required to incur substantial costs to maintain sufficient coverage. We cannot accurately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20" w:lineRule="exact"/>
        <w:rPr>
          <w:sz w:val="20"/>
          <w:szCs w:val="20"/>
          <w:color w:val="auto"/>
        </w:rPr>
      </w:pPr>
    </w:p>
    <w:p>
      <w:pPr>
        <w:ind w:right="20" w:firstLine="374"/>
        <w:spacing w:after="0" w:line="244" w:lineRule="auto"/>
        <w:rPr>
          <w:sz w:val="20"/>
          <w:szCs w:val="20"/>
          <w:color w:val="auto"/>
        </w:rPr>
      </w:pPr>
      <w:r>
        <w:rPr>
          <w:rFonts w:ascii="Times New Roman" w:cs="Times New Roman" w:eastAsia="Times New Roman" w:hAnsi="Times New Roman"/>
          <w:sz w:val="18"/>
          <w:szCs w:val="18"/>
          <w:color w:val="auto"/>
        </w:rPr>
        <w:t>In addition, as a public company we will be required to incur additional costs and obligations in order to comply with SEC rules that implement Section 404 of the Sarbanes-Oxley Act. Under these rules, beginning with our second annual report on Form 10-K after becoming a public company,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if we are an accelerated filer or large accelerated filer. To achieve compliance with Section 404 within the prescribed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18" w:lineRule="exact"/>
        <w:rPr>
          <w:sz w:val="20"/>
          <w:szCs w:val="20"/>
          <w:color w:val="auto"/>
        </w:rPr>
      </w:pPr>
    </w:p>
    <w:p>
      <w:pPr>
        <w:ind w:firstLine="374"/>
        <w:spacing w:after="0" w:line="245" w:lineRule="auto"/>
        <w:rPr>
          <w:sz w:val="20"/>
          <w:szCs w:val="20"/>
          <w:color w:val="auto"/>
        </w:rPr>
      </w:pPr>
      <w:r>
        <w:rPr>
          <w:rFonts w:ascii="Times New Roman" w:cs="Times New Roman" w:eastAsia="Times New Roman" w:hAnsi="Times New Roman"/>
          <w:sz w:val="18"/>
          <w:szCs w:val="18"/>
          <w:color w:val="auto"/>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14" w:lineRule="exact"/>
        <w:rPr>
          <w:sz w:val="20"/>
          <w:szCs w:val="20"/>
          <w:color w:val="auto"/>
        </w:rPr>
      </w:pPr>
    </w:p>
    <w:p>
      <w:pPr>
        <w:ind w:right="20" w:firstLine="374"/>
        <w:spacing w:after="0" w:line="250"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our IPO and may not use them effectively.</w:t>
      </w:r>
    </w:p>
    <w:p>
      <w:pPr>
        <w:spacing w:after="0" w:line="121" w:lineRule="exact"/>
        <w:rPr>
          <w:sz w:val="20"/>
          <w:szCs w:val="20"/>
          <w:color w:val="auto"/>
        </w:rPr>
      </w:pPr>
    </w:p>
    <w:p>
      <w:pPr>
        <w:ind w:right="100" w:firstLine="374"/>
        <w:spacing w:after="0" w:line="250" w:lineRule="auto"/>
        <w:rPr>
          <w:sz w:val="20"/>
          <w:szCs w:val="20"/>
          <w:color w:val="auto"/>
        </w:rPr>
      </w:pPr>
      <w:r>
        <w:rPr>
          <w:rFonts w:ascii="Times New Roman" w:cs="Times New Roman" w:eastAsia="Times New Roman" w:hAnsi="Times New Roman"/>
          <w:sz w:val="18"/>
          <w:szCs w:val="18"/>
          <w:color w:val="auto"/>
        </w:rPr>
        <w:t>Our management has broad discretion in the application of the net proceeds from our IPO, and you will be relying on the judgment of our management regarding the application of these proceeds. You will not have the opportunity to assess whether we are using the proceeds appropriately. Our management might not apply the net proceeds in ways that ultimately increase stockholder value. If we do not invest or apply the net proceeds from our IPO in ways that enhance stockholder value, we may fail to achieve expected financial results, which could cause our stock price to decline.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so any returns will be limited to the value of our stock.</w:t>
      </w:r>
    </w:p>
    <w:p>
      <w:pPr>
        <w:spacing w:after="0" w:line="108" w:lineRule="exact"/>
        <w:rPr>
          <w:sz w:val="20"/>
          <w:szCs w:val="20"/>
          <w:color w:val="auto"/>
        </w:rPr>
      </w:pPr>
    </w:p>
    <w:p>
      <w:pPr>
        <w:ind w:right="140" w:firstLine="374"/>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their stock.</w:t>
      </w:r>
    </w:p>
    <w:p>
      <w:pPr>
        <w:spacing w:after="0" w:line="98"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certificate of incorporation, bylaws and Delaware law might discourage, delay or prevent a change in control of our company or changes in our management and, therefore, depress the market price of our common stock.</w:t>
      </w:r>
    </w:p>
    <w:p>
      <w:pPr>
        <w:spacing w:after="0" w:line="50"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and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102" w:lineRule="exact"/>
        <w:rPr>
          <w:sz w:val="20"/>
          <w:szCs w:val="20"/>
          <w:color w:val="auto"/>
        </w:rPr>
      </w:pPr>
    </w:p>
    <w:p>
      <w:pPr>
        <w:ind w:left="1140" w:hanging="383"/>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so that not all members of our board are elected at one time;</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the Board of Directors to establish the number of directors and fill vacancies on the board;</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 and only with the approval of two-thirds of our stockholders;</w:t>
      </w:r>
    </w:p>
    <w:p>
      <w:pPr>
        <w:spacing w:after="0" w:line="144" w:lineRule="exact"/>
        <w:rPr>
          <w:rFonts w:ascii="Times New Roman" w:cs="Times New Roman" w:eastAsia="Times New Roman" w:hAnsi="Times New Roman"/>
          <w:sz w:val="18"/>
          <w:szCs w:val="18"/>
          <w:color w:val="auto"/>
        </w:rPr>
      </w:pPr>
    </w:p>
    <w:p>
      <w:pPr>
        <w:ind w:left="1140" w:right="240" w:hanging="383"/>
        <w:spacing w:after="0" w:line="266" w:lineRule="auto"/>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could use to implement a stockholder rights plan (also known as a poison pill);</w:t>
      </w:r>
    </w:p>
    <w:p>
      <w:pPr>
        <w:spacing w:after="0" w:line="9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amend the bylaws;</w:t>
      </w:r>
    </w:p>
    <w:p>
      <w:pPr>
        <w:spacing w:after="0" w:line="144" w:lineRule="exact"/>
        <w:rPr>
          <w:rFonts w:ascii="Times New Roman" w:cs="Times New Roman" w:eastAsia="Times New Roman" w:hAnsi="Times New Roman"/>
          <w:sz w:val="18"/>
          <w:szCs w:val="18"/>
          <w:color w:val="auto"/>
        </w:rPr>
      </w:pPr>
    </w:p>
    <w:p>
      <w:pPr>
        <w:ind w:left="1140" w:right="680" w:hanging="383"/>
        <w:spacing w:after="0" w:line="266" w:lineRule="auto"/>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or for proposing matters that can be acted upon by stockholders at annual stockholder meetings; and</w:t>
      </w:r>
    </w:p>
    <w:p>
      <w:pPr>
        <w:spacing w:after="0" w:line="9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vote of stockholders to amend some provisions described above.</w:t>
      </w:r>
    </w:p>
    <w:p>
      <w:pPr>
        <w:spacing w:after="0" w:line="144" w:lineRule="exact"/>
        <w:rPr>
          <w:sz w:val="20"/>
          <w:szCs w:val="20"/>
          <w:color w:val="auto"/>
        </w:rPr>
      </w:pPr>
    </w:p>
    <w:p>
      <w:pPr>
        <w:ind w:right="80" w:firstLine="374"/>
        <w:spacing w:after="0" w:line="250" w:lineRule="auto"/>
        <w:rPr>
          <w:sz w:val="20"/>
          <w:szCs w:val="20"/>
          <w:color w:val="auto"/>
        </w:rPr>
      </w:pPr>
      <w:r>
        <w:rPr>
          <w:rFonts w:ascii="Times New Roman" w:cs="Times New Roman" w:eastAsia="Times New Roman" w:hAnsi="Times New Roman"/>
          <w:sz w:val="18"/>
          <w:szCs w:val="18"/>
          <w:color w:val="auto"/>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10" w:lineRule="exact"/>
        <w:rPr>
          <w:sz w:val="20"/>
          <w:szCs w:val="20"/>
          <w:color w:val="auto"/>
        </w:rPr>
      </w:pPr>
    </w:p>
    <w:p>
      <w:pPr>
        <w:jc w:val="both"/>
        <w:ind w:right="120" w:firstLine="374"/>
        <w:spacing w:after="0" w:line="258" w:lineRule="auto"/>
        <w:rPr>
          <w:sz w:val="20"/>
          <w:szCs w:val="20"/>
          <w:color w:val="auto"/>
        </w:rPr>
      </w:pPr>
      <w:r>
        <w:rPr>
          <w:rFonts w:ascii="Times New Roman" w:cs="Times New Roman" w:eastAsia="Times New Roman" w:hAnsi="Times New Roman"/>
          <w:sz w:val="18"/>
          <w:szCs w:val="18"/>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98"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b w:val="1"/>
          <w:bCs w:val="1"/>
          <w:i w:val="1"/>
          <w:iCs w:val="1"/>
          <w:color w:val="auto"/>
        </w:rPr>
        <w:t>Our bylaws provide that, unless the company consents in writing to an alternative forum,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59" w:lineRule="exact"/>
        <w:rPr>
          <w:sz w:val="20"/>
          <w:szCs w:val="20"/>
          <w:color w:val="auto"/>
        </w:rPr>
      </w:pPr>
    </w:p>
    <w:p>
      <w:pPr>
        <w:ind w:right="180" w:firstLine="374"/>
        <w:spacing w:after="0" w:line="282"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the Court of Chancery of the State of Delaware is the exclusive forum for:</w:t>
      </w:r>
    </w:p>
    <w:p>
      <w:pPr>
        <w:spacing w:after="0" w:line="81" w:lineRule="exact"/>
        <w:rPr>
          <w:sz w:val="20"/>
          <w:szCs w:val="20"/>
          <w:color w:val="auto"/>
        </w:rPr>
      </w:pPr>
    </w:p>
    <w:p>
      <w:pPr>
        <w:ind w:left="1140" w:hanging="383"/>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fiduciary duty;</w:t>
      </w: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7" w:right="379" w:bottom="1440" w:gutter="0" w:footer="0" w:header="0"/>
        </w:sectPr>
      </w:pPr>
    </w:p>
    <w:bookmarkStart w:id="94" w:name="page95"/>
    <w:bookmarkEnd w:id="94"/>
    <w:p>
      <w:pPr>
        <w:ind w:left="1140" w:right="180" w:hanging="383"/>
        <w:spacing w:after="0" w:line="266"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DGCL, our amended and restated certificate of incorporation or our amended and restated bylaws; and</w:t>
      </w:r>
    </w:p>
    <w:p>
      <w:pPr>
        <w:spacing w:after="0" w:line="9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internal-affairs doctrine.</w:t>
      </w:r>
    </w:p>
    <w:p>
      <w:pPr>
        <w:spacing w:after="0" w:line="144" w:lineRule="exact"/>
        <w:rPr>
          <w:sz w:val="20"/>
          <w:szCs w:val="20"/>
          <w:color w:val="auto"/>
        </w:rPr>
      </w:pPr>
    </w:p>
    <w:p>
      <w:pPr>
        <w:ind w:right="40" w:firstLine="374"/>
        <w:spacing w:after="0" w:line="246" w:lineRule="auto"/>
        <w:rPr>
          <w:sz w:val="20"/>
          <w:szCs w:val="20"/>
          <w:color w:val="auto"/>
        </w:rPr>
      </w:pPr>
      <w:r>
        <w:rPr>
          <w:rFonts w:ascii="Times New Roman" w:cs="Times New Roman" w:eastAsia="Times New Roman" w:hAnsi="Times New Roman"/>
          <w:sz w:val="18"/>
          <w:szCs w:val="18"/>
          <w:color w:val="auto"/>
        </w:rPr>
        <w:t>This Delaware forum provision may limit a stockholder’s ability to bring a claim in a judicial forum that the stockholder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this provision. If a court were to find this Delaware forum provision to be inapplicable or unenforceable in an action, we may incur additional costs associated with litigating such disputes in multiple and/or other jurisdictions, which could seriously harm our business.</w:t>
      </w:r>
    </w:p>
    <w:p>
      <w:pPr>
        <w:spacing w:after="0" w:line="114" w:lineRule="exact"/>
        <w:rPr>
          <w:sz w:val="20"/>
          <w:szCs w:val="20"/>
          <w:color w:val="auto"/>
        </w:rPr>
      </w:pPr>
    </w:p>
    <w:p>
      <w:pPr>
        <w:ind w:right="60" w:firstLine="374"/>
        <w:spacing w:after="0" w:line="243"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the federal district courts of the United States of America will be the exclusive forum for resolving any complaint asserting a cause of action arising under the Securities Act of 1933 against any person in connection with any offering of the Company’s securities, including but not limited to any auditor, underwriter, selling shareholder, expert, control person, or other defendant. This federal forum provision may limit a stockholder’s ability to bring a Securities Act claim in a judicial forum that the stockholder finds favorable, which may discourage lawsuits against us and our directors, officers and other employees. Any person purchasing or otherwise acquiring any interest in any of our securities shall be deemed to have notice of and consented to this provision. While the Delaware Supreme Court has held such provisions to be facially valid as a matter of Delaware law and several state trial courts have enforced such provisions and required that suits asserting Securities Act claims be filed in federal court, there is no guarantee that courts of appeal will affirm the enforceability of such provisions. If a court were to find this federal forum provision to be inapplicable or unenforceable in an action, we may incur additional costs associated with litigating Securities Act claims in state court, or both state and federal court, which could seriously harm our business.</w:t>
      </w:r>
    </w:p>
    <w:p>
      <w:pPr>
        <w:spacing w:after="0" w:line="118" w:lineRule="exact"/>
        <w:rPr>
          <w:sz w:val="20"/>
          <w:szCs w:val="20"/>
          <w:color w:val="auto"/>
        </w:rPr>
      </w:pPr>
    </w:p>
    <w:p>
      <w:pPr>
        <w:ind w:right="80" w:firstLine="374"/>
        <w:spacing w:after="0" w:line="266" w:lineRule="auto"/>
        <w:rPr>
          <w:sz w:val="20"/>
          <w:szCs w:val="20"/>
          <w:color w:val="auto"/>
        </w:rPr>
      </w:pPr>
      <w:r>
        <w:rPr>
          <w:rFonts w:ascii="Times New Roman" w:cs="Times New Roman" w:eastAsia="Times New Roman" w:hAnsi="Times New Roman"/>
          <w:sz w:val="18"/>
          <w:szCs w:val="18"/>
          <w:color w:val="auto"/>
        </w:rPr>
        <w:t>This Delaware forum provision does not apply to actions arising under the Securities Exchange Act of 1934 because the federal courts have exclusive jurisdiction over such claims.</w:t>
      </w:r>
    </w:p>
    <w:p>
      <w:pPr>
        <w:spacing w:after="0" w:line="9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spacing w:after="0" w:line="37" w:lineRule="exact"/>
        <w:rPr>
          <w:sz w:val="20"/>
          <w:szCs w:val="20"/>
          <w:color w:val="auto"/>
        </w:rPr>
      </w:pPr>
    </w:p>
    <w:p>
      <w:pPr>
        <w:ind w:firstLine="374"/>
        <w:spacing w:after="0" w:line="247" w:lineRule="auto"/>
        <w:rPr>
          <w:sz w:val="20"/>
          <w:szCs w:val="20"/>
          <w:color w:val="auto"/>
        </w:rPr>
      </w:pPr>
      <w:r>
        <w:rPr>
          <w:rFonts w:ascii="Times New Roman" w:cs="Times New Roman" w:eastAsia="Times New Roman" w:hAnsi="Times New Roman"/>
          <w:sz w:val="18"/>
          <w:szCs w:val="18"/>
          <w:color w:val="auto"/>
        </w:rPr>
        <w:t>We rely on third party software for state and local tax rates, updated whenever tax rates change. We also rely on state exemptions, when applicable, for medical devices and services, which are determined by management’s review of each state’s sales tax laws and regulations concerning prescribed medical treatments. However, as laws and regulations change from time to time, these exemptions may or may not continue to apply to our products in the various taxing jurisdictions. Certain jurisdictions in which we do not collect such taxes on sales of our products may later assert that such taxes are applicable, which could result in tax assessments, penalties and interest, and we may be required to collect such taxes in the future. Such tax assessments, penalties and interest or future requirements may adversely affect the results of our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Board of Directors are authorized to issue and designate shares of our preferred stock in additional series without stockholder approval.</w:t>
      </w:r>
    </w:p>
    <w:p>
      <w:pPr>
        <w:spacing w:after="0" w:line="108" w:lineRule="exact"/>
        <w:rPr>
          <w:sz w:val="20"/>
          <w:szCs w:val="20"/>
          <w:color w:val="auto"/>
        </w:rPr>
      </w:pPr>
    </w:p>
    <w:p>
      <w:pPr>
        <w:ind w:right="20" w:firstLine="374"/>
        <w:spacing w:after="0" w:line="246" w:lineRule="auto"/>
        <w:rPr>
          <w:sz w:val="20"/>
          <w:szCs w:val="20"/>
          <w:color w:val="auto"/>
        </w:rPr>
      </w:pPr>
      <w:r>
        <w:rPr>
          <w:rFonts w:ascii="Times New Roman" w:cs="Times New Roman" w:eastAsia="Times New Roman" w:hAnsi="Times New Roman"/>
          <w:sz w:val="18"/>
          <w:szCs w:val="18"/>
          <w:color w:val="auto"/>
        </w:rPr>
        <w:t>Our certificate of incorporation authorizes our Board of Directors, without the approval of our stockholders, to issue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spacing w:after="0" w:line="110"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63" w:lineRule="exact"/>
        <w:rPr>
          <w:sz w:val="20"/>
          <w:szCs w:val="20"/>
          <w:color w:val="auto"/>
        </w:rPr>
      </w:pPr>
    </w:p>
    <w:p>
      <w:pPr>
        <w:ind w:right="580" w:firstLine="374"/>
        <w:spacing w:after="0" w:line="266" w:lineRule="auto"/>
        <w:rPr>
          <w:sz w:val="20"/>
          <w:szCs w:val="20"/>
          <w:color w:val="auto"/>
        </w:rPr>
      </w:pPr>
      <w:r>
        <w:rPr>
          <w:rFonts w:ascii="Times New Roman" w:cs="Times New Roman" w:eastAsia="Times New Roman" w:hAnsi="Times New Roman"/>
          <w:sz w:val="18"/>
          <w:szCs w:val="18"/>
          <w:color w:val="auto"/>
        </w:rPr>
        <w:t>The Tax Act enacted many significant changes to the U.S. tax laws, the consequences of which have not yet been fully determined. Changes in corporate tax rates, the realization of net deferred tax assets relating to our U.S.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5" w:name="page96"/>
    <w:bookmarkEnd w:id="95"/>
    <w:p>
      <w:pPr>
        <w:ind w:right="100"/>
        <w:spacing w:after="0" w:line="245" w:lineRule="auto"/>
        <w:rPr>
          <w:sz w:val="20"/>
          <w:szCs w:val="20"/>
          <w:color w:val="auto"/>
        </w:rPr>
      </w:pPr>
      <w:r>
        <w:rPr>
          <w:rFonts w:ascii="Times New Roman" w:cs="Times New Roman" w:eastAsia="Times New Roman" w:hAnsi="Times New Roman"/>
          <w:sz w:val="18"/>
          <w:szCs w:val="18"/>
          <w:color w:val="auto"/>
        </w:rPr>
        <w:t>operations, the taxation of foreign earnings and the deductibility of expenses contained in the Tax Act or other tax reform legislation could have a material impact on the value of our deferred tax assets, could result in significant one-time charges in the current or future taxable years and could increase our future U.S. tax expense. Regulatory or legislative developments may arise from the proposed U.S. tax reform under the Biden Administration, which has proposed several changes to the corporate income tax regime, which, if adopted, could result in increased taxation of our business operations. There is uncertainty regarding what changes, if any, will be enacted and the effect on our business and financial results. The foregoing items, as well as any future changes in tax laws, could have a material adverse effect on our business, cash flow, financial condition or results of operations. In addition, it is uncertain if and to what extent various states will conform to the newly enacted federal tax legislation.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COVID-19</w:t>
      </w:r>
    </w:p>
    <w:p>
      <w:pPr>
        <w:spacing w:after="0" w:line="11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financial condition, results of operations and growth have been harmed by the effects of the COVID-19 pandemic and may continue to be harmed.</w:t>
      </w:r>
    </w:p>
    <w:p>
      <w:pPr>
        <w:spacing w:after="0" w:line="37"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7"/>
          <w:szCs w:val="17"/>
          <w:color w:val="auto"/>
        </w:rPr>
        <w:t>We are subject to risks related to public health crises such as the global pandemic associated with COVID-19. The COVID-19 outbreak has negatively impacted and may continue to negatively impact our operations and revenues and overall financial condition by decreasing the number of our RxSight systems sold. The number of our RxSight systems sold, similar to other ophthalmic procedures, has decreased as health care organizations globally have prioritized the treatment of patients with COVID-19. For example, in the United States, governmental authorities have recommended, and in certain cases required, that elective, specialty and other procedures and appointments, including those related to cataract treatments, be suspended or canceled to avoid non-essential patient exposure to medical environments and potential infection with COVID-19 and to focus limited resources and personnel capacity toward the treatment of COVID-19. These measures and challenges may continue for the duration of the pandemic, which is uncertain, and will reduce our revenue and continue to interrupt the commercialization of our products while the pandemic continues. Further, once the pandemic subsides, we anticipate there will be a substantial backlog of patients seeking appointments with doctors and surgeries to be performed at ophthalmic practices and ambulatory surgery centers relating to a variety of medical conditions, and as a result, patients seeking to receive, or who have received, our LAL will have to navigate limited provider capacity. We believe this limited provider capacity could have an adverse effect on our sales following the end of the pandemic.</w:t>
      </w:r>
    </w:p>
    <w:p>
      <w:pPr>
        <w:spacing w:after="0" w:line="105" w:lineRule="exact"/>
        <w:rPr>
          <w:sz w:val="20"/>
          <w:szCs w:val="20"/>
          <w:color w:val="auto"/>
        </w:rPr>
      </w:pPr>
    </w:p>
    <w:p>
      <w:pPr>
        <w:ind w:right="100" w:firstLine="374"/>
        <w:spacing w:after="0" w:line="247" w:lineRule="auto"/>
        <w:rPr>
          <w:sz w:val="20"/>
          <w:szCs w:val="20"/>
          <w:color w:val="auto"/>
        </w:rPr>
      </w:pPr>
      <w:r>
        <w:rPr>
          <w:rFonts w:ascii="Times New Roman" w:cs="Times New Roman" w:eastAsia="Times New Roman" w:hAnsi="Times New Roman"/>
          <w:sz w:val="18"/>
          <w:szCs w:val="18"/>
          <w:color w:val="auto"/>
        </w:rPr>
        <w:t>As we continue to actively advance our clinical programs and discovery and research programs, we are in close contact with the third parties we engage with and are assessing the impact of the COVID-19 pandemic on each of our programs, expected timelines and costs on an ongoing basis. In light of ongoing developments relating to the COVID-19 pandemic, the focus of healthcare providers on fighting the virus, and consistent with the FDA’s industry guidance for conducting clinical trials issued in March 2020, updated subsequently, we and our contract research organizations have made certain adjustments to the operation of our clinical trials in an effort to ensure the monitoring and safety of patients and minimize risk to trial integrity during the pandemic and generally.</w:t>
      </w:r>
    </w:p>
    <w:p>
      <w:pPr>
        <w:spacing w:after="0" w:line="99" w:lineRule="exact"/>
        <w:rPr>
          <w:sz w:val="20"/>
          <w:szCs w:val="20"/>
          <w:color w:val="auto"/>
        </w:rPr>
      </w:pPr>
    </w:p>
    <w:p>
      <w:pPr>
        <w:ind w:right="120" w:firstLine="374"/>
        <w:spacing w:after="0" w:line="247" w:lineRule="auto"/>
        <w:rPr>
          <w:sz w:val="20"/>
          <w:szCs w:val="20"/>
          <w:color w:val="auto"/>
        </w:rPr>
      </w:pPr>
      <w:r>
        <w:rPr>
          <w:rFonts w:ascii="Times New Roman" w:cs="Times New Roman" w:eastAsia="Times New Roman" w:hAnsi="Times New Roman"/>
          <w:sz w:val="18"/>
          <w:szCs w:val="18"/>
          <w:color w:val="auto"/>
        </w:rPr>
        <w:t>Further, the expansion of global lead times related to the COVID-19 pandemic, has resulted in the lack of availability of raw materials, including semiconductors, computers, monitors electronic parts, metals, packaging, adhesives, resins and subcontract painted components. Certain suppliers have passed on higher prices, surcharges and expedited shipping fees to defray the higher commodity prices they are paying due to short supply. Our suppliers may cease producing the components we purchase from them or otherwise decide to cease doing business with us. Any supply interruption from our suppliers or failure to obtain additional suppliers for any of the components or subcomponents used in our products would limit our ability to manufacture our current and new products and could have a material adverse effect on our business, financial condition and results of operations.</w:t>
      </w:r>
    </w:p>
    <w:p>
      <w:pPr>
        <w:spacing w:after="0" w:line="112" w:lineRule="exact"/>
        <w:rPr>
          <w:sz w:val="20"/>
          <w:szCs w:val="20"/>
          <w:color w:val="auto"/>
        </w:rPr>
      </w:pPr>
    </w:p>
    <w:p>
      <w:pPr>
        <w:ind w:right="40" w:firstLine="374"/>
        <w:spacing w:after="0" w:line="245" w:lineRule="auto"/>
        <w:rPr>
          <w:sz w:val="20"/>
          <w:szCs w:val="20"/>
          <w:color w:val="auto"/>
        </w:rPr>
      </w:pPr>
      <w:r>
        <w:rPr>
          <w:rFonts w:ascii="Times New Roman" w:cs="Times New Roman" w:eastAsia="Times New Roman" w:hAnsi="Times New Roman"/>
          <w:sz w:val="18"/>
          <w:szCs w:val="18"/>
          <w:color w:val="auto"/>
        </w:rPr>
        <w:t>While the potential economic impact brought by and the duration of COVID-19 may be difficult to assess or predict, the widespread pandemic has resulted in, and may continue to result in, significant disruption of global financial markets, reducing our ability to access capital, which could in the future negatively affect our liquidity. We expect any new shelter-in-place policies and restrictions on elective surgical procedures worldwide to have a substantial near-term impact on our revenue. During the COVID-19 pandemic, our customers, including doctors, have experienced financial hardship and some of them may not fully recover. This could lead to some of these customers temporarily or permanently shutting down, filing for bankruptcy or being acquired by larger health systems, leading to reduced procedures and/or additional pricing pressure on our products. The COVID-19 pandemic has also resulted in a significant increase in unemployment in the United States which may continue even</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96" w:name="page97"/>
    <w:bookmarkEnd w:id="96"/>
    <w:p>
      <w:pPr>
        <w:ind w:right="80"/>
        <w:spacing w:after="0" w:line="266" w:lineRule="auto"/>
        <w:rPr>
          <w:sz w:val="20"/>
          <w:szCs w:val="20"/>
          <w:color w:val="auto"/>
        </w:rPr>
      </w:pPr>
      <w:r>
        <w:rPr>
          <w:rFonts w:ascii="Times New Roman" w:cs="Times New Roman" w:eastAsia="Times New Roman" w:hAnsi="Times New Roman"/>
          <w:sz w:val="18"/>
          <w:szCs w:val="18"/>
          <w:color w:val="auto"/>
        </w:rPr>
        <w:t>after the pandemic. The occurrence of any such events may lead to reduced disposable income and access to health insurance which could adversely affect the number of RxSight systems sold after the pandemic has ended.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is highly dependent on our ability to attract and retain highly skilled executive officers and employees.</w:t>
      </w:r>
    </w:p>
    <w:p>
      <w:pPr>
        <w:spacing w:after="0" w:line="108" w:lineRule="exact"/>
        <w:rPr>
          <w:sz w:val="20"/>
          <w:szCs w:val="20"/>
          <w:color w:val="auto"/>
        </w:rPr>
      </w:pPr>
    </w:p>
    <w:p>
      <w:pPr>
        <w:ind w:firstLine="374"/>
        <w:spacing w:after="0" w:line="242" w:lineRule="auto"/>
        <w:rPr>
          <w:sz w:val="20"/>
          <w:szCs w:val="20"/>
          <w:color w:val="auto"/>
        </w:rPr>
      </w:pPr>
      <w:r>
        <w:rPr>
          <w:rFonts w:ascii="Times New Roman" w:cs="Times New Roman" w:eastAsia="Times New Roman" w:hAnsi="Times New Roman"/>
          <w:sz w:val="18"/>
          <w:szCs w:val="18"/>
          <w:color w:val="auto"/>
        </w:rPr>
        <w:t>To succeed, we must recruit, retain, manage and motivate qualified executives as we build out the management team, and we face significant competition for experienced personnel. We are highly dependent on the principal members of our management and need to add executives with operational and commercialization experience as we plan for commercialization of our current and future products and build out a leadership team that can manage our operations as a public company.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medical device and ophthalmology field is intense and as a result, we may be unable to continue to attract and retain qualified personnel necessary for the future success of our business. We could in the future have difficulty attracting experienced personnel to our company and may be required to expend significant financial resources in our employee recruitment and retention efforts.</w:t>
      </w:r>
    </w:p>
    <w:p>
      <w:pPr>
        <w:spacing w:after="0" w:line="1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Many of the other medical device and biotechnology companies that we compete against for qualified personnel have greater financial and other</w:t>
      </w:r>
    </w:p>
    <w:p>
      <w:pPr>
        <w:spacing w:after="0" w:line="27"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8"/>
          <w:szCs w:val="18"/>
          <w:color w:val="auto"/>
        </w:rPr>
        <w:t>resources, different risk profiles and a longer history in the industry than we do. They also may provide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current and future products will be limited and the potential for successfully growing our business will be harmed.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system failures or security breaches.</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computer systems, as well as those of our contractors and consultants, are vulnerable to damage from computer viruses, unauthorized access,</w:t>
      </w:r>
    </w:p>
    <w:p>
      <w:pPr>
        <w:spacing w:after="0" w:line="1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natural disasters (including hurricanes), terrorism, war and telecommunication and electrical failures. If such an event were to occur and cause interruptions in our operations, it could result in a material disruption of the commercialization of our RxSight system and our future products. For example, the loss of preclinical study or clinical trial data from completed, ongoing or planned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the commercialization of our RxSight system and the further development of our current and future products could be delayed.</w:t>
      </w:r>
    </w:p>
    <w:p>
      <w:pPr>
        <w:spacing w:after="0" w:line="118" w:lineRule="exact"/>
        <w:rPr>
          <w:sz w:val="20"/>
          <w:szCs w:val="20"/>
          <w:color w:val="auto"/>
        </w:rPr>
      </w:pPr>
    </w:p>
    <w:p>
      <w:pPr>
        <w:ind w:right="40" w:firstLine="374"/>
        <w:spacing w:after="0" w:line="242" w:lineRule="auto"/>
        <w:rPr>
          <w:sz w:val="20"/>
          <w:szCs w:val="20"/>
          <w:color w:val="auto"/>
        </w:rPr>
      </w:pPr>
      <w:r>
        <w:rPr>
          <w:rFonts w:ascii="Times New Roman" w:cs="Times New Roman" w:eastAsia="Times New Roman" w:hAnsi="Times New Roman"/>
          <w:sz w:val="18"/>
          <w:szCs w:val="18"/>
          <w:color w:val="auto"/>
        </w:rPr>
        <w:t>The secure processing, maintenance and transmission of this information is critical to our operations. Despite our security measures, our information technology and infrastructure may be vulnerable to attacks by hackers or internal bad actors, or breached due to employee error, a technical vulnerability, malfeasance or other disruptions. Although, to our knowledge, we have not experienced such material security breach to date, any such breach could compromise our networks and the information stored there could be accessed, publicly disclosed, lost or stolen. Any such actual or perceived access, disclosure or other security breach or loss of information (whether affecting us or one of our third-party service providers) could result in legal claims proceedings, regulatory investigations, liability under laws that protect the privacy of personal information, significant regulatory penalties or other fines, and such an event could disrupt our operations, damage our reputation, and cause a loss of confidence in us and our ability to commercialize our products and conduct clinical trials, which could adversely affect our reputation and delay the commercialization of our RxSight system and clinical development of our current and future products.</w:t>
      </w:r>
    </w:p>
    <w:p>
      <w:pPr>
        <w:spacing w:after="0" w:line="120" w:lineRule="exact"/>
        <w:rPr>
          <w:sz w:val="20"/>
          <w:szCs w:val="20"/>
          <w:color w:val="auto"/>
        </w:rPr>
      </w:pPr>
    </w:p>
    <w:p>
      <w:pPr>
        <w:ind w:right="40" w:firstLine="374"/>
        <w:spacing w:after="0" w:line="250" w:lineRule="auto"/>
        <w:rPr>
          <w:sz w:val="20"/>
          <w:szCs w:val="20"/>
          <w:color w:val="auto"/>
        </w:rPr>
      </w:pPr>
      <w:r>
        <w:rPr>
          <w:rFonts w:ascii="Times New Roman" w:cs="Times New Roman" w:eastAsia="Times New Roman" w:hAnsi="Times New Roman"/>
          <w:sz w:val="18"/>
          <w:szCs w:val="18"/>
          <w:color w:val="auto"/>
        </w:rPr>
        <w:t>The techniques and sophistication used to conduct cyber-attacks and breaches of information technology systems, as well as the sources and targets of these attacks, may take many forms (including phishing, social engineering, denial or degradation of service attacks, malware or ransomware), change frequently and are often not recognized until such attacks are launched or have been in place for a period of time. In addition, our employees, contractors, or third parties with whom we do business or to whom we outsource business operations may attempt to</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97" w:name="page98"/>
    <w:bookmarkEnd w:id="97"/>
    <w:p>
      <w:pPr>
        <w:ind w:right="120"/>
        <w:spacing w:after="0" w:line="244" w:lineRule="auto"/>
        <w:rPr>
          <w:sz w:val="20"/>
          <w:szCs w:val="20"/>
          <w:color w:val="auto"/>
        </w:rPr>
      </w:pPr>
      <w:r>
        <w:rPr>
          <w:rFonts w:ascii="Times New Roman" w:cs="Times New Roman" w:eastAsia="Times New Roman" w:hAnsi="Times New Roman"/>
          <w:sz w:val="18"/>
          <w:szCs w:val="18"/>
          <w:color w:val="auto"/>
        </w:rPr>
        <w:t>circumvent our security measures in order to misappropriate regulated, protected, or personally identifiable information, and may purposefully or inadvertently cause a breach involving or compromise of such information. Third parties may have the technology or know-how to breach the security of the information collected, stored, or transmitted by us, and our respective security measures, as well as those of our third-party service providers, may not effectively prohibit others from obtaining improper access to this information. Advances in computer and software capabilities and encryption technology, new tools, and other developments may increase the risk of such a breach or compromise. There is no assurance that any security procedures or controls that we or our third-party providers have implemented will be sufficient to prevent data-security related incidents from occurring.</w:t>
      </w:r>
    </w:p>
    <w:p>
      <w:pPr>
        <w:spacing w:after="0" w:line="114" w:lineRule="exact"/>
        <w:rPr>
          <w:sz w:val="20"/>
          <w:szCs w:val="20"/>
          <w:color w:val="auto"/>
        </w:rPr>
      </w:pPr>
    </w:p>
    <w:p>
      <w:pPr>
        <w:ind w:firstLine="374"/>
        <w:spacing w:after="0" w:line="246" w:lineRule="auto"/>
        <w:rPr>
          <w:sz w:val="20"/>
          <w:szCs w:val="20"/>
          <w:color w:val="auto"/>
        </w:rPr>
      </w:pPr>
      <w:r>
        <w:rPr>
          <w:rFonts w:ascii="Times New Roman" w:cs="Times New Roman" w:eastAsia="Times New Roman" w:hAnsi="Times New Roman"/>
          <w:sz w:val="18"/>
          <w:szCs w:val="18"/>
          <w:color w:val="auto"/>
        </w:rPr>
        <w:t>We may be required to expend significant capital and other resources to protect against, respond to, and recover from any potential, attempted or existing security breaches or failures and their consequences. As data security-related threats continue to evolve, we may be required to expend significant additional resources to continue to modify or enhance our protective measures or to investigate and remediate any information security vulnerabilities. We could be forced to expend significant financial and operational resources in responding to a security breach, including investigating and remediating any information security vulnerabilities, defending against and resolving legal and regulatory claims and complying with notification obligations, all of which could divert resources and the attention of our management and key personnel away from our business operations and adversely affect our business, financial condition and results of operations. In addition, our remediation efforts may not be successful, and we could be unable to implement, maintain and upgrade adequate safeguards.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conditions may adversely affect our business.</w:t>
      </w:r>
    </w:p>
    <w:p>
      <w:pPr>
        <w:spacing w:after="0" w:line="108" w:lineRule="exact"/>
        <w:rPr>
          <w:sz w:val="20"/>
          <w:szCs w:val="20"/>
          <w:color w:val="auto"/>
        </w:rPr>
      </w:pPr>
    </w:p>
    <w:p>
      <w:pPr>
        <w:ind w:right="100" w:firstLine="374"/>
        <w:spacing w:after="0" w:line="246" w:lineRule="auto"/>
        <w:rPr>
          <w:sz w:val="20"/>
          <w:szCs w:val="20"/>
          <w:color w:val="auto"/>
        </w:rPr>
      </w:pPr>
      <w:r>
        <w:rPr>
          <w:rFonts w:ascii="Times New Roman" w:cs="Times New Roman" w:eastAsia="Times New Roman" w:hAnsi="Times New Roman"/>
          <w:sz w:val="18"/>
          <w:szCs w:val="18"/>
          <w:color w:val="auto"/>
        </w:rPr>
        <w:t>Adverse worldwide economic conditions, including those related to the COVID-19 pandemic, may negatively impact our business. A significant change in the liquidity or financial condition of our customers could cause unfavorable trends in their purchases and also in our receivable collections, and additional allowances may be required, which could adversely affect our business, financial condition and results of operations. Adverse worldwide economic conditions may also adversely impact our suppliers’ ability to provide us with materials and components, which could have a material adverse effect on our business, financial condition and results of operations.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and other legal proceedings may adversely affect our business.</w:t>
      </w:r>
    </w:p>
    <w:p>
      <w:pPr>
        <w:spacing w:after="0" w:line="108" w:lineRule="exact"/>
        <w:rPr>
          <w:sz w:val="20"/>
          <w:szCs w:val="20"/>
          <w:color w:val="auto"/>
        </w:rPr>
      </w:pPr>
    </w:p>
    <w:p>
      <w:pPr>
        <w:ind w:right="40" w:firstLine="374"/>
        <w:spacing w:after="0" w:line="244"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relating to patent and other intellectual property matters, product liability claims, employee claims, tort or contract claims, federal regulatory investigations, securities class action and other legal proceedings or investigations, which could have an adverse impact on our reputation, business and financial condition and divert the attention of our management from the operation of our business. 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have a material adverse effect on our business, financial condition and results of operations. Adverse publicity about regulatory or legal action against us could damage our reputation and brand image, undermine our customers’ confidence and reduce long-term demand for our products, even if the regulatory or legal action is unfounded or not material to our operations.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 and financial condition and increase our costs and expenses.</w:t>
      </w:r>
    </w:p>
    <w:p>
      <w:pPr>
        <w:spacing w:after="0" w:line="108" w:lineRule="exact"/>
        <w:rPr>
          <w:sz w:val="20"/>
          <w:szCs w:val="20"/>
          <w:color w:val="auto"/>
        </w:rPr>
      </w:pPr>
    </w:p>
    <w:p>
      <w:pPr>
        <w:ind w:right="60" w:firstLine="374"/>
        <w:spacing w:after="0" w:line="245" w:lineRule="auto"/>
        <w:rPr>
          <w:sz w:val="20"/>
          <w:szCs w:val="20"/>
          <w:color w:val="auto"/>
        </w:rPr>
      </w:pPr>
      <w:r>
        <w:rPr>
          <w:rFonts w:ascii="Times New Roman" w:cs="Times New Roman" w:eastAsia="Times New Roman" w:hAnsi="Times New Roman"/>
          <w:sz w:val="18"/>
          <w:szCs w:val="18"/>
          <w:color w:val="auto"/>
        </w:rPr>
        <w:t>Our operations could be subject to earthquakes, power shortages, telecommunications failures, water shortages, floods, hurricanes, typhoons, fires, severe weather conditions, medical epidemics and other natural or man-made disasters or business interruptions, for which we are predominantly self-insured. We rely on third-party manufacturers to produce our products. Our ability to obtain clinical supplies of our products could be disrupted if the operations of these suppliers were affected by a man-made or natural disaster or other business interruption. In addition, our corporate headquarters is located in Aliso Viejo, California, near major earthquake faults and fire zones, and the ultimate impact on us for being located near major earthquake faults and fire zones and being consolidated in a certain geographical area is unknown. The occurrence of any of these business disruptions could seriously harm our operations and financial condition and increase our costs and expenses.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8" w:name="page99"/>
    <w:bookmarkEnd w:id="98"/>
    <w:p>
      <w:pPr>
        <w:ind w:right="5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could be materially harmed if we are unable to accurately forecast customer demand for our products and manage our inventory.</w:t>
      </w:r>
    </w:p>
    <w:p>
      <w:pPr>
        <w:spacing w:after="0" w:line="50" w:lineRule="exact"/>
        <w:rPr>
          <w:sz w:val="20"/>
          <w:szCs w:val="20"/>
          <w:color w:val="auto"/>
        </w:rPr>
      </w:pPr>
    </w:p>
    <w:p>
      <w:pPr>
        <w:ind w:firstLine="374"/>
        <w:spacing w:after="0" w:line="243" w:lineRule="auto"/>
        <w:rPr>
          <w:sz w:val="20"/>
          <w:szCs w:val="20"/>
          <w:color w:val="auto"/>
        </w:rPr>
      </w:pPr>
      <w:r>
        <w:rPr>
          <w:rFonts w:ascii="Times New Roman" w:cs="Times New Roman" w:eastAsia="Times New Roman" w:hAnsi="Times New Roman"/>
          <w:sz w:val="18"/>
          <w:szCs w:val="18"/>
          <w:color w:val="auto"/>
        </w:rPr>
        <w:t>We seek to maintain sufficient levels of inventory in order to protect ourselves from supply interruptions, but due to the expansion of global lead times, particularly in Europe and Asia, related to the COVID-19 pandemic, has resulted in the lack of availability of raw materials, including semiconductors, computers, monitors electronic parts, metals, packaging, adhesives, resins and subcontract painted components, limiting our ability to maintain as much inventory of components, sub-assemblies, materials and finished products on hand as would be ideal under normal circumstances. To ensure adequate inventory supply and manage our operations with our third-party manufacturers and suppliers, we forecast anticipated materials requirements and demand for our products in order to predict inventory needs and then place orders with our suppliers based on these predictions. Our ability to accurately forecast demand for our products could be negatively affected by many factors, including our limited historical commercial experience, rapid growth, failure to accurately manage our expansion strategy, the expansion of global lead times, product introductions by competitors, an increase or decrease in customer demand for our products, our failure to accurately forecast customer acceptance of new products, unanticipated changes in general market conditions or regulatory matters and weakening of economic conditions or consumer confidence in future economic conditions.</w:t>
      </w:r>
    </w:p>
    <w:p>
      <w:pPr>
        <w:spacing w:after="0" w:line="118" w:lineRule="exact"/>
        <w:rPr>
          <w:sz w:val="20"/>
          <w:szCs w:val="20"/>
          <w:color w:val="auto"/>
        </w:rPr>
      </w:pPr>
    </w:p>
    <w:p>
      <w:pPr>
        <w:ind w:right="60" w:firstLine="374"/>
        <w:spacing w:after="0" w:line="244" w:lineRule="auto"/>
        <w:rPr>
          <w:sz w:val="20"/>
          <w:szCs w:val="20"/>
          <w:color w:val="auto"/>
        </w:rPr>
      </w:pPr>
      <w:r>
        <w:rPr>
          <w:rFonts w:ascii="Times New Roman" w:cs="Times New Roman" w:eastAsia="Times New Roman" w:hAnsi="Times New Roman"/>
          <w:sz w:val="18"/>
          <w:szCs w:val="18"/>
          <w:color w:val="auto"/>
        </w:rPr>
        <w:t>Inventory levels in excess of customer demand, including as a result of our introduction of product enhancements, may result in a portion of our inventory becoming obsolete or expiring, as well as inventory write-downs or write-offs, which could have a material adverse effect on our business, financial condition and results of operations. Conversely, if we underestimate customer demand for our products or our own requirements for components, subassemblies and materials, our third-party manufacturers and suppliers may not be able to deliver components, sub-assemblies and materials to meet our requirements, which could result in inadequate inventory levels or interruptions, delays or cancellations of deliveries to our customers, any of which would damage our reputation, customer relationships and business. In addition, several components, sub-assemblies and materials incorporated into our products require lengthy order lead times, and additional supplies or materials may not be available when required on terms that are acceptable to us, or at all, and our third-party manufacturers and suppliers may not be able to allocate sufficient capacity in order to meet our increased requirements, any of which could have an adverse effect on our ability to meet customer demand for our products and our business, financial condition and results of operations.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66" w:lineRule="exact"/>
        <w:rPr>
          <w:sz w:val="20"/>
          <w:szCs w:val="20"/>
          <w:color w:val="auto"/>
        </w:rPr>
      </w:pPr>
    </w:p>
    <w:p>
      <w:pPr>
        <w:ind w:left="380" w:right="8060" w:hanging="372"/>
        <w:spacing w:after="0" w:line="318" w:lineRule="auto"/>
        <w:tabs>
          <w:tab w:leader="none" w:pos="261" w:val="left"/>
        </w:tabs>
        <w:numPr>
          <w:ilvl w:val="0"/>
          <w:numId w:val="5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Recent Sales of Unregistered Securities </w:t>
      </w:r>
      <w:r>
        <w:rPr>
          <w:rFonts w:ascii="Times New Roman" w:cs="Times New Roman" w:eastAsia="Times New Roman" w:hAnsi="Times New Roman"/>
          <w:sz w:val="18"/>
          <w:szCs w:val="18"/>
          <w:color w:val="auto"/>
        </w:rPr>
        <w:t>None</w:t>
      </w:r>
    </w:p>
    <w:p>
      <w:pPr>
        <w:spacing w:after="0" w:line="193" w:lineRule="exact"/>
        <w:rPr>
          <w:rFonts w:ascii="Times New Roman" w:cs="Times New Roman" w:eastAsia="Times New Roman" w:hAnsi="Times New Roman"/>
          <w:sz w:val="18"/>
          <w:szCs w:val="18"/>
          <w:b w:val="1"/>
          <w:bCs w:val="1"/>
          <w:i w:val="1"/>
          <w:iCs w:val="1"/>
          <w:color w:val="auto"/>
        </w:rPr>
      </w:pPr>
    </w:p>
    <w:p>
      <w:pPr>
        <w:ind w:left="260" w:hanging="252"/>
        <w:spacing w:after="0"/>
        <w:tabs>
          <w:tab w:leader="none" w:pos="260" w:val="left"/>
        </w:tabs>
        <w:numPr>
          <w:ilvl w:val="0"/>
          <w:numId w:val="5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Use of Proceeds from Registered Securities</w:t>
      </w:r>
    </w:p>
    <w:p>
      <w:pPr>
        <w:spacing w:after="0" w:line="283" w:lineRule="exact"/>
        <w:rPr>
          <w:sz w:val="20"/>
          <w:szCs w:val="20"/>
          <w:color w:val="auto"/>
        </w:rPr>
      </w:pPr>
    </w:p>
    <w:p>
      <w:pPr>
        <w:ind w:firstLine="374"/>
        <w:spacing w:after="0" w:line="250" w:lineRule="auto"/>
        <w:rPr>
          <w:sz w:val="20"/>
          <w:szCs w:val="20"/>
          <w:color w:val="auto"/>
        </w:rPr>
      </w:pPr>
      <w:r>
        <w:rPr>
          <w:rFonts w:ascii="Times New Roman" w:cs="Times New Roman" w:eastAsia="Times New Roman" w:hAnsi="Times New Roman"/>
          <w:sz w:val="18"/>
          <w:szCs w:val="18"/>
          <w:color w:val="auto"/>
        </w:rPr>
        <w:t>On August 3, 2021, we completed our IPO, with a subsequent partial exercise of the underwriter’s over-allotment option to purchase additional shares. We issued and sold an aggregate of 8,248,549 shares of common stock, par value $0.001 per share, at an offering price of $16.00 per share. We received aggregate net proceeds of approximately $119.6 million, after deducting underwriters' discounts and commissions of $9.2 million and offering expenses of $3.2 million.</w:t>
      </w:r>
    </w:p>
    <w:p>
      <w:pPr>
        <w:spacing w:after="0" w:line="110" w:lineRule="exact"/>
        <w:rPr>
          <w:sz w:val="20"/>
          <w:szCs w:val="20"/>
          <w:color w:val="auto"/>
        </w:rPr>
      </w:pPr>
    </w:p>
    <w:p>
      <w:pPr>
        <w:ind w:right="80" w:firstLine="374"/>
        <w:spacing w:after="0" w:line="250" w:lineRule="auto"/>
        <w:rPr>
          <w:sz w:val="20"/>
          <w:szCs w:val="20"/>
          <w:color w:val="auto"/>
        </w:rPr>
      </w:pPr>
      <w:r>
        <w:rPr>
          <w:rFonts w:ascii="Times New Roman" w:cs="Times New Roman" w:eastAsia="Times New Roman" w:hAnsi="Times New Roman"/>
          <w:sz w:val="18"/>
          <w:szCs w:val="18"/>
          <w:color w:val="auto"/>
        </w:rPr>
        <w:t>There has been no material change in the planned use of the IPO proceeds as described in our prospectus dated July 29, 2021, as filed with the SEC pursuant to Rule 424(b) under the Securities Act (File No. 333-257790). From the effective date of the IPO registration statement through March 31, 2022, we have used the net proceeds of the offering to expand our sales force, customer support and operations and increase our research and development activities.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99" w:name="page100"/>
    <w:bookmarkEnd w:id="99"/>
    <w:p>
      <w:pPr>
        <w:ind w:left="760" w:right="8120" w:hanging="707"/>
        <w:spacing w:after="0" w:line="399" w:lineRule="auto"/>
        <w:tabs>
          <w:tab w:leader="none" w:pos="301" w:val="left"/>
        </w:tabs>
        <w:numPr>
          <w:ilvl w:val="0"/>
          <w:numId w:val="5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Issuer Purchases of Equity Securities </w:t>
      </w:r>
      <w:r>
        <w:rPr>
          <w:rFonts w:ascii="Times New Roman" w:cs="Times New Roman" w:eastAsia="Times New Roman" w:hAnsi="Times New Roman"/>
          <w:sz w:val="18"/>
          <w:szCs w:val="18"/>
          <w:color w:val="auto"/>
        </w:rPr>
        <w:t>None.</w:t>
      </w: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Amended Term Loan with Oxford Finance, LLC</w:t>
      </w:r>
    </w:p>
    <w:p>
      <w:pPr>
        <w:spacing w:after="0" w:line="121" w:lineRule="exact"/>
        <w:rPr>
          <w:sz w:val="20"/>
          <w:szCs w:val="20"/>
          <w:color w:val="auto"/>
        </w:rPr>
      </w:pPr>
    </w:p>
    <w:p>
      <w:pPr>
        <w:ind w:firstLine="374"/>
        <w:spacing w:after="0" w:line="241" w:lineRule="auto"/>
        <w:rPr>
          <w:sz w:val="20"/>
          <w:szCs w:val="20"/>
          <w:color w:val="auto"/>
        </w:rPr>
      </w:pPr>
      <w:r>
        <w:rPr>
          <w:rFonts w:ascii="Times New Roman" w:cs="Times New Roman" w:eastAsia="Times New Roman" w:hAnsi="Times New Roman"/>
          <w:sz w:val="18"/>
          <w:szCs w:val="18"/>
          <w:color w:val="auto"/>
        </w:rPr>
        <w:t>On May 3, 2022, we entered into a Second Amendment the (“Second Amendment”) to our existing loan and security agreement (as amended through the Second Amendment, the (“Amended Term Loan”) dated as of October 29, 2020 (“Term Loan”), with Oxford Finance LLC, (“Oxford Finance”), as the lender and collateral agent thereunder. The Amended Term Loan increased the loan and security agreement to $60.0 million, of which $40.0 million was fully funded as of May 3, 2022. Under the Amended Term Loan, we may borrow an additional term loan of up to $10.0 million through June 30, 2023, provided we satisfy the applicable drawdown conditions and achieve trailing twelve-month sales revenues of not less than $40,000,000 for the measurement period ending February 28, 2023, the measurement period ending March 31, 2023 or the measurement period ending April 30, 2023. Subject to the terms and conditions of the Amended Term Loan, we may also borrow another term loan of up to $10.0 million through September 30, 2023, provided we satisfy the applicable drawdown conditions and achieve trailing twelve-month sales revenues of not less than $50.0 million for the measurement period ending May 31, 2023, the measurement period ending June 30, 2023 or the measurement period ending July 31, 2023. The Amended Term Loan bears interest at a rate per annum equal to the greater of (i) 9.25% or (ii) 1-Month Term SOFR (or, if greater, 0.16%) plus an applicable margin of 9.09%. If an event of default under the Amended Term Loan is continuing, additional interest of 5% applies. The Amended Term Loan extends the maturity date of the loan and security agreement, which was due to expire on October 1, 2025, to February 1, 2027. We refer to our $60 million Amended Term Loan as our credit facility.</w:t>
      </w:r>
    </w:p>
    <w:p>
      <w:pPr>
        <w:spacing w:after="0" w:line="92" w:lineRule="exact"/>
        <w:rPr>
          <w:sz w:val="20"/>
          <w:szCs w:val="20"/>
          <w:color w:val="auto"/>
        </w:rPr>
      </w:pPr>
    </w:p>
    <w:p>
      <w:pPr>
        <w:ind w:right="20" w:firstLine="374"/>
        <w:spacing w:after="0" w:line="246" w:lineRule="auto"/>
        <w:rPr>
          <w:sz w:val="20"/>
          <w:szCs w:val="20"/>
          <w:color w:val="auto"/>
        </w:rPr>
      </w:pPr>
      <w:r>
        <w:rPr>
          <w:rFonts w:ascii="Times New Roman" w:cs="Times New Roman" w:eastAsia="Times New Roman" w:hAnsi="Times New Roman"/>
          <w:sz w:val="18"/>
          <w:szCs w:val="18"/>
          <w:color w:val="auto"/>
        </w:rPr>
        <w:t>The Amended Term Loan is secured by substantially all of our personal property other than our intellectual property, but includes any accounts receivable, other amounts owed and any proceeds of intellectual property. We also entered into a negative pledge arrangement with the collateral agent and lenders where we agreed not to encumber any of our intellectual property. The Amended Term Loan also includes certain customary representations and warranties, affirmative and negative covenants, and events of default, including a financial performance to plan covenant that requires us to achieve certain minimum net sales revenues, measured on a trailing twelve month basis, as set forth in the Second Amendment.</w:t>
      </w:r>
    </w:p>
    <w:p>
      <w:pPr>
        <w:spacing w:after="0" w:line="73" w:lineRule="exact"/>
        <w:rPr>
          <w:sz w:val="20"/>
          <w:szCs w:val="20"/>
          <w:color w:val="auto"/>
        </w:rPr>
      </w:pPr>
    </w:p>
    <w:p>
      <w:pPr>
        <w:ind w:right="40" w:firstLine="374"/>
        <w:spacing w:after="0" w:line="242" w:lineRule="auto"/>
        <w:rPr>
          <w:sz w:val="20"/>
          <w:szCs w:val="20"/>
          <w:color w:val="auto"/>
        </w:rPr>
      </w:pPr>
      <w:r>
        <w:rPr>
          <w:rFonts w:ascii="Times New Roman" w:cs="Times New Roman" w:eastAsia="Times New Roman" w:hAnsi="Times New Roman"/>
          <w:sz w:val="18"/>
          <w:szCs w:val="18"/>
          <w:color w:val="auto"/>
        </w:rPr>
        <w:t>The Amended Term Loan requires 36 months of interest-only payments, followed by 22-months of amortization. If we are in compliance with our performance to plan covenant through April 1, 2025 and have not provided an IP lien election notice before May 1, 2025, the interest-only period is extended by 12 months, and the amortization period is reduced to nine months. Payments are due on the first day of each month in arrears. All unpaid amounts under the Amended Term Loan mature on February 1, 2027. We may elect to prepay the loans under the credit facility at any time in full or in part; however, we may only elect to prepay the loans in part once, in an amount not less than $5.0 million. Any amounts prepaid may not be subsequently reborrowed. Under the Amended Term Loan, a final payment (the “Final Payment”) will be due at the earlier of the maturity date, acceleration of the loans, or a voluntary or mandatory prepayment of the loans, in an amount equal to (a) if the Final Payment is due on or after January 1, 2022 through and including October 31, 2022, three percent (3.00%) of the original principal amount (or, in the case of a partial prepayment, the amount of principal to be prepaid) of the loans, (b) if the Final Payment is due on or after November 1, 2022 through and including October 31, 2023, four percent (4.00%) of the original principal amount (or, in the case of a partial prepayment, the amount of principal to be prepaid) of the loans, and (c) if the Final Payment is due on or after November 1, 2023, five percent (5.00%) of the original principal amount (or, in the case of a partial prepayment, the amount of principal to be prepaid) of the loans. The Final Payment is being accreted to the carrying value of the debt as a debt premium and interest expense over the life of the loan using the effective interest method.</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100" w:name="page101"/>
    <w:bookmarkEnd w:id="100"/>
    <w:p>
      <w:pPr>
        <w:jc w:val="both"/>
        <w:ind w:right="20" w:firstLine="374"/>
        <w:spacing w:after="0" w:line="250" w:lineRule="auto"/>
        <w:rPr>
          <w:sz w:val="20"/>
          <w:szCs w:val="20"/>
          <w:color w:val="auto"/>
        </w:rPr>
      </w:pPr>
      <w:r>
        <w:rPr>
          <w:rFonts w:ascii="Times New Roman" w:cs="Times New Roman" w:eastAsia="Times New Roman" w:hAnsi="Times New Roman"/>
          <w:sz w:val="18"/>
          <w:szCs w:val="18"/>
          <w:color w:val="auto"/>
        </w:rPr>
        <w:t>We are required to pay an amendment fee of $125,000 to the lenders that is directly attributable to execution of the Amended Term Loan transaction. These issuance costs will be recorded as a discount to the carrying amount of the debt and will be amortized to interest expense over the effective term of the debt using the effective interest method. The loans may be accelerated by Oxford Finance in the event of a default.</w:t>
      </w:r>
    </w:p>
    <w:p>
      <w:pPr>
        <w:spacing w:after="0" w:line="82"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A copy of the Second Amendment is attached hereto as Exhibit 10.3. The foregoing description of the Second Amendment and Amended Term Loan do not purport to be complete and are qualified in their entirety by reference to the Second Amendment.</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This disclosure is provided in this Part II, Item 5 in lieu of disclosure under Items 1.01(a) and 2.03(a) of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 unless otherwise stated.</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0" w:type="dxa"/>
            <w:vAlign w:val="bottom"/>
            <w:vMerge w:val="restart"/>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00" w:type="dxa"/>
            <w:vAlign w:val="bottom"/>
            <w:gridSpan w:val="11"/>
          </w:tcPr>
          <w:p>
            <w:pPr>
              <w:ind w:left="5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340" w:type="dxa"/>
            <w:vAlign w:val="bottom"/>
          </w:tcPr>
          <w:p>
            <w:pPr>
              <w:spacing w:after="0"/>
              <w:rPr>
                <w:sz w:val="20"/>
                <w:szCs w:val="20"/>
                <w:color w:val="auto"/>
              </w:rPr>
            </w:pPr>
          </w:p>
        </w:tc>
        <w:tc>
          <w:tcPr>
            <w:tcW w:w="20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Incorporated by Reference</w:t>
            </w: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80" w:type="dxa"/>
            <w:vAlign w:val="bottom"/>
            <w:tcBorders>
              <w:bottom w:val="single" w:sz="8" w:color="auto"/>
            </w:tcBorders>
            <w:gridSpan w:val="4"/>
            <w:vMerge w:val="continue"/>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2060" w:type="dxa"/>
            <w:vAlign w:val="bottom"/>
            <w:gridSpan w:val="11"/>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Form</w:t>
            </w:r>
          </w:p>
        </w:tc>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60" w:type="dxa"/>
            <w:vAlign w:val="bottom"/>
          </w:tcPr>
          <w:p>
            <w:pPr>
              <w:spacing w:after="0"/>
              <w:rPr>
                <w:sz w:val="21"/>
                <w:szCs w:val="21"/>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Filing Date</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4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20"/>
                <w:szCs w:val="20"/>
                <w:color w:val="auto"/>
              </w:rPr>
            </w:pPr>
          </w:p>
        </w:tc>
        <w:tc>
          <w:tcPr>
            <w:tcW w:w="50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Sublease, dated as of April 4, 2022, by and between the Registrant</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0" w:type="dxa"/>
            <w:vAlign w:val="bottom"/>
            <w:tcBorders>
              <w:bottom w:val="single" w:sz="8" w:color="0000FF"/>
            </w:tcBorders>
            <w:gridSpan w:val="15"/>
          </w:tcPr>
          <w:p>
            <w:pPr>
              <w:spacing w:after="0" w:line="169" w:lineRule="exact"/>
              <w:rPr>
                <w:sz w:val="20"/>
                <w:szCs w:val="20"/>
                <w:color w:val="auto"/>
              </w:rPr>
            </w:pPr>
            <w:r>
              <w:rPr>
                <w:rFonts w:ascii="Times New Roman" w:cs="Times New Roman" w:eastAsia="Times New Roman" w:hAnsi="Times New Roman"/>
                <w:sz w:val="18"/>
                <w:szCs w:val="18"/>
                <w:color w:val="0000FF"/>
                <w:w w:val="99"/>
              </w:rPr>
              <w:t>and Compass Bible Church for premises located at 5 Columbia, Aliso</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0" w:type="dxa"/>
            <w:vAlign w:val="bottom"/>
            <w:gridSpan w:val="15"/>
          </w:tcPr>
          <w:p>
            <w:pPr>
              <w:spacing w:after="0" w:line="169" w:lineRule="exact"/>
              <w:rPr>
                <w:sz w:val="20"/>
                <w:szCs w:val="20"/>
                <w:color w:val="auto"/>
              </w:rPr>
            </w:pPr>
            <w:r>
              <w:rPr>
                <w:rFonts w:ascii="Times New Roman" w:cs="Times New Roman" w:eastAsia="Times New Roman" w:hAnsi="Times New Roman"/>
                <w:sz w:val="18"/>
                <w:szCs w:val="18"/>
                <w:color w:val="0000FF"/>
              </w:rPr>
              <w:t>Viejo, California 92656.</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gridSpan w:val="3"/>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24"/>
                <w:szCs w:val="24"/>
                <w:color w:val="auto"/>
              </w:rPr>
            </w:pPr>
          </w:p>
        </w:tc>
        <w:tc>
          <w:tcPr>
            <w:tcW w:w="50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Lease Addendum, dated as of April 5, 2022, by and between the</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60" w:type="dxa"/>
            <w:vAlign w:val="bottom"/>
            <w:tcBorders>
              <w:top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FF"/>
              </w:rPr>
              <w:t>Registrant and Clifford D. Downs for premises located at 5</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60" w:type="dxa"/>
            <w:vAlign w:val="bottom"/>
            <w:tcBorders>
              <w:top w:val="single" w:sz="8" w:color="0000FF"/>
              <w:bottom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w w:val="98"/>
              </w:rPr>
              <w:t>Columbia, Aliso Viejo, California 92656.</w:t>
            </w:r>
          </w:p>
        </w:tc>
        <w:tc>
          <w:tcPr>
            <w:tcW w:w="20" w:type="dxa"/>
            <w:vAlign w:val="bottom"/>
            <w:tcBorders>
              <w:top w:val="single" w:sz="8" w:color="0000FF"/>
              <w:bottom w:val="single" w:sz="8" w:color="0000EE"/>
            </w:tcBorders>
          </w:tcPr>
          <w:p>
            <w:pPr>
              <w:spacing w:after="0"/>
              <w:rPr>
                <w:sz w:val="14"/>
                <w:szCs w:val="14"/>
                <w:color w:val="auto"/>
              </w:rPr>
            </w:pPr>
          </w:p>
        </w:tc>
        <w:tc>
          <w:tcPr>
            <w:tcW w:w="1300" w:type="dxa"/>
            <w:vAlign w:val="bottom"/>
            <w:tcBorders>
              <w:top w:val="single" w:sz="8" w:color="0000FF"/>
            </w:tcBorders>
            <w:gridSpan w:val="2"/>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24"/>
                <w:szCs w:val="24"/>
                <w:color w:val="auto"/>
              </w:rPr>
            </w:pPr>
          </w:p>
        </w:tc>
        <w:tc>
          <w:tcPr>
            <w:tcW w:w="50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Second Amendment to Loan and Security Agreement, by and among</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980" w:type="dxa"/>
            <w:vAlign w:val="bottom"/>
            <w:tcBorders>
              <w:top w:val="single" w:sz="8" w:color="0000FF"/>
            </w:tcBorders>
            <w:gridSpan w:val="14"/>
          </w:tcPr>
          <w:p>
            <w:pPr>
              <w:spacing w:after="0" w:line="169" w:lineRule="exact"/>
              <w:rPr>
                <w:sz w:val="20"/>
                <w:szCs w:val="20"/>
                <w:color w:val="auto"/>
              </w:rPr>
            </w:pPr>
            <w:r>
              <w:rPr>
                <w:rFonts w:ascii="Times New Roman" w:cs="Times New Roman" w:eastAsia="Times New Roman" w:hAnsi="Times New Roman"/>
                <w:sz w:val="18"/>
                <w:szCs w:val="18"/>
                <w:color w:val="0000FF"/>
              </w:rPr>
              <w:t>the Registrant, Oxford Finance LLC, as collateral agent, and the</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40" w:type="dxa"/>
            <w:vAlign w:val="bottom"/>
            <w:tcBorders>
              <w:top w:val="single" w:sz="8" w:color="0000FF"/>
            </w:tcBorders>
            <w:gridSpan w:val="9"/>
          </w:tcPr>
          <w:p>
            <w:pPr>
              <w:spacing w:after="0" w:line="169" w:lineRule="exact"/>
              <w:rPr>
                <w:sz w:val="20"/>
                <w:szCs w:val="20"/>
                <w:color w:val="auto"/>
              </w:rPr>
            </w:pPr>
            <w:r>
              <w:rPr>
                <w:rFonts w:ascii="Times New Roman" w:cs="Times New Roman" w:eastAsia="Times New Roman" w:hAnsi="Times New Roman"/>
                <w:sz w:val="18"/>
                <w:szCs w:val="18"/>
                <w:color w:val="0000FF"/>
              </w:rPr>
              <w:t>lenders party thereto, dated as of May 3, 2022.</w:t>
            </w:r>
          </w:p>
        </w:tc>
        <w:tc>
          <w:tcPr>
            <w:tcW w:w="1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gridSpan w:val="3"/>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1960" w:type="dxa"/>
            <w:vAlign w:val="bottom"/>
            <w:tcBorders>
              <w:right w:val="single" w:sz="8" w:color="0000EE"/>
            </w:tcBorders>
            <w:gridSpan w:val="6"/>
            <w:shd w:val="clear" w:color="auto" w:fill="0000FF"/>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24"/>
                <w:szCs w:val="24"/>
                <w:color w:val="auto"/>
              </w:rPr>
            </w:pPr>
          </w:p>
        </w:tc>
        <w:tc>
          <w:tcPr>
            <w:tcW w:w="50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360" w:type="dxa"/>
            <w:vAlign w:val="bottom"/>
            <w:tcBorders>
              <w:right w:val="single" w:sz="8" w:color="0000FF"/>
            </w:tcBorders>
            <w:gridSpan w:val="10"/>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E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780" w:type="dxa"/>
            <w:vAlign w:val="bottom"/>
            <w:gridSpan w:val="12"/>
          </w:tcPr>
          <w:p>
            <w:pPr>
              <w:spacing w:after="0" w:line="182" w:lineRule="exact"/>
              <w:rPr>
                <w:sz w:val="20"/>
                <w:szCs w:val="20"/>
                <w:color w:val="auto"/>
              </w:rPr>
            </w:pPr>
            <w:r>
              <w:rPr>
                <w:rFonts w:ascii="Times New Roman" w:cs="Times New Roman" w:eastAsia="Times New Roman" w:hAnsi="Times New Roman"/>
                <w:sz w:val="18"/>
                <w:szCs w:val="18"/>
                <w:color w:val="0000FF"/>
                <w:w w:val="98"/>
              </w:rPr>
              <w:t>14(a) and 15d-14(a) under the Securities Exchange Act of 1934, as</w:t>
            </w:r>
          </w:p>
        </w:tc>
        <w:tc>
          <w:tcPr>
            <w:tcW w:w="40" w:type="dxa"/>
            <w:vAlign w:val="bottom"/>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360" w:type="dxa"/>
            <w:vAlign w:val="bottom"/>
            <w:tcBorders>
              <w:right w:val="single" w:sz="8" w:color="0000FF"/>
            </w:tcBorders>
            <w:gridSpan w:val="10"/>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0" w:type="dxa"/>
            <w:vAlign w:val="bottom"/>
            <w:tcBorders>
              <w:bottom w:val="single" w:sz="8" w:color="0000EE"/>
            </w:tcBorders>
            <w:gridSpan w:val="15"/>
          </w:tcPr>
          <w:p>
            <w:pPr>
              <w:spacing w:after="0" w:line="182"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6"/>
        </w:trPr>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24"/>
                <w:szCs w:val="24"/>
                <w:color w:val="auto"/>
              </w:rPr>
            </w:pPr>
          </w:p>
        </w:tc>
        <w:tc>
          <w:tcPr>
            <w:tcW w:w="50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360" w:type="dxa"/>
            <w:vAlign w:val="bottom"/>
            <w:tcBorders>
              <w:right w:val="single" w:sz="8" w:color="0000EE"/>
            </w:tcBorders>
            <w:gridSpan w:val="10"/>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0" w:type="dxa"/>
            <w:vAlign w:val="bottom"/>
            <w:gridSpan w:val="15"/>
          </w:tcPr>
          <w:p>
            <w:pPr>
              <w:spacing w:after="0" w:line="182" w:lineRule="exact"/>
              <w:rPr>
                <w:sz w:val="20"/>
                <w:szCs w:val="20"/>
                <w:color w:val="auto"/>
              </w:rPr>
            </w:pPr>
            <w:r>
              <w:rPr>
                <w:rFonts w:ascii="Times New Roman" w:cs="Times New Roman" w:eastAsia="Times New Roman" w:hAnsi="Times New Roman"/>
                <w:sz w:val="18"/>
                <w:szCs w:val="18"/>
                <w:color w:val="0000FF"/>
              </w:rPr>
              <w:t>14(a) and 15d-14(a) under the Securities Exchange Act of 1934, as</w:t>
            </w: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360" w:type="dxa"/>
            <w:vAlign w:val="bottom"/>
            <w:tcBorders>
              <w:right w:val="single" w:sz="8" w:color="0000FF"/>
            </w:tcBorders>
            <w:gridSpan w:val="10"/>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0" w:type="dxa"/>
            <w:vAlign w:val="bottom"/>
            <w:tcBorders>
              <w:bottom w:val="single" w:sz="8" w:color="0000EE"/>
            </w:tcBorders>
            <w:gridSpan w:val="15"/>
          </w:tcPr>
          <w:p>
            <w:pPr>
              <w:spacing w:after="0" w:line="182"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6"/>
        </w:trPr>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32.1†</w:t>
            </w:r>
          </w:p>
        </w:tc>
        <w:tc>
          <w:tcPr>
            <w:tcW w:w="50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360" w:type="dxa"/>
            <w:vAlign w:val="bottom"/>
            <w:tcBorders>
              <w:right w:val="single" w:sz="8" w:color="0000FF"/>
            </w:tcBorders>
            <w:gridSpan w:val="10"/>
            <w:shd w:val="clear" w:color="auto" w:fill="0000FF"/>
          </w:tcPr>
          <w:p>
            <w:pPr>
              <w:spacing w:after="0" w:line="20" w:lineRule="exact"/>
              <w:rPr>
                <w:sz w:val="1"/>
                <w:szCs w:val="1"/>
                <w:color w:val="auto"/>
              </w:rPr>
            </w:pPr>
          </w:p>
        </w:tc>
        <w:tc>
          <w:tcPr>
            <w:tcW w:w="80" w:type="dxa"/>
            <w:vAlign w:val="bottom"/>
            <w:tcBorders>
              <w:left w:val="single" w:sz="8" w:color="0000FF"/>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20" w:type="dxa"/>
            <w:vAlign w:val="bottom"/>
            <w:tcBorders>
              <w:bottom w:val="single" w:sz="8" w:color="0000FF"/>
            </w:tcBorders>
            <w:gridSpan w:val="13"/>
          </w:tcPr>
          <w:p>
            <w:pPr>
              <w:spacing w:after="0" w:line="182" w:lineRule="exact"/>
              <w:rPr>
                <w:sz w:val="20"/>
                <w:szCs w:val="20"/>
                <w:color w:val="auto"/>
              </w:rPr>
            </w:pPr>
            <w:r>
              <w:rPr>
                <w:rFonts w:ascii="Times New Roman" w:cs="Times New Roman" w:eastAsia="Times New Roman" w:hAnsi="Times New Roman"/>
                <w:sz w:val="18"/>
                <w:szCs w:val="18"/>
                <w:color w:val="0000FF"/>
                <w:w w:val="99"/>
              </w:rPr>
              <w:t>Section 1350, as Adopted Pursuant to Section 906 of the Sarbanes-</w:t>
            </w:r>
          </w:p>
        </w:tc>
        <w:tc>
          <w:tcPr>
            <w:tcW w:w="180" w:type="dxa"/>
            <w:vAlign w:val="bottom"/>
            <w:gridSpan w:val="2"/>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20" w:type="dxa"/>
            <w:vAlign w:val="bottom"/>
            <w:gridSpan w:val="13"/>
          </w:tcPr>
          <w:p>
            <w:pPr>
              <w:spacing w:after="0" w:line="182" w:lineRule="exact"/>
              <w:rPr>
                <w:sz w:val="20"/>
                <w:szCs w:val="20"/>
                <w:color w:val="auto"/>
              </w:rPr>
            </w:pPr>
            <w:r>
              <w:rPr>
                <w:rFonts w:ascii="Times New Roman" w:cs="Times New Roman" w:eastAsia="Times New Roman" w:hAnsi="Times New Roman"/>
                <w:sz w:val="18"/>
                <w:szCs w:val="18"/>
                <w:color w:val="0000FF"/>
              </w:rPr>
              <w:t>Oxley Act of 2002.</w:t>
            </w:r>
          </w:p>
        </w:tc>
        <w:tc>
          <w:tcPr>
            <w:tcW w:w="180" w:type="dxa"/>
            <w:vAlign w:val="bottom"/>
            <w:gridSpan w:val="2"/>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900"/>
          </w:cols>
          <w:pgMar w:left="320" w:top="509" w:right="679" w:bottom="1440" w:gutter="0" w:footer="0" w:header="0"/>
        </w:sectPr>
      </w:pPr>
    </w:p>
    <w:p>
      <w:pPr>
        <w:spacing w:after="0" w:line="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101.INS</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101.SCH</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101.CAL</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101.DEF</w:t>
      </w:r>
    </w:p>
    <w:p>
      <w:pPr>
        <w:spacing w:after="0" w:line="1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101.LAB</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Principal Financial Officer Pursuant to 18 U.S.C.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30060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00609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Section 1350, as Adopted Pursuant to Section 906 of the Sarbanes-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wp:posOffset>
            </wp:positionV>
            <wp:extent cx="306197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06197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88201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82015"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 within the Inline XBRL document.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p>
      <w:pPr>
        <w:spacing w:after="0" w:line="213" w:lineRule="exact"/>
        <w:rPr>
          <w:sz w:val="20"/>
          <w:szCs w:val="20"/>
          <w:color w:val="auto"/>
        </w:rPr>
      </w:pPr>
    </w:p>
    <w:p>
      <w:pPr>
        <w:sectPr>
          <w:pgSz w:w="11900" w:h="16838" w:orient="portrait"/>
          <w:cols w:equalWidth="0" w:num="2">
            <w:col w:w="700" w:space="300"/>
            <w:col w:w="9900"/>
          </w:cols>
          <w:pgMar w:left="320" w:top="509" w:right="67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509" w:right="679" w:bottom="1440" w:gutter="0" w:footer="0" w:header="0"/>
          <w:type w:val="continuous"/>
        </w:sectPr>
      </w:pPr>
    </w:p>
    <w:bookmarkStart w:id="102" w:name="page103"/>
    <w:bookmarkEnd w:id="102"/>
    <w:p>
      <w:pPr>
        <w:ind w:left="20"/>
        <w:spacing w:after="0"/>
        <w:tabs>
          <w:tab w:leader="none" w:pos="980" w:val="left"/>
        </w:tabs>
        <w:rPr>
          <w:sz w:val="20"/>
          <w:szCs w:val="20"/>
          <w:color w:val="auto"/>
        </w:rPr>
      </w:pPr>
      <w:r>
        <w:rPr>
          <w:rFonts w:ascii="Times New Roman" w:cs="Times New Roman" w:eastAsia="Times New Roman" w:hAnsi="Times New Roman"/>
          <w:sz w:val="18"/>
          <w:szCs w:val="18"/>
          <w:color w:val="auto"/>
        </w:rPr>
        <w:t>101.PRE</w:t>
      </w:r>
      <w:r>
        <w:rPr>
          <w:sz w:val="20"/>
          <w:szCs w:val="20"/>
          <w:color w:val="auto"/>
        </w:rPr>
        <w:tab/>
      </w:r>
      <w:r>
        <w:rPr>
          <w:rFonts w:ascii="Times New Roman" w:cs="Times New Roman" w:eastAsia="Times New Roman" w:hAnsi="Times New Roman"/>
          <w:sz w:val="17"/>
          <w:szCs w:val="17"/>
          <w:color w:val="auto"/>
        </w:rPr>
        <w:t>Inline XBRL Taxonomy Extension Presentation Linkbase Document.</w:t>
      </w:r>
    </w:p>
    <w:p>
      <w:pPr>
        <w:spacing w:after="0" w:line="198" w:lineRule="exact"/>
        <w:rPr>
          <w:sz w:val="20"/>
          <w:szCs w:val="20"/>
          <w:color w:val="auto"/>
        </w:rPr>
      </w:pPr>
    </w:p>
    <w:p>
      <w:pPr>
        <w:ind w:left="1000" w:hanging="979"/>
        <w:spacing w:after="0"/>
        <w:tabs>
          <w:tab w:leader="none" w:pos="10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8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190309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84" w:lineRule="exact"/>
        <w:rPr>
          <w:sz w:val="20"/>
          <w:szCs w:val="20"/>
          <w:color w:val="auto"/>
        </w:rPr>
      </w:pPr>
    </w:p>
    <w:p>
      <w:pPr>
        <w:ind w:firstLine="8"/>
        <w:spacing w:after="0" w:line="297" w:lineRule="auto"/>
        <w:tabs>
          <w:tab w:leader="none" w:pos="14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the exhibit have been omitted pursuant to Item 601(b)(10) of Regulation S-K. The Company agrees to furnish to the Securities and Exchange Commission a copy of any omitted portions of the exhibit upon request.</w:t>
      </w:r>
    </w:p>
    <w:p>
      <w:pPr>
        <w:spacing w:after="0" w:line="28" w:lineRule="exact"/>
        <w:rPr>
          <w:sz w:val="20"/>
          <w:szCs w:val="20"/>
          <w:color w:val="auto"/>
        </w:rPr>
      </w:pPr>
    </w:p>
    <w:p>
      <w:pPr>
        <w:ind w:right="100" w:firstLine="8"/>
        <w:spacing w:after="0" w:line="276" w:lineRule="auto"/>
        <w:tabs>
          <w:tab w:leader="none" w:pos="13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and 32.2 that accompany this Quarterly Report on Form 10-Q are deemed furnished and not filed with the Securities and Exchange Commission and are not to be incorporated by reference into any filing of RxSight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28543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99" w:right="41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342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RxSight, Inc.</w:t>
            </w:r>
          </w:p>
        </w:tc>
        <w:tc>
          <w:tcPr>
            <w:tcW w:w="4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Date: May 5, 2022</w:t>
            </w:r>
          </w:p>
        </w:tc>
        <w:tc>
          <w:tcPr>
            <w:tcW w:w="342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430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/s/ Ron Kurtz, M.D.</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4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4300" w:type="dxa"/>
            <w:vAlign w:val="bottom"/>
            <w:tcBorders>
              <w:top w:val="single" w:sz="8" w:color="auto"/>
            </w:tcBorders>
          </w:tcPr>
          <w:p>
            <w:pPr>
              <w:jc w:val="center"/>
              <w:ind w:right="350"/>
              <w:spacing w:after="0" w:line="191" w:lineRule="exact"/>
              <w:rPr>
                <w:sz w:val="20"/>
                <w:szCs w:val="20"/>
                <w:color w:val="auto"/>
              </w:rPr>
            </w:pPr>
            <w:r>
              <w:rPr>
                <w:rFonts w:ascii="Times New Roman" w:cs="Times New Roman" w:eastAsia="Times New Roman" w:hAnsi="Times New Roman"/>
                <w:sz w:val="18"/>
                <w:szCs w:val="18"/>
                <w:color w:val="auto"/>
                <w:w w:val="99"/>
              </w:rPr>
              <w:t>Ron Kurtz, M.D.</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3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Chief Executive Officer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30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Date: May 5, 2022</w:t>
            </w:r>
          </w:p>
        </w:tc>
        <w:tc>
          <w:tcPr>
            <w:tcW w:w="342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4300" w:type="dxa"/>
            <w:vAlign w:val="bottom"/>
            <w:vMerge w:val="restart"/>
          </w:tcPr>
          <w:p>
            <w:pPr>
              <w:jc w:val="center"/>
              <w:ind w:right="310"/>
              <w:spacing w:after="0"/>
              <w:rPr>
                <w:sz w:val="20"/>
                <w:szCs w:val="20"/>
                <w:color w:val="auto"/>
              </w:rPr>
            </w:pPr>
            <w:r>
              <w:rPr>
                <w:rFonts w:ascii="Times New Roman" w:cs="Times New Roman" w:eastAsia="Times New Roman" w:hAnsi="Times New Roman"/>
                <w:sz w:val="18"/>
                <w:szCs w:val="18"/>
                <w:color w:val="auto"/>
                <w:w w:val="99"/>
              </w:rPr>
              <w:t>/s/ Shelley Thunen</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460" w:type="dxa"/>
            <w:vAlign w:val="bottom"/>
            <w:vMerge w:val="continue"/>
          </w:tcPr>
          <w:p>
            <w:pPr>
              <w:spacing w:after="0"/>
              <w:rPr>
                <w:sz w:val="5"/>
                <w:szCs w:val="5"/>
                <w:color w:val="auto"/>
              </w:rPr>
            </w:pPr>
          </w:p>
        </w:tc>
        <w:tc>
          <w:tcPr>
            <w:tcW w:w="30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4300" w:type="dxa"/>
            <w:vAlign w:val="bottom"/>
            <w:tcBorders>
              <w:bottom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4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300" w:type="dxa"/>
            <w:vAlign w:val="bottom"/>
          </w:tcPr>
          <w:p>
            <w:pPr>
              <w:jc w:val="center"/>
              <w:ind w:right="350"/>
              <w:spacing w:after="0" w:line="191" w:lineRule="exact"/>
              <w:rPr>
                <w:sz w:val="20"/>
                <w:szCs w:val="20"/>
                <w:color w:val="auto"/>
              </w:rPr>
            </w:pPr>
            <w:r>
              <w:rPr>
                <w:rFonts w:ascii="Times New Roman" w:cs="Times New Roman" w:eastAsia="Times New Roman" w:hAnsi="Times New Roman"/>
                <w:sz w:val="18"/>
                <w:szCs w:val="18"/>
                <w:color w:val="auto"/>
              </w:rPr>
              <w:t>Shelley Thunen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3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30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(Principal Financial and Accounting Officer)</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3460" w:type="dxa"/>
            <w:vAlign w:val="bottom"/>
          </w:tcPr>
          <w:p>
            <w:pPr>
              <w:spacing w:after="0"/>
              <w:rPr>
                <w:sz w:val="24"/>
                <w:szCs w:val="24"/>
                <w:color w:val="auto"/>
              </w:rPr>
            </w:pPr>
          </w:p>
        </w:tc>
        <w:tc>
          <w:tcPr>
            <w:tcW w:w="30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102</w:t>
            </w:r>
          </w:p>
        </w:tc>
        <w:tc>
          <w:tcPr>
            <w:tcW w:w="40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460" w:type="dxa"/>
            <w:vAlign w:val="bottom"/>
            <w:tcBorders>
              <w:bottom w:val="single" w:sz="8" w:color="9A9A9A"/>
            </w:tcBorders>
          </w:tcPr>
          <w:p>
            <w:pPr>
              <w:spacing w:after="0"/>
              <w:rPr>
                <w:sz w:val="13"/>
                <w:szCs w:val="13"/>
                <w:color w:val="auto"/>
              </w:rPr>
            </w:pPr>
          </w:p>
        </w:tc>
        <w:tc>
          <w:tcPr>
            <w:tcW w:w="30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43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191135</wp:posOffset>
            </wp:positionV>
            <wp:extent cx="1568450" cy="5226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56845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39"/>
        <w:spacing w:after="0"/>
        <w:rPr>
          <w:sz w:val="20"/>
          <w:szCs w:val="20"/>
          <w:color w:val="auto"/>
        </w:rPr>
      </w:pPr>
      <w:r>
        <w:rPr>
          <w:rFonts w:ascii="Arial" w:cs="Arial" w:eastAsia="Arial" w:hAnsi="Arial"/>
          <w:sz w:val="23"/>
          <w:szCs w:val="23"/>
          <w:b w:val="1"/>
          <w:bCs w:val="1"/>
          <w:color w:val="auto"/>
        </w:rPr>
        <w:t>SUBLEASE FOR MULTIPLE TENANTS</w:t>
      </w:r>
    </w:p>
    <w:p>
      <w:pPr>
        <w:spacing w:after="0" w:line="89" w:lineRule="exact"/>
        <w:rPr>
          <w:sz w:val="20"/>
          <w:szCs w:val="20"/>
          <w:color w:val="auto"/>
        </w:rPr>
      </w:pPr>
    </w:p>
    <w:p>
      <w:pPr>
        <w:ind w:left="1920" w:right="1060"/>
        <w:spacing w:after="0" w:line="320" w:lineRule="auto"/>
        <w:rPr>
          <w:sz w:val="20"/>
          <w:szCs w:val="20"/>
          <w:color w:val="auto"/>
        </w:rPr>
      </w:pPr>
      <w:r>
        <w:rPr>
          <w:rFonts w:ascii="Arial" w:cs="Arial" w:eastAsia="Arial" w:hAnsi="Arial"/>
          <w:sz w:val="15"/>
          <w:szCs w:val="15"/>
          <w:color w:val="auto"/>
        </w:rPr>
        <w:t>To be used if there will be one or more sublessees sharing the space with each other and/or the lessee, whether or not the space (Premises) is a single tenant building or is located in a multi-tenant building.</w:t>
      </w:r>
    </w:p>
    <w:p>
      <w:pPr>
        <w:spacing w:after="0" w:line="40" w:lineRule="exact"/>
        <w:rPr>
          <w:sz w:val="20"/>
          <w:szCs w:val="20"/>
          <w:color w:val="auto"/>
        </w:rPr>
      </w:pPr>
    </w:p>
    <w:p>
      <w:pPr>
        <w:ind w:left="1920" w:right="1340"/>
        <w:spacing w:after="0" w:line="301" w:lineRule="auto"/>
        <w:rPr>
          <w:sz w:val="20"/>
          <w:szCs w:val="20"/>
          <w:color w:val="auto"/>
        </w:rPr>
      </w:pPr>
      <w:r>
        <w:rPr>
          <w:rFonts w:ascii="Arial" w:cs="Arial" w:eastAsia="Arial" w:hAnsi="Arial"/>
          <w:sz w:val="15"/>
          <w:szCs w:val="15"/>
          <w:color w:val="auto"/>
        </w:rPr>
        <w:t>If the entire space (Premises) will be subleased by a single sublessee, whether or not the space (Premises) is a single tenant building or is located in a multi-tenant building, use the Sublease for a Single Sublessee.</w:t>
      </w:r>
    </w:p>
    <w:p>
      <w:pPr>
        <w:spacing w:after="0" w:line="56" w:lineRule="exact"/>
        <w:rPr>
          <w:sz w:val="20"/>
          <w:szCs w:val="20"/>
          <w:color w:val="auto"/>
        </w:rPr>
      </w:pPr>
    </w:p>
    <w:p>
      <w:pPr>
        <w:ind w:left="300" w:hanging="292"/>
        <w:spacing w:after="0"/>
        <w:tabs>
          <w:tab w:leader="none" w:pos="300" w:val="left"/>
        </w:tabs>
        <w:numPr>
          <w:ilvl w:val="0"/>
          <w:numId w:val="56"/>
        </w:numPr>
        <w:rPr>
          <w:rFonts w:ascii="Arial" w:cs="Arial" w:eastAsia="Arial" w:hAnsi="Arial"/>
          <w:sz w:val="13"/>
          <w:szCs w:val="13"/>
          <w:b w:val="1"/>
          <w:bCs w:val="1"/>
          <w:color w:val="auto"/>
        </w:rPr>
      </w:pPr>
      <w:r>
        <w:rPr>
          <w:rFonts w:ascii="Arial" w:cs="Arial" w:eastAsia="Arial" w:hAnsi="Arial"/>
          <w:sz w:val="13"/>
          <w:szCs w:val="13"/>
          <w:b w:val="1"/>
          <w:bCs w:val="1"/>
          <w:color w:val="auto"/>
        </w:rPr>
        <w:t>Basic Provisions (“Basic Provisions”).</w:t>
      </w:r>
    </w:p>
    <w:p>
      <w:pPr>
        <w:spacing w:after="0" w:line="8" w:lineRule="exact"/>
        <w:rPr>
          <w:sz w:val="20"/>
          <w:szCs w:val="20"/>
          <w:color w:val="auto"/>
        </w:rPr>
      </w:pPr>
    </w:p>
    <w:p>
      <w:pPr>
        <w:ind w:left="420"/>
        <w:spacing w:after="0"/>
        <w:tabs>
          <w:tab w:leader="none" w:pos="700" w:val="left"/>
        </w:tabs>
        <w:rPr>
          <w:sz w:val="20"/>
          <w:szCs w:val="20"/>
          <w:color w:val="auto"/>
        </w:rPr>
      </w:pPr>
      <w:r>
        <w:rPr>
          <w:rFonts w:ascii="Arial" w:cs="Arial" w:eastAsia="Arial" w:hAnsi="Arial"/>
          <w:sz w:val="13"/>
          <w:szCs w:val="13"/>
          <w:color w:val="auto"/>
        </w:rPr>
        <w:t>1.1</w:t>
      </w:r>
      <w:r>
        <w:rPr>
          <w:sz w:val="20"/>
          <w:szCs w:val="20"/>
          <w:color w:val="auto"/>
        </w:rPr>
        <w:tab/>
      </w:r>
      <w:r>
        <w:rPr>
          <w:rFonts w:ascii="Arial" w:cs="Arial" w:eastAsia="Arial" w:hAnsi="Arial"/>
          <w:sz w:val="13"/>
          <w:szCs w:val="13"/>
          <w:b w:val="1"/>
          <w:bCs w:val="1"/>
          <w:color w:val="auto"/>
        </w:rPr>
        <w:t xml:space="preserve">Parties: </w:t>
      </w:r>
      <w:r>
        <w:rPr>
          <w:rFonts w:ascii="Arial" w:cs="Arial" w:eastAsia="Arial" w:hAnsi="Arial"/>
          <w:sz w:val="13"/>
          <w:szCs w:val="13"/>
          <w:color w:val="auto"/>
        </w:rPr>
        <w:t>This Sublease</w:t>
      </w:r>
      <w:r>
        <w:rPr>
          <w:rFonts w:ascii="Arial" w:cs="Arial" w:eastAsia="Arial" w:hAnsi="Arial"/>
          <w:sz w:val="13"/>
          <w:szCs w:val="13"/>
          <w:b w:val="1"/>
          <w:bCs w:val="1"/>
          <w:color w:val="auto"/>
        </w:rPr>
        <w:t xml:space="preserve"> (“Sublease”), </w:t>
      </w:r>
      <w:r>
        <w:rPr>
          <w:rFonts w:ascii="Arial" w:cs="Arial" w:eastAsia="Arial" w:hAnsi="Arial"/>
          <w:sz w:val="13"/>
          <w:szCs w:val="13"/>
          <w:color w:val="auto"/>
        </w:rPr>
        <w:t>dated for reference purposes only</w:t>
      </w:r>
      <w:r>
        <w:rPr>
          <w:rFonts w:ascii="Arial" w:cs="Arial" w:eastAsia="Arial" w:hAnsi="Arial"/>
          <w:sz w:val="13"/>
          <w:szCs w:val="13"/>
          <w:b w:val="1"/>
          <w:bCs w:val="1"/>
          <w:color w:val="auto"/>
        </w:rPr>
        <w:t xml:space="preserve"> </w:t>
      </w:r>
      <w:r>
        <w:rPr>
          <w:rFonts w:ascii="Arial" w:cs="Arial" w:eastAsia="Arial" w:hAnsi="Arial"/>
          <w:sz w:val="17"/>
          <w:szCs w:val="17"/>
          <w:u w:val="single" w:color="auto"/>
          <w:color w:val="auto"/>
        </w:rPr>
        <w:t>4/4/22</w:t>
      </w:r>
      <w:r>
        <w:rPr>
          <w:rFonts w:ascii="Arial" w:cs="Arial" w:eastAsia="Arial" w:hAnsi="Arial"/>
          <w:sz w:val="13"/>
          <w:szCs w:val="13"/>
          <w:b w:val="1"/>
          <w:bCs w:val="1"/>
          <w:color w:val="auto"/>
        </w:rPr>
        <w:t xml:space="preserve"> </w:t>
      </w:r>
      <w:r>
        <w:rPr>
          <w:rFonts w:ascii="Arial" w:cs="Arial" w:eastAsia="Arial" w:hAnsi="Arial"/>
          <w:sz w:val="13"/>
          <w:szCs w:val="13"/>
          <w:color w:val="auto"/>
        </w:rPr>
        <w:t>, is made by and between</w:t>
      </w:r>
      <w:r>
        <w:rPr>
          <w:rFonts w:ascii="Arial" w:cs="Arial" w:eastAsia="Arial" w:hAnsi="Arial"/>
          <w:sz w:val="13"/>
          <w:szCs w:val="13"/>
          <w:b w:val="1"/>
          <w:bCs w:val="1"/>
          <w:color w:val="auto"/>
        </w:rPr>
        <w:t xml:space="preserve"> </w:t>
      </w:r>
      <w:r>
        <w:rPr>
          <w:rFonts w:ascii="Arial" w:cs="Arial" w:eastAsia="Arial" w:hAnsi="Arial"/>
          <w:sz w:val="17"/>
          <w:szCs w:val="17"/>
          <w:u w:val="single" w:color="auto"/>
          <w:color w:val="auto"/>
        </w:rPr>
        <w:t>RxSight</w:t>
      </w:r>
      <w:r>
        <w:rPr>
          <w:rFonts w:ascii="Arial" w:cs="Arial" w:eastAsia="Arial" w:hAnsi="Arial"/>
          <w:sz w:val="13"/>
          <w:szCs w:val="13"/>
          <w:u w:val="single" w:color="auto"/>
          <w:color w:val="auto"/>
        </w:rPr>
        <w:t>,</w:t>
      </w:r>
      <w:r>
        <w:rPr>
          <w:rFonts w:ascii="Arial" w:cs="Arial" w:eastAsia="Arial" w:hAnsi="Arial"/>
          <w:sz w:val="13"/>
          <w:szCs w:val="13"/>
          <w:b w:val="1"/>
          <w:bCs w:val="1"/>
          <w:color w:val="auto"/>
        </w:rPr>
        <w:t xml:space="preserve"> </w:t>
      </w:r>
      <w:r>
        <w:rPr>
          <w:rFonts w:ascii="Arial" w:cs="Arial" w:eastAsia="Arial" w:hAnsi="Arial"/>
          <w:sz w:val="17"/>
          <w:szCs w:val="17"/>
          <w:u w:val="single" w:color="auto"/>
          <w:color w:val="auto"/>
        </w:rPr>
        <w:t>Inc</w:t>
      </w:r>
      <w:r>
        <w:rPr>
          <w:rFonts w:ascii="Arial" w:cs="Arial" w:eastAsia="Arial" w:hAnsi="Arial"/>
          <w:sz w:val="13"/>
          <w:szCs w:val="13"/>
          <w:b w:val="1"/>
          <w:bCs w:val="1"/>
          <w:color w:val="auto"/>
        </w:rPr>
        <w:t xml:space="preserve"> </w:t>
      </w:r>
      <w:r>
        <w:rPr>
          <w:rFonts w:ascii="Arial" w:cs="Arial" w:eastAsia="Arial" w:hAnsi="Arial"/>
          <w:sz w:val="13"/>
          <w:szCs w:val="13"/>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(“Sublessor”) </w:t>
      </w:r>
      <w:r>
        <w:rPr>
          <w:rFonts w:ascii="Arial" w:cs="Arial" w:eastAsia="Arial" w:hAnsi="Arial"/>
          <w:sz w:val="13"/>
          <w:szCs w:val="13"/>
          <w:color w:val="auto"/>
        </w:rPr>
        <w:t>and</w:t>
      </w:r>
      <w:r>
        <w:rPr>
          <w:rFonts w:ascii="Arial" w:cs="Arial" w:eastAsia="Arial" w:hAnsi="Arial"/>
          <w:sz w:val="13"/>
          <w:szCs w:val="13"/>
          <w:b w:val="1"/>
          <w:bCs w:val="1"/>
          <w:color w:val="auto"/>
        </w:rPr>
        <w:t xml:space="preserve"> </w:t>
      </w:r>
      <w:r>
        <w:rPr>
          <w:rFonts w:ascii="Arial" w:cs="Arial" w:eastAsia="Arial" w:hAnsi="Arial"/>
          <w:sz w:val="17"/>
          <w:szCs w:val="17"/>
          <w:u w:val="single" w:color="auto"/>
          <w:color w:val="auto"/>
        </w:rPr>
        <w:t>Compass Bible Church</w:t>
      </w:r>
      <w:r>
        <w:rPr>
          <w:rFonts w:ascii="Arial" w:cs="Arial" w:eastAsia="Arial" w:hAnsi="Arial"/>
          <w:sz w:val="13"/>
          <w:szCs w:val="13"/>
          <w:b w:val="1"/>
          <w:bCs w:val="1"/>
          <w:color w:val="auto"/>
        </w:rPr>
        <w:t xml:space="preserve"> (“Sublessee”), </w:t>
      </w:r>
      <w:r>
        <w:rPr>
          <w:rFonts w:ascii="Arial" w:cs="Arial" w:eastAsia="Arial" w:hAnsi="Arial"/>
          <w:sz w:val="13"/>
          <w:szCs w:val="13"/>
          <w:u w:val="single" w:color="auto"/>
          <w:color w:val="auto"/>
        </w:rPr>
        <w:t>(collectively the</w:t>
      </w:r>
      <w:r>
        <w:rPr>
          <w:rFonts w:ascii="Arial" w:cs="Arial" w:eastAsia="Arial" w:hAnsi="Arial"/>
          <w:sz w:val="13"/>
          <w:szCs w:val="13"/>
          <w:b w:val="1"/>
          <w:bCs w:val="1"/>
          <w:color w:val="auto"/>
        </w:rPr>
        <w:t xml:space="preserve"> “Parties”, </w:t>
      </w:r>
      <w:r>
        <w:rPr>
          <w:rFonts w:ascii="Arial" w:cs="Arial" w:eastAsia="Arial" w:hAnsi="Arial"/>
          <w:sz w:val="13"/>
          <w:szCs w:val="13"/>
          <w:u w:val="single" w:color="auto"/>
          <w:color w:val="auto"/>
        </w:rPr>
        <w:t>or individually a</w:t>
      </w:r>
      <w:r>
        <w:rPr>
          <w:rFonts w:ascii="Arial" w:cs="Arial" w:eastAsia="Arial" w:hAnsi="Arial"/>
          <w:sz w:val="13"/>
          <w:szCs w:val="13"/>
          <w:b w:val="1"/>
          <w:bCs w:val="1"/>
          <w:color w:val="auto"/>
        </w:rPr>
        <w:t xml:space="preserve"> “Party”).</w:t>
      </w:r>
    </w:p>
    <w:p>
      <w:pPr>
        <w:ind w:right="2020" w:firstLine="416"/>
        <w:spacing w:after="0" w:line="244" w:lineRule="auto"/>
        <w:rPr>
          <w:sz w:val="20"/>
          <w:szCs w:val="20"/>
          <w:color w:val="auto"/>
        </w:rPr>
      </w:pPr>
      <w:r>
        <w:rPr>
          <w:rFonts w:ascii="Arial" w:cs="Arial" w:eastAsia="Arial" w:hAnsi="Arial"/>
          <w:sz w:val="13"/>
          <w:szCs w:val="13"/>
          <w:color w:val="auto"/>
        </w:rPr>
        <w:t xml:space="preserve">1.2(a) </w:t>
      </w:r>
      <w:r>
        <w:rPr>
          <w:rFonts w:ascii="Arial" w:cs="Arial" w:eastAsia="Arial" w:hAnsi="Arial"/>
          <w:sz w:val="13"/>
          <w:szCs w:val="13"/>
          <w:b w:val="1"/>
          <w:bCs w:val="1"/>
          <w:color w:val="auto"/>
        </w:rPr>
        <w:t>Premises:</w:t>
      </w:r>
      <w:r>
        <w:rPr>
          <w:rFonts w:ascii="Arial" w:cs="Arial" w:eastAsia="Arial" w:hAnsi="Arial"/>
          <w:sz w:val="13"/>
          <w:szCs w:val="13"/>
          <w:color w:val="auto"/>
        </w:rPr>
        <w:t xml:space="preserve"> That certain portion of the Project (as defined below), commonly known as (street address, unit/suite, city, state) </w:t>
      </w:r>
      <w:r>
        <w:rPr>
          <w:rFonts w:ascii="Arial" w:cs="Arial" w:eastAsia="Arial" w:hAnsi="Arial"/>
          <w:sz w:val="17"/>
          <w:szCs w:val="17"/>
          <w:u w:val="single" w:color="auto"/>
          <w:color w:val="auto"/>
        </w:rPr>
        <w:t>5 Columbia,</w:t>
      </w:r>
      <w:r>
        <w:rPr>
          <w:rFonts w:ascii="Arial" w:cs="Arial" w:eastAsia="Arial" w:hAnsi="Arial"/>
          <w:sz w:val="13"/>
          <w:szCs w:val="13"/>
          <w:color w:val="auto"/>
        </w:rPr>
        <w:t xml:space="preserve"> </w:t>
      </w:r>
      <w:r>
        <w:rPr>
          <w:rFonts w:ascii="Arial" w:cs="Arial" w:eastAsia="Arial" w:hAnsi="Arial"/>
          <w:sz w:val="17"/>
          <w:szCs w:val="17"/>
          <w:u w:val="single" w:color="auto"/>
          <w:color w:val="auto"/>
        </w:rPr>
        <w:t>Aliso Viejo, CA</w:t>
      </w:r>
      <w:r>
        <w:rPr>
          <w:rFonts w:ascii="Arial" w:cs="Arial" w:eastAsia="Arial" w:hAnsi="Arial"/>
          <w:sz w:val="17"/>
          <w:szCs w:val="17"/>
          <w:color w:val="auto"/>
        </w:rPr>
        <w:t xml:space="preserve"> </w:t>
      </w:r>
      <w:r>
        <w:rPr>
          <w:rFonts w:ascii="Arial" w:cs="Arial" w:eastAsia="Arial" w:hAnsi="Arial"/>
          <w:sz w:val="13"/>
          <w:szCs w:val="13"/>
          <w:b w:val="1"/>
          <w:bCs w:val="1"/>
          <w:color w:val="auto"/>
        </w:rPr>
        <w:t>(“Premises”).</w:t>
      </w:r>
      <w:r>
        <w:rPr>
          <w:rFonts w:ascii="Arial" w:cs="Arial" w:eastAsia="Arial" w:hAnsi="Arial"/>
          <w:sz w:val="17"/>
          <w:szCs w:val="17"/>
          <w:color w:val="auto"/>
        </w:rPr>
        <w:t xml:space="preserve"> </w:t>
      </w:r>
      <w:r>
        <w:rPr>
          <w:rFonts w:ascii="Arial" w:cs="Arial" w:eastAsia="Arial" w:hAnsi="Arial"/>
          <w:sz w:val="13"/>
          <w:szCs w:val="13"/>
          <w:color w:val="auto"/>
        </w:rPr>
        <w:t>The Premises are located in the County of</w:t>
      </w:r>
      <w:r>
        <w:rPr>
          <w:rFonts w:ascii="Arial" w:cs="Arial" w:eastAsia="Arial" w:hAnsi="Arial"/>
          <w:sz w:val="17"/>
          <w:szCs w:val="17"/>
          <w:color w:val="auto"/>
        </w:rPr>
        <w:t xml:space="preserve"> </w:t>
      </w:r>
      <w:r>
        <w:rPr>
          <w:rFonts w:ascii="Arial" w:cs="Arial" w:eastAsia="Arial" w:hAnsi="Arial"/>
          <w:sz w:val="17"/>
          <w:szCs w:val="17"/>
          <w:u w:val="single" w:color="auto"/>
          <w:color w:val="auto"/>
        </w:rPr>
        <w:t>Orange</w:t>
      </w:r>
      <w:r>
        <w:rPr>
          <w:rFonts w:ascii="Arial" w:cs="Arial" w:eastAsia="Arial" w:hAnsi="Arial"/>
          <w:sz w:val="17"/>
          <w:szCs w:val="17"/>
          <w:color w:val="auto"/>
        </w:rPr>
        <w:t xml:space="preserve"> </w:t>
      </w:r>
      <w:r>
        <w:rPr>
          <w:rFonts w:ascii="Arial" w:cs="Arial" w:eastAsia="Arial" w:hAnsi="Arial"/>
          <w:sz w:val="13"/>
          <w:szCs w:val="13"/>
          <w:color w:val="auto"/>
        </w:rPr>
        <w:t>and consist of approximately</w:t>
      </w:r>
      <w:r>
        <w:rPr>
          <w:rFonts w:ascii="Arial" w:cs="Arial" w:eastAsia="Arial" w:hAnsi="Arial"/>
          <w:sz w:val="17"/>
          <w:szCs w:val="17"/>
          <w:color w:val="auto"/>
        </w:rPr>
        <w:t xml:space="preserve"> </w:t>
      </w:r>
      <w:r>
        <w:rPr>
          <w:rFonts w:ascii="Arial" w:cs="Arial" w:eastAsia="Arial" w:hAnsi="Arial"/>
          <w:sz w:val="17"/>
          <w:szCs w:val="17"/>
          <w:u w:val="single" w:color="auto"/>
          <w:color w:val="auto"/>
        </w:rPr>
        <w:t>8,452</w:t>
      </w:r>
      <w:r>
        <w:rPr>
          <w:rFonts w:ascii="Arial" w:cs="Arial" w:eastAsia="Arial" w:hAnsi="Arial"/>
          <w:sz w:val="17"/>
          <w:szCs w:val="17"/>
          <w:color w:val="auto"/>
        </w:rPr>
        <w:t xml:space="preserve"> </w:t>
      </w:r>
      <w:r>
        <w:rPr>
          <w:rFonts w:ascii="Arial" w:cs="Arial" w:eastAsia="Arial" w:hAnsi="Arial"/>
          <w:sz w:val="13"/>
          <w:szCs w:val="13"/>
          <w:color w:val="auto"/>
        </w:rPr>
        <w:t>square feet</w:t>
      </w:r>
      <w:r>
        <w:rPr>
          <w:rFonts w:ascii="Arial" w:cs="Arial" w:eastAsia="Arial" w:hAnsi="Arial"/>
          <w:sz w:val="17"/>
          <w:szCs w:val="17"/>
          <w:color w:val="auto"/>
        </w:rPr>
        <w:t xml:space="preserve"> </w:t>
      </w:r>
      <w:r>
        <w:rPr>
          <w:rFonts w:ascii="Arial" w:cs="Arial" w:eastAsia="Arial" w:hAnsi="Arial"/>
          <w:sz w:val="21"/>
          <w:szCs w:val="21"/>
          <w:color w:val="FF0000"/>
        </w:rPr>
        <w:t>as</w:t>
      </w:r>
    </w:p>
    <w:p>
      <w:pPr>
        <w:spacing w:after="0" w:line="1" w:lineRule="exact"/>
        <w:rPr>
          <w:sz w:val="20"/>
          <w:szCs w:val="20"/>
          <w:color w:val="auto"/>
        </w:rPr>
      </w:pPr>
    </w:p>
    <w:p>
      <w:pPr>
        <w:ind w:right="160"/>
        <w:spacing w:after="0" w:line="194" w:lineRule="auto"/>
        <w:rPr>
          <w:sz w:val="20"/>
          <w:szCs w:val="20"/>
          <w:color w:val="auto"/>
        </w:rPr>
      </w:pPr>
      <w:r>
        <w:rPr>
          <w:rFonts w:ascii="Arial" w:cs="Arial" w:eastAsia="Arial" w:hAnsi="Arial"/>
          <w:sz w:val="22"/>
          <w:szCs w:val="22"/>
          <w:color w:val="FF0000"/>
        </w:rPr>
        <w:t xml:space="preserve">identified on the attached EXHIBIT A. </w:t>
      </w:r>
      <w:r>
        <w:rPr>
          <w:rFonts w:ascii="Arial" w:cs="Arial" w:eastAsia="Arial" w:hAnsi="Arial"/>
          <w:sz w:val="13"/>
          <w:szCs w:val="13"/>
          <w:color w:val="000000"/>
        </w:rPr>
        <w:t>In addition to Sublessee’s rights to use and occupy the Premises as hereinafter specified, Sublessee shall have nonexclusive</w:t>
      </w:r>
      <w:r>
        <w:rPr>
          <w:rFonts w:ascii="Arial" w:cs="Arial" w:eastAsia="Arial" w:hAnsi="Arial"/>
          <w:sz w:val="22"/>
          <w:szCs w:val="22"/>
          <w:color w:val="FF0000"/>
        </w:rPr>
        <w:t xml:space="preserve"> </w:t>
      </w:r>
      <w:r>
        <w:rPr>
          <w:rFonts w:ascii="Arial" w:cs="Arial" w:eastAsia="Arial" w:hAnsi="Arial"/>
          <w:sz w:val="13"/>
          <w:szCs w:val="13"/>
          <w:color w:val="000000"/>
        </w:rPr>
        <w:t>rights to the Common Areas (as defined below) as hereinafter specified, but shall not have any rights to the roof, the exterior walls, or the utility raceways of the building containing the</w:t>
      </w:r>
    </w:p>
    <w:p>
      <w:pPr>
        <w:spacing w:after="0" w:line="2" w:lineRule="exact"/>
        <w:rPr>
          <w:sz w:val="20"/>
          <w:szCs w:val="20"/>
          <w:color w:val="auto"/>
        </w:rPr>
      </w:pPr>
    </w:p>
    <w:p>
      <w:pPr>
        <w:ind w:right="440"/>
        <w:spacing w:after="0" w:line="261" w:lineRule="auto"/>
        <w:rPr>
          <w:sz w:val="20"/>
          <w:szCs w:val="20"/>
          <w:color w:val="auto"/>
        </w:rPr>
      </w:pPr>
      <w:r>
        <w:rPr>
          <w:rFonts w:ascii="Arial" w:cs="Arial" w:eastAsia="Arial" w:hAnsi="Arial"/>
          <w:sz w:val="13"/>
          <w:szCs w:val="13"/>
          <w:color w:val="auto"/>
        </w:rPr>
        <w:t>Premises (“Building”) or to any other buildings in the Project. The Premises, the Building, the Common Areas, the land upon which they are located, along with all other buildings and improvements thereon, are herein collectively referred to as the “Project.”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40" w:type="dxa"/>
            <w:vAlign w:val="bottom"/>
            <w:gridSpan w:val="2"/>
          </w:tcPr>
          <w:p>
            <w:pPr>
              <w:ind w:left="420"/>
              <w:spacing w:after="0"/>
              <w:rPr>
                <w:sz w:val="20"/>
                <w:szCs w:val="20"/>
                <w:color w:val="auto"/>
              </w:rPr>
            </w:pPr>
            <w:r>
              <w:rPr>
                <w:rFonts w:ascii="Arial" w:cs="Arial" w:eastAsia="Arial" w:hAnsi="Arial"/>
                <w:sz w:val="13"/>
                <w:szCs w:val="13"/>
                <w:b w:val="1"/>
                <w:bCs w:val="1"/>
                <w:color w:val="auto"/>
              </w:rPr>
              <w:t>1.2(b)</w:t>
            </w:r>
          </w:p>
        </w:tc>
        <w:tc>
          <w:tcPr>
            <w:tcW w:w="760" w:type="dxa"/>
            <w:vAlign w:val="bottom"/>
            <w:gridSpan w:val="2"/>
          </w:tcPr>
          <w:p>
            <w:pPr>
              <w:ind w:left="140"/>
              <w:spacing w:after="0"/>
              <w:rPr>
                <w:sz w:val="20"/>
                <w:szCs w:val="20"/>
                <w:color w:val="auto"/>
              </w:rPr>
            </w:pPr>
            <w:r>
              <w:rPr>
                <w:rFonts w:ascii="Arial" w:cs="Arial" w:eastAsia="Arial" w:hAnsi="Arial"/>
                <w:sz w:val="13"/>
                <w:szCs w:val="13"/>
                <w:b w:val="1"/>
                <w:bCs w:val="1"/>
                <w:color w:val="auto"/>
              </w:rPr>
              <w:t>Parking:</w:t>
            </w:r>
          </w:p>
        </w:tc>
        <w:tc>
          <w:tcPr>
            <w:tcW w:w="420" w:type="dxa"/>
            <w:vAlign w:val="bottom"/>
          </w:tcPr>
          <w:p>
            <w:pPr>
              <w:jc w:val="right"/>
              <w:ind w:right="167"/>
              <w:spacing w:after="0"/>
              <w:rPr>
                <w:sz w:val="20"/>
                <w:szCs w:val="20"/>
                <w:color w:val="auto"/>
              </w:rPr>
            </w:pPr>
            <w:r>
              <w:rPr>
                <w:rFonts w:ascii="Arial" w:cs="Arial" w:eastAsia="Arial" w:hAnsi="Arial"/>
                <w:sz w:val="13"/>
                <w:szCs w:val="13"/>
                <w:color w:val="auto"/>
              </w:rPr>
              <w:t>0</w:t>
            </w:r>
          </w:p>
        </w:tc>
        <w:tc>
          <w:tcPr>
            <w:tcW w:w="1520" w:type="dxa"/>
            <w:vAlign w:val="bottom"/>
            <w:gridSpan w:val="5"/>
          </w:tcPr>
          <w:p>
            <w:pPr>
              <w:ind w:left="20"/>
              <w:spacing w:after="0"/>
              <w:rPr>
                <w:sz w:val="20"/>
                <w:szCs w:val="20"/>
                <w:color w:val="auto"/>
              </w:rPr>
            </w:pPr>
            <w:r>
              <w:rPr>
                <w:rFonts w:ascii="Arial" w:cs="Arial" w:eastAsia="Arial" w:hAnsi="Arial"/>
                <w:sz w:val="13"/>
                <w:szCs w:val="13"/>
                <w:color w:val="auto"/>
              </w:rPr>
              <w:t xml:space="preserve">unreserved and   </w:t>
            </w:r>
            <w:r>
              <w:rPr>
                <w:rFonts w:ascii="Arial" w:cs="Arial" w:eastAsia="Arial" w:hAnsi="Arial"/>
                <w:sz w:val="17"/>
                <w:szCs w:val="17"/>
                <w:color w:val="auto"/>
              </w:rPr>
              <w:t>9</w:t>
            </w:r>
          </w:p>
        </w:tc>
        <w:tc>
          <w:tcPr>
            <w:tcW w:w="5240" w:type="dxa"/>
            <w:vAlign w:val="bottom"/>
            <w:gridSpan w:val="9"/>
          </w:tcPr>
          <w:p>
            <w:pPr>
              <w:jc w:val="right"/>
              <w:ind w:right="480"/>
              <w:spacing w:after="0"/>
              <w:rPr>
                <w:sz w:val="20"/>
                <w:szCs w:val="20"/>
                <w:color w:val="auto"/>
              </w:rPr>
            </w:pPr>
            <w:r>
              <w:rPr>
                <w:rFonts w:ascii="Arial" w:cs="Arial" w:eastAsia="Arial" w:hAnsi="Arial"/>
                <w:sz w:val="13"/>
                <w:szCs w:val="13"/>
                <w:color w:val="auto"/>
              </w:rPr>
              <w:t xml:space="preserve">reserved vehicle parking spaces </w:t>
            </w:r>
            <w:r>
              <w:rPr>
                <w:rFonts w:ascii="Arial" w:cs="Arial" w:eastAsia="Arial" w:hAnsi="Arial"/>
                <w:sz w:val="21"/>
                <w:szCs w:val="21"/>
                <w:color w:val="FF0000"/>
              </w:rPr>
              <w:t>as identified On the attached</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700" w:type="dxa"/>
            <w:vAlign w:val="bottom"/>
            <w:gridSpan w:val="4"/>
          </w:tcPr>
          <w:p>
            <w:pPr>
              <w:spacing w:after="0" w:line="241" w:lineRule="exact"/>
              <w:rPr>
                <w:sz w:val="20"/>
                <w:szCs w:val="20"/>
                <w:color w:val="auto"/>
              </w:rPr>
            </w:pPr>
            <w:r>
              <w:rPr>
                <w:rFonts w:ascii="Arial" w:cs="Arial" w:eastAsia="Arial" w:hAnsi="Arial"/>
                <w:sz w:val="22"/>
                <w:szCs w:val="22"/>
                <w:color w:val="FF0000"/>
              </w:rPr>
              <w:t>EXHIBIT B.</w:t>
            </w:r>
          </w:p>
        </w:tc>
        <w:tc>
          <w:tcPr>
            <w:tcW w:w="42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660" w:type="dxa"/>
            <w:vAlign w:val="bottom"/>
          </w:tcPr>
          <w:p>
            <w:pPr>
              <w:ind w:left="420"/>
              <w:spacing w:after="0"/>
              <w:rPr>
                <w:sz w:val="20"/>
                <w:szCs w:val="20"/>
                <w:color w:val="auto"/>
              </w:rPr>
            </w:pPr>
            <w:r>
              <w:rPr>
                <w:rFonts w:ascii="Arial" w:cs="Arial" w:eastAsia="Arial" w:hAnsi="Arial"/>
                <w:sz w:val="13"/>
                <w:szCs w:val="13"/>
                <w:b w:val="1"/>
                <w:bCs w:val="1"/>
                <w:color w:val="auto"/>
              </w:rPr>
              <w:t>1.3</w:t>
            </w:r>
          </w:p>
        </w:tc>
        <w:tc>
          <w:tcPr>
            <w:tcW w:w="1040" w:type="dxa"/>
            <w:vAlign w:val="bottom"/>
            <w:gridSpan w:val="3"/>
          </w:tcPr>
          <w:p>
            <w:pPr>
              <w:ind w:left="100"/>
              <w:spacing w:after="0" w:line="185" w:lineRule="exact"/>
              <w:rPr>
                <w:sz w:val="20"/>
                <w:szCs w:val="20"/>
                <w:color w:val="auto"/>
              </w:rPr>
            </w:pPr>
            <w:r>
              <w:rPr>
                <w:rFonts w:ascii="Arial" w:cs="Arial" w:eastAsia="Arial" w:hAnsi="Arial"/>
                <w:sz w:val="13"/>
                <w:szCs w:val="13"/>
                <w:b w:val="1"/>
                <w:bCs w:val="1"/>
                <w:color w:val="auto"/>
              </w:rPr>
              <w:t xml:space="preserve">Term:  </w:t>
            </w:r>
            <w:r>
              <w:rPr>
                <w:rFonts w:ascii="Arial" w:cs="Arial" w:eastAsia="Arial" w:hAnsi="Arial"/>
                <w:sz w:val="17"/>
                <w:szCs w:val="17"/>
                <w:color w:val="auto"/>
              </w:rPr>
              <w:t>2</w:t>
            </w:r>
          </w:p>
        </w:tc>
        <w:tc>
          <w:tcPr>
            <w:tcW w:w="740" w:type="dxa"/>
            <w:vAlign w:val="bottom"/>
            <w:gridSpan w:val="2"/>
          </w:tcPr>
          <w:p>
            <w:pPr>
              <w:ind w:left="40"/>
              <w:spacing w:after="0"/>
              <w:rPr>
                <w:sz w:val="20"/>
                <w:szCs w:val="20"/>
                <w:color w:val="auto"/>
              </w:rPr>
            </w:pPr>
            <w:r>
              <w:rPr>
                <w:rFonts w:ascii="Arial" w:cs="Arial" w:eastAsia="Arial" w:hAnsi="Arial"/>
                <w:sz w:val="13"/>
                <w:szCs w:val="13"/>
                <w:color w:val="auto"/>
              </w:rPr>
              <w:t>years and</w:t>
            </w:r>
          </w:p>
        </w:tc>
        <w:tc>
          <w:tcPr>
            <w:tcW w:w="80" w:type="dxa"/>
            <w:vAlign w:val="bottom"/>
          </w:tcPr>
          <w:p>
            <w:pPr>
              <w:spacing w:after="0"/>
              <w:rPr>
                <w:sz w:val="16"/>
                <w:szCs w:val="16"/>
                <w:color w:val="auto"/>
              </w:rPr>
            </w:pPr>
          </w:p>
        </w:tc>
        <w:tc>
          <w:tcPr>
            <w:tcW w:w="6360" w:type="dxa"/>
            <w:vAlign w:val="bottom"/>
            <w:gridSpan w:val="12"/>
          </w:tcPr>
          <w:p>
            <w:pPr>
              <w:jc w:val="right"/>
              <w:ind w:right="480"/>
              <w:spacing w:after="0" w:line="185" w:lineRule="exact"/>
              <w:rPr>
                <w:sz w:val="20"/>
                <w:szCs w:val="20"/>
                <w:color w:val="auto"/>
              </w:rPr>
            </w:pPr>
            <w:r>
              <w:rPr>
                <w:rFonts w:ascii="Arial" w:cs="Arial" w:eastAsia="Arial" w:hAnsi="Arial"/>
                <w:sz w:val="17"/>
                <w:szCs w:val="17"/>
                <w:color w:val="auto"/>
              </w:rPr>
              <w:t xml:space="preserve">10   </w:t>
            </w:r>
            <w:r>
              <w:rPr>
                <w:rFonts w:ascii="Arial" w:cs="Arial" w:eastAsia="Arial" w:hAnsi="Arial"/>
                <w:sz w:val="13"/>
                <w:szCs w:val="13"/>
                <w:color w:val="auto"/>
              </w:rPr>
              <w:t>months commencing</w:t>
            </w:r>
            <w:r>
              <w:rPr>
                <w:rFonts w:ascii="Arial" w:cs="Arial" w:eastAsia="Arial" w:hAnsi="Arial"/>
                <w:sz w:val="17"/>
                <w:szCs w:val="17"/>
                <w:color w:val="auto"/>
              </w:rPr>
              <w:t xml:space="preserve"> 6/1/22 </w:t>
            </w:r>
            <w:r>
              <w:rPr>
                <w:rFonts w:ascii="Arial" w:cs="Arial" w:eastAsia="Arial" w:hAnsi="Arial"/>
                <w:sz w:val="13"/>
                <w:szCs w:val="13"/>
                <w:color w:val="auto"/>
              </w:rPr>
              <w:t>(“Commencement Date”) and ending</w:t>
            </w:r>
            <w:r>
              <w:rPr>
                <w:rFonts w:ascii="Arial" w:cs="Arial" w:eastAsia="Arial" w:hAnsi="Arial"/>
                <w:sz w:val="17"/>
                <w:szCs w:val="17"/>
                <w:color w:val="auto"/>
              </w:rPr>
              <w:t xml:space="preserve"> 3/31/25 </w:t>
            </w:r>
            <w:r>
              <w:rPr>
                <w:rFonts w:ascii="Arial" w:cs="Arial" w:eastAsia="Arial" w:hAnsi="Arial"/>
                <w:sz w:val="13"/>
                <w:szCs w:val="13"/>
                <w:color w:val="auto"/>
              </w:rPr>
              <w:t>(“Expiration</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60" w:type="dxa"/>
            <w:vAlign w:val="bottom"/>
          </w:tcPr>
          <w:p>
            <w:pPr>
              <w:spacing w:after="0"/>
              <w:rPr>
                <w:sz w:val="20"/>
                <w:szCs w:val="20"/>
                <w:color w:val="auto"/>
              </w:rPr>
            </w:pPr>
            <w:r>
              <w:rPr>
                <w:rFonts w:ascii="Arial" w:cs="Arial" w:eastAsia="Arial" w:hAnsi="Arial"/>
                <w:sz w:val="13"/>
                <w:szCs w:val="13"/>
                <w:b w:val="1"/>
                <w:bCs w:val="1"/>
                <w:color w:val="auto"/>
              </w:rPr>
              <w:t>Date”).</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60" w:type="dxa"/>
            <w:vAlign w:val="bottom"/>
          </w:tcPr>
          <w:p>
            <w:pPr>
              <w:ind w:left="420"/>
              <w:spacing w:after="0"/>
              <w:rPr>
                <w:sz w:val="20"/>
                <w:szCs w:val="20"/>
                <w:color w:val="auto"/>
              </w:rPr>
            </w:pPr>
            <w:r>
              <w:rPr>
                <w:rFonts w:ascii="Arial" w:cs="Arial" w:eastAsia="Arial" w:hAnsi="Arial"/>
                <w:sz w:val="13"/>
                <w:szCs w:val="13"/>
                <w:b w:val="1"/>
                <w:bCs w:val="1"/>
                <w:color w:val="auto"/>
              </w:rPr>
              <w:t>1.4</w:t>
            </w:r>
          </w:p>
        </w:tc>
        <w:tc>
          <w:tcPr>
            <w:tcW w:w="7680" w:type="dxa"/>
            <w:vAlign w:val="bottom"/>
            <w:gridSpan w:val="17"/>
          </w:tcPr>
          <w:p>
            <w:pPr>
              <w:ind w:left="100"/>
              <w:spacing w:after="0"/>
              <w:rPr>
                <w:sz w:val="20"/>
                <w:szCs w:val="20"/>
                <w:color w:val="auto"/>
              </w:rPr>
            </w:pPr>
            <w:r>
              <w:rPr>
                <w:rFonts w:ascii="Arial" w:cs="Arial" w:eastAsia="Arial" w:hAnsi="Arial"/>
                <w:sz w:val="13"/>
                <w:szCs w:val="13"/>
                <w:b w:val="1"/>
                <w:bCs w:val="1"/>
                <w:color w:val="auto"/>
              </w:rPr>
              <w:t xml:space="preserve">Early Possession: </w:t>
            </w:r>
            <w:r>
              <w:rPr>
                <w:rFonts w:ascii="Arial" w:cs="Arial" w:eastAsia="Arial" w:hAnsi="Arial"/>
                <w:sz w:val="13"/>
                <w:szCs w:val="13"/>
                <w:color w:val="auto"/>
              </w:rPr>
              <w:t>If the Premises are available Sublessee may have non-exclusive possession of the Premises commencing</w:t>
            </w:r>
          </w:p>
        </w:tc>
        <w:tc>
          <w:tcPr>
            <w:tcW w:w="540" w:type="dxa"/>
            <w:vAlign w:val="bottom"/>
            <w:tcBorders>
              <w:bottom w:val="single" w:sz="8" w:color="auto"/>
            </w:tcBorders>
          </w:tcPr>
          <w:p>
            <w:pPr>
              <w:spacing w:after="0"/>
              <w:rPr>
                <w:sz w:val="13"/>
                <w:szCs w:val="13"/>
                <w:color w:val="auto"/>
              </w:rPr>
            </w:pPr>
          </w:p>
        </w:tc>
        <w:tc>
          <w:tcPr>
            <w:tcW w:w="480" w:type="dxa"/>
            <w:vAlign w:val="bottom"/>
          </w:tcPr>
          <w:p>
            <w:pPr>
              <w:ind w:left="20"/>
              <w:spacing w:after="0"/>
              <w:rPr>
                <w:sz w:val="20"/>
                <w:szCs w:val="20"/>
                <w:color w:val="auto"/>
              </w:rPr>
            </w:pPr>
            <w:r>
              <w:rPr>
                <w:rFonts w:ascii="Arial" w:cs="Arial" w:eastAsia="Arial" w:hAnsi="Arial"/>
                <w:sz w:val="13"/>
                <w:szCs w:val="13"/>
                <w:b w:val="1"/>
                <w:bCs w:val="1"/>
                <w:color w:val="auto"/>
              </w:rPr>
              <w:t>(“Early</w:t>
            </w:r>
          </w:p>
        </w:tc>
        <w:tc>
          <w:tcPr>
            <w:tcW w:w="0" w:type="dxa"/>
            <w:vAlign w:val="bottom"/>
          </w:tcPr>
          <w:p>
            <w:pPr>
              <w:spacing w:after="0"/>
              <w:rPr>
                <w:sz w:val="1"/>
                <w:szCs w:val="1"/>
                <w:color w:val="auto"/>
              </w:rPr>
            </w:pPr>
          </w:p>
        </w:tc>
      </w:tr>
      <w:tr>
        <w:trPr>
          <w:trHeight w:val="192"/>
        </w:trPr>
        <w:tc>
          <w:tcPr>
            <w:tcW w:w="1700" w:type="dxa"/>
            <w:vAlign w:val="bottom"/>
            <w:gridSpan w:val="4"/>
          </w:tcPr>
          <w:p>
            <w:pPr>
              <w:spacing w:after="0"/>
              <w:rPr>
                <w:sz w:val="20"/>
                <w:szCs w:val="20"/>
                <w:color w:val="auto"/>
              </w:rPr>
            </w:pPr>
            <w:r>
              <w:rPr>
                <w:rFonts w:ascii="Arial" w:cs="Arial" w:eastAsia="Arial" w:hAnsi="Arial"/>
                <w:sz w:val="13"/>
                <w:szCs w:val="13"/>
                <w:b w:val="1"/>
                <w:bCs w:val="1"/>
                <w:color w:val="auto"/>
              </w:rPr>
              <w:t>Possession Date”).</w:t>
            </w:r>
          </w:p>
        </w:tc>
        <w:tc>
          <w:tcPr>
            <w:tcW w:w="7180" w:type="dxa"/>
            <w:vAlign w:val="bottom"/>
            <w:gridSpan w:val="15"/>
            <w:vMerge w:val="restart"/>
          </w:tcPr>
          <w:p>
            <w:pPr>
              <w:jc w:val="right"/>
              <w:ind w:right="110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 xml:space="preserve">11,410.20 </w:t>
            </w:r>
            <w:r>
              <w:rPr>
                <w:rFonts w:ascii="Arial" w:cs="Arial" w:eastAsia="Arial" w:hAnsi="Arial"/>
                <w:sz w:val="13"/>
                <w:szCs w:val="13"/>
                <w:color w:val="auto"/>
              </w:rPr>
              <w:t>per month</w:t>
            </w:r>
            <w:r>
              <w:rPr>
                <w:rFonts w:ascii="Arial" w:cs="Arial" w:eastAsia="Arial" w:hAnsi="Arial"/>
                <w:sz w:val="17"/>
                <w:szCs w:val="17"/>
                <w:color w:val="auto"/>
              </w:rPr>
              <w:t xml:space="preserve"> </w:t>
            </w:r>
            <w:r>
              <w:rPr>
                <w:rFonts w:ascii="Arial" w:cs="Arial" w:eastAsia="Arial" w:hAnsi="Arial"/>
                <w:sz w:val="13"/>
                <w:szCs w:val="13"/>
                <w:b w:val="1"/>
                <w:bCs w:val="1"/>
                <w:color w:val="auto"/>
              </w:rPr>
              <w:t>(“Base Rent”),</w:t>
            </w:r>
            <w:r>
              <w:rPr>
                <w:rFonts w:ascii="Arial" w:cs="Arial" w:eastAsia="Arial" w:hAnsi="Arial"/>
                <w:sz w:val="17"/>
                <w:szCs w:val="17"/>
                <w:color w:val="auto"/>
              </w:rPr>
              <w:t xml:space="preserve"> </w:t>
            </w:r>
            <w:r>
              <w:rPr>
                <w:rFonts w:ascii="Arial" w:cs="Arial" w:eastAsia="Arial" w:hAnsi="Arial"/>
                <w:sz w:val="13"/>
                <w:szCs w:val="13"/>
                <w:color w:val="auto"/>
              </w:rPr>
              <w:t>payable on the</w:t>
            </w:r>
            <w:r>
              <w:rPr>
                <w:rFonts w:ascii="Arial" w:cs="Arial" w:eastAsia="Arial" w:hAnsi="Arial"/>
                <w:sz w:val="17"/>
                <w:szCs w:val="17"/>
                <w:color w:val="auto"/>
              </w:rPr>
              <w:t xml:space="preserve"> 1st </w:t>
            </w:r>
            <w:r>
              <w:rPr>
                <w:rFonts w:ascii="Arial" w:cs="Arial" w:eastAsia="Arial" w:hAnsi="Arial"/>
                <w:sz w:val="13"/>
                <w:szCs w:val="13"/>
                <w:color w:val="auto"/>
              </w:rPr>
              <w:t>day of each month commencing</w:t>
            </w:r>
            <w:r>
              <w:rPr>
                <w:rFonts w:ascii="Arial" w:cs="Arial" w:eastAsia="Arial" w:hAnsi="Arial"/>
                <w:sz w:val="17"/>
                <w:szCs w:val="17"/>
                <w:color w:val="auto"/>
              </w:rPr>
              <w:t xml:space="preserve"> 6/1/22</w:t>
            </w:r>
            <w:r>
              <w:rPr>
                <w:rFonts w:ascii="Arial" w:cs="Arial" w:eastAsia="Arial" w:hAnsi="Arial"/>
                <w:sz w:val="13"/>
                <w:szCs w:val="13"/>
                <w:color w:val="auto"/>
              </w:rPr>
              <w:t>.</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60" w:type="dxa"/>
            <w:vAlign w:val="bottom"/>
          </w:tcPr>
          <w:p>
            <w:pPr>
              <w:ind w:left="420"/>
              <w:spacing w:after="0"/>
              <w:rPr>
                <w:sz w:val="20"/>
                <w:szCs w:val="20"/>
                <w:color w:val="auto"/>
              </w:rPr>
            </w:pPr>
            <w:r>
              <w:rPr>
                <w:rFonts w:ascii="Arial" w:cs="Arial" w:eastAsia="Arial" w:hAnsi="Arial"/>
                <w:sz w:val="13"/>
                <w:szCs w:val="13"/>
                <w:b w:val="1"/>
                <w:bCs w:val="1"/>
                <w:color w:val="auto"/>
              </w:rPr>
              <w:t>1.5</w:t>
            </w:r>
          </w:p>
        </w:tc>
        <w:tc>
          <w:tcPr>
            <w:tcW w:w="1040" w:type="dxa"/>
            <w:vAlign w:val="bottom"/>
            <w:gridSpan w:val="3"/>
          </w:tcPr>
          <w:p>
            <w:pPr>
              <w:ind w:left="60"/>
              <w:spacing w:after="0"/>
              <w:rPr>
                <w:sz w:val="20"/>
                <w:szCs w:val="20"/>
                <w:color w:val="auto"/>
              </w:rPr>
            </w:pPr>
            <w:r>
              <w:rPr>
                <w:rFonts w:ascii="Arial" w:cs="Arial" w:eastAsia="Arial" w:hAnsi="Arial"/>
                <w:sz w:val="13"/>
                <w:szCs w:val="13"/>
                <w:b w:val="1"/>
                <w:bCs w:val="1"/>
                <w:color w:val="auto"/>
              </w:rPr>
              <w:t>Base Rent:</w:t>
            </w:r>
          </w:p>
        </w:tc>
        <w:tc>
          <w:tcPr>
            <w:tcW w:w="7180" w:type="dxa"/>
            <w:vAlign w:val="bottom"/>
            <w:gridSpan w:val="15"/>
            <w:vMerge w:val="continue"/>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 w:lineRule="exact"/>
        <w:rPr>
          <w:sz w:val="20"/>
          <w:szCs w:val="20"/>
          <w:color w:val="auto"/>
        </w:rPr>
      </w:pPr>
    </w:p>
    <w:p>
      <w:pPr>
        <w:ind w:left="360" w:hanging="352"/>
        <w:spacing w:after="0"/>
        <w:tabs>
          <w:tab w:leader="none" w:pos="360" w:val="left"/>
        </w:tabs>
        <w:numPr>
          <w:ilvl w:val="0"/>
          <w:numId w:val="57"/>
        </w:numPr>
        <w:rPr>
          <w:rFonts w:ascii="MS PGothic" w:cs="MS PGothic" w:eastAsia="MS PGothic" w:hAnsi="MS PGothic"/>
          <w:sz w:val="13"/>
          <w:szCs w:val="13"/>
          <w:color w:val="auto"/>
        </w:rPr>
      </w:pPr>
      <w:r>
        <w:rPr>
          <w:rFonts w:ascii="Arial" w:cs="Arial" w:eastAsia="Arial" w:hAnsi="Arial"/>
          <w:sz w:val="13"/>
          <w:szCs w:val="13"/>
          <w:color w:val="auto"/>
        </w:rPr>
        <w:t>If this box is checked, there are provisions in this Sublease for the Base Rent to be adjusted.</w:t>
      </w:r>
    </w:p>
    <w:p>
      <w:pPr>
        <w:spacing w:after="0" w:line="33" w:lineRule="exact"/>
        <w:rPr>
          <w:sz w:val="20"/>
          <w:szCs w:val="20"/>
          <w:color w:val="auto"/>
        </w:rPr>
      </w:pPr>
    </w:p>
    <w:p>
      <w:pPr>
        <w:ind w:left="420"/>
        <w:spacing w:after="0"/>
        <w:tabs>
          <w:tab w:leader="none" w:pos="700" w:val="left"/>
          <w:tab w:leader="none" w:pos="6120" w:val="left"/>
        </w:tabs>
        <w:rPr>
          <w:sz w:val="20"/>
          <w:szCs w:val="20"/>
          <w:color w:val="auto"/>
        </w:rPr>
      </w:pPr>
      <w:r>
        <w:rPr>
          <w:rFonts w:ascii="Arial" w:cs="Arial" w:eastAsia="Arial" w:hAnsi="Arial"/>
          <w:sz w:val="13"/>
          <w:szCs w:val="13"/>
          <w:b w:val="1"/>
          <w:bCs w:val="1"/>
          <w:color w:val="auto"/>
        </w:rPr>
        <w:t>1.6</w:t>
        <w:tab/>
        <w:t xml:space="preserve">Sublessee’s Share of Operating Expenses: </w:t>
      </w:r>
      <w:r>
        <w:rPr>
          <w:rFonts w:ascii="Arial" w:cs="Arial" w:eastAsia="Arial" w:hAnsi="Arial"/>
          <w:sz w:val="17"/>
          <w:szCs w:val="17"/>
          <w:u w:val="single" w:color="auto"/>
          <w:color w:val="auto"/>
        </w:rPr>
        <w:t>See Paragraph 16</w:t>
      </w:r>
      <w:r>
        <w:rPr>
          <w:rFonts w:ascii="Arial" w:cs="Arial" w:eastAsia="Arial" w:hAnsi="Arial"/>
          <w:sz w:val="13"/>
          <w:szCs w:val="13"/>
          <w:b w:val="1"/>
          <w:bCs w:val="1"/>
          <w:color w:val="auto"/>
        </w:rPr>
        <w:t xml:space="preserve"> </w:t>
      </w:r>
      <w:r>
        <w:rPr>
          <w:rFonts w:ascii="Arial" w:cs="Arial" w:eastAsia="Arial" w:hAnsi="Arial"/>
          <w:sz w:val="13"/>
          <w:szCs w:val="13"/>
          <w:color w:val="auto"/>
        </w:rPr>
        <w:t>percent (</w:t>
      </w:r>
      <w:r>
        <w:rPr>
          <w:sz w:val="20"/>
          <w:szCs w:val="20"/>
          <w:color w:val="auto"/>
        </w:rPr>
        <w:tab/>
      </w:r>
      <w:r>
        <w:rPr>
          <w:rFonts w:ascii="Arial" w:cs="Arial" w:eastAsia="Arial" w:hAnsi="Arial"/>
          <w:sz w:val="13"/>
          <w:szCs w:val="13"/>
          <w:color w:val="auto"/>
        </w:rPr>
        <w:t xml:space="preserve">%) </w:t>
      </w:r>
      <w:r>
        <w:rPr>
          <w:rFonts w:ascii="Arial" w:cs="Arial" w:eastAsia="Arial" w:hAnsi="Arial"/>
          <w:sz w:val="13"/>
          <w:szCs w:val="13"/>
          <w:b w:val="1"/>
          <w:bCs w:val="1"/>
          <w:color w:val="auto"/>
        </w:rPr>
        <w:t>(“Sublessee’s Share”).</w:t>
      </w:r>
      <w:r>
        <w:rPr>
          <w:rFonts w:ascii="Arial" w:cs="Arial" w:eastAsia="Arial" w:hAnsi="Arial"/>
          <w:sz w:val="13"/>
          <w:szCs w:val="13"/>
          <w:color w:val="auto"/>
        </w:rPr>
        <w:t xml:space="preserve"> </w:t>
      </w:r>
      <w:r>
        <w:rPr>
          <w:rFonts w:ascii="Arial" w:cs="Arial" w:eastAsia="Arial" w:hAnsi="Arial"/>
          <w:sz w:val="13"/>
          <w:szCs w:val="13"/>
          <w:u w:val="single" w:color="auto"/>
          <w:color w:val="auto"/>
        </w:rPr>
        <w:t>In the event that that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3420745</wp:posOffset>
            </wp:positionH>
            <wp:positionV relativeFrom="paragraph">
              <wp:posOffset>-16510</wp:posOffset>
            </wp:positionV>
            <wp:extent cx="60960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09600" cy="825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of the Premises and/or the Project are modified during the term of this Lease, Lessor shall recalculate Lessee’s Share to reflect such modification.</w:t>
      </w:r>
    </w:p>
    <w:p>
      <w:pPr>
        <w:spacing w:after="0" w:line="15" w:lineRule="exact"/>
        <w:rPr>
          <w:sz w:val="20"/>
          <w:szCs w:val="20"/>
          <w:color w:val="auto"/>
        </w:rPr>
      </w:pPr>
    </w:p>
    <w:p>
      <w:pPr>
        <w:ind w:left="420"/>
        <w:spacing w:after="0"/>
        <w:tabs>
          <w:tab w:leader="none" w:pos="700" w:val="left"/>
        </w:tabs>
        <w:rPr>
          <w:sz w:val="20"/>
          <w:szCs w:val="20"/>
          <w:color w:val="auto"/>
        </w:rPr>
      </w:pPr>
      <w:r>
        <w:rPr>
          <w:rFonts w:ascii="Arial" w:cs="Arial" w:eastAsia="Arial" w:hAnsi="Arial"/>
          <w:sz w:val="13"/>
          <w:szCs w:val="13"/>
          <w:b w:val="1"/>
          <w:bCs w:val="1"/>
          <w:color w:val="auto"/>
        </w:rPr>
        <w:t>1.7</w:t>
        <w:tab/>
        <w:t>Base Rent and Other Monies Paid Upon Execution:</w:t>
      </w:r>
    </w:p>
    <w:p>
      <w:pPr>
        <w:ind w:left="1080" w:hanging="302"/>
        <w:spacing w:after="0" w:line="237" w:lineRule="auto"/>
        <w:tabs>
          <w:tab w:leader="none" w:pos="1080" w:val="left"/>
        </w:tabs>
        <w:numPr>
          <w:ilvl w:val="0"/>
          <w:numId w:val="58"/>
        </w:numPr>
        <w:rPr>
          <w:rFonts w:ascii="Arial" w:cs="Arial" w:eastAsia="Arial" w:hAnsi="Arial"/>
          <w:sz w:val="13"/>
          <w:szCs w:val="13"/>
          <w:color w:val="auto"/>
        </w:rPr>
      </w:pPr>
      <w:r>
        <w:rPr>
          <w:rFonts w:ascii="Arial" w:cs="Arial" w:eastAsia="Arial" w:hAnsi="Arial"/>
          <w:sz w:val="15"/>
          <w:szCs w:val="15"/>
          <w:color w:val="auto"/>
        </w:rPr>
        <w:t>Base Rent:</w:t>
      </w:r>
      <w:r>
        <w:rPr>
          <w:rFonts w:ascii="Arial" w:cs="Arial" w:eastAsia="Arial" w:hAnsi="Arial"/>
          <w:sz w:val="17"/>
          <w:szCs w:val="17"/>
          <w:u w:val="single" w:color="auto"/>
          <w:color w:val="auto"/>
        </w:rPr>
        <w:t xml:space="preserve">$11,410.20 </w:t>
      </w:r>
      <w:r>
        <w:rPr>
          <w:rFonts w:ascii="Arial" w:cs="Arial" w:eastAsia="Arial" w:hAnsi="Arial"/>
          <w:sz w:val="15"/>
          <w:szCs w:val="15"/>
          <w:color w:val="auto"/>
        </w:rPr>
        <w:t>for the period</w:t>
      </w:r>
      <w:r>
        <w:rPr>
          <w:rFonts w:ascii="Arial" w:cs="Arial" w:eastAsia="Arial" w:hAnsi="Arial"/>
          <w:sz w:val="17"/>
          <w:szCs w:val="17"/>
          <w:u w:val="single" w:color="auto"/>
          <w:color w:val="auto"/>
        </w:rPr>
        <w:t xml:space="preserve"> 6/1/22 - 6/30/22 </w:t>
      </w:r>
      <w:r>
        <w:rPr>
          <w:rFonts w:ascii="Arial" w:cs="Arial" w:eastAsia="Arial" w:hAnsi="Arial"/>
          <w:sz w:val="15"/>
          <w:szCs w:val="15"/>
          <w:u w:val="single" w:color="auto"/>
          <w:color w:val="auto"/>
        </w:rPr>
        <w:t>.</w:t>
      </w:r>
    </w:p>
    <w:p>
      <w:pPr>
        <w:ind w:left="1080" w:hanging="302"/>
        <w:spacing w:after="0"/>
        <w:tabs>
          <w:tab w:leader="none" w:pos="1080" w:val="left"/>
        </w:tabs>
        <w:numPr>
          <w:ilvl w:val="0"/>
          <w:numId w:val="58"/>
        </w:numPr>
        <w:rPr>
          <w:rFonts w:ascii="Arial" w:cs="Arial" w:eastAsia="Arial" w:hAnsi="Arial"/>
          <w:sz w:val="13"/>
          <w:szCs w:val="13"/>
          <w:color w:val="auto"/>
        </w:rPr>
      </w:pPr>
      <w:r>
        <w:rPr>
          <w:rFonts w:ascii="Arial" w:cs="Arial" w:eastAsia="Arial" w:hAnsi="Arial"/>
          <w:sz w:val="13"/>
          <w:szCs w:val="13"/>
          <w:b w:val="1"/>
          <w:bCs w:val="1"/>
          <w:color w:val="auto"/>
        </w:rPr>
        <w:t xml:space="preserve">Security Deposit:  </w:t>
      </w:r>
      <w:r>
        <w:rPr>
          <w:rFonts w:ascii="Arial" w:cs="Arial" w:eastAsia="Arial" w:hAnsi="Arial"/>
          <w:sz w:val="17"/>
          <w:szCs w:val="17"/>
          <w:u w:val="single" w:color="auto"/>
          <w:color w:val="auto"/>
        </w:rPr>
        <w:t>$11,410.20</w:t>
      </w:r>
      <w:r>
        <w:rPr>
          <w:rFonts w:ascii="Arial" w:cs="Arial" w:eastAsia="Arial" w:hAnsi="Arial"/>
          <w:sz w:val="13"/>
          <w:szCs w:val="13"/>
          <w:b w:val="1"/>
          <w:bCs w:val="1"/>
          <w:color w:val="auto"/>
        </w:rPr>
        <w:t xml:space="preserve"> (“Security Deposit”).</w:t>
      </w:r>
    </w:p>
    <w:p>
      <w:pPr>
        <w:spacing w:after="0" w:line="14" w:lineRule="exact"/>
        <w:rPr>
          <w:rFonts w:ascii="Arial" w:cs="Arial" w:eastAsia="Arial" w:hAnsi="Arial"/>
          <w:sz w:val="13"/>
          <w:szCs w:val="13"/>
          <w:color w:val="auto"/>
        </w:rPr>
      </w:pPr>
    </w:p>
    <w:p>
      <w:pPr>
        <w:ind w:left="1080" w:hanging="302"/>
        <w:spacing w:after="0"/>
        <w:tabs>
          <w:tab w:leader="none" w:pos="10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Other:for  .</w:t>
      </w:r>
    </w:p>
    <w:p>
      <w:pPr>
        <w:spacing w:after="0" w:line="26" w:lineRule="exact"/>
        <w:rPr>
          <w:rFonts w:ascii="Arial" w:cs="Arial" w:eastAsia="Arial" w:hAnsi="Arial"/>
          <w:sz w:val="13"/>
          <w:szCs w:val="13"/>
          <w:color w:val="auto"/>
        </w:rPr>
      </w:pPr>
    </w:p>
    <w:p>
      <w:pPr>
        <w:ind w:left="1080" w:hanging="302"/>
        <w:spacing w:after="0"/>
        <w:tabs>
          <w:tab w:leader="none" w:pos="1080" w:val="left"/>
        </w:tabs>
        <w:numPr>
          <w:ilvl w:val="0"/>
          <w:numId w:val="58"/>
        </w:numPr>
        <w:rPr>
          <w:rFonts w:ascii="Arial" w:cs="Arial" w:eastAsia="Arial" w:hAnsi="Arial"/>
          <w:sz w:val="13"/>
          <w:szCs w:val="13"/>
          <w:color w:val="auto"/>
        </w:rPr>
      </w:pPr>
      <w:r>
        <w:rPr>
          <w:rFonts w:ascii="Arial" w:cs="Arial" w:eastAsia="Arial" w:hAnsi="Arial"/>
          <w:sz w:val="13"/>
          <w:szCs w:val="13"/>
          <w:b w:val="1"/>
          <w:bCs w:val="1"/>
          <w:color w:val="auto"/>
        </w:rPr>
        <w:t xml:space="preserve">Total Due Upon Execution of this Lease: </w:t>
      </w:r>
      <w:r>
        <w:rPr>
          <w:rFonts w:ascii="Arial" w:cs="Arial" w:eastAsia="Arial" w:hAnsi="Arial"/>
          <w:sz w:val="17"/>
          <w:szCs w:val="17"/>
          <w:u w:val="single" w:color="auto"/>
          <w:color w:val="auto"/>
        </w:rPr>
        <w:t>$22,820.40</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w:t>
      </w:r>
    </w:p>
    <w:p>
      <w:pPr>
        <w:spacing w:after="0" w:line="19" w:lineRule="exact"/>
        <w:rPr>
          <w:sz w:val="20"/>
          <w:szCs w:val="20"/>
          <w:color w:val="auto"/>
        </w:rPr>
      </w:pPr>
    </w:p>
    <w:p>
      <w:pPr>
        <w:jc w:val="both"/>
        <w:ind w:left="40" w:firstLine="392"/>
        <w:spacing w:after="0" w:line="251" w:lineRule="auto"/>
        <w:rPr>
          <w:sz w:val="20"/>
          <w:szCs w:val="20"/>
          <w:color w:val="auto"/>
        </w:rPr>
      </w:pPr>
      <w:r>
        <w:rPr>
          <w:rFonts w:ascii="Arial" w:cs="Arial" w:eastAsia="Arial" w:hAnsi="Arial"/>
          <w:sz w:val="13"/>
          <w:szCs w:val="13"/>
          <w:b w:val="1"/>
          <w:bCs w:val="1"/>
          <w:color w:val="auto"/>
        </w:rPr>
        <w:t xml:space="preserve">1.8 </w:t>
      </w:r>
      <w:r>
        <w:rPr>
          <w:rFonts w:ascii="Arial" w:cs="Arial" w:eastAsia="Arial" w:hAnsi="Arial"/>
          <w:sz w:val="15"/>
          <w:szCs w:val="15"/>
          <w:color w:val="auto"/>
        </w:rPr>
        <w:t>Agreed Use: The Premises shall be used and occupied only for</w:t>
      </w:r>
      <w:r>
        <w:rPr>
          <w:rFonts w:ascii="Arial" w:cs="Arial" w:eastAsia="Arial" w:hAnsi="Arial"/>
          <w:sz w:val="13"/>
          <w:szCs w:val="13"/>
          <w:b w:val="1"/>
          <w:bCs w:val="1"/>
          <w:color w:val="auto"/>
        </w:rPr>
        <w:t xml:space="preserve"> </w:t>
      </w:r>
      <w:r>
        <w:rPr>
          <w:rFonts w:ascii="Arial" w:cs="Arial" w:eastAsia="Arial" w:hAnsi="Arial"/>
          <w:sz w:val="17"/>
          <w:szCs w:val="17"/>
          <w:u w:val="single" w:color="auto"/>
          <w:color w:val="auto"/>
        </w:rPr>
        <w:t>storage, warehouse, and office, and only as permitted and approved by the</w:t>
      </w:r>
      <w:r>
        <w:rPr>
          <w:rFonts w:ascii="Arial" w:cs="Arial" w:eastAsia="Arial" w:hAnsi="Arial"/>
          <w:sz w:val="13"/>
          <w:szCs w:val="13"/>
          <w:b w:val="1"/>
          <w:bCs w:val="1"/>
          <w:color w:val="auto"/>
        </w:rPr>
        <w:t xml:space="preserve"> </w:t>
      </w:r>
      <w:r>
        <w:rPr>
          <w:rFonts w:ascii="Arial" w:cs="Arial" w:eastAsia="Arial" w:hAnsi="Arial"/>
          <w:sz w:val="17"/>
          <w:szCs w:val="17"/>
          <w:u w:val="single" w:color="auto"/>
          <w:color w:val="auto"/>
        </w:rPr>
        <w:t>city/departments (including OC Environmental Health, OC Fire Department, etc.) Storage and/or use of</w:t>
      </w:r>
      <w:r>
        <w:rPr>
          <w:rFonts w:ascii="Arial" w:cs="Arial" w:eastAsia="Arial" w:hAnsi="Arial"/>
          <w:sz w:val="17"/>
          <w:szCs w:val="17"/>
          <w:color w:val="auto"/>
        </w:rPr>
        <w:t xml:space="preserve"> hazardous or flammable materials are not </w:t>
      </w:r>
      <w:r>
        <w:rPr>
          <w:rFonts w:ascii="Arial" w:cs="Arial" w:eastAsia="Arial" w:hAnsi="Arial"/>
          <w:sz w:val="17"/>
          <w:szCs w:val="17"/>
          <w:u w:val="single" w:color="auto"/>
          <w:color w:val="auto"/>
        </w:rPr>
        <w:t>allowed at the Premises without first obtaining the proper permits and approvals. The occupancy limit at the Premises shall not exceed 19 at any time,</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 xml:space="preserve">1.10 Guarantor. The obligations of the Sublessee under this Sublease shall be guaranteed by </w:t>
      </w:r>
      <w:r>
        <w:rPr>
          <w:rFonts w:ascii="Arial" w:cs="Arial" w:eastAsia="Arial" w:hAnsi="Arial"/>
          <w:sz w:val="13"/>
          <w:szCs w:val="13"/>
          <w:u w:val="single" w:color="auto"/>
          <w:color w:val="auto"/>
        </w:rPr>
        <w:t>N/A</w:t>
      </w:r>
      <w:r>
        <w:rPr>
          <w:rFonts w:ascii="Arial" w:cs="Arial" w:eastAsia="Arial" w:hAnsi="Arial"/>
          <w:sz w:val="13"/>
          <w:szCs w:val="13"/>
          <w:color w:val="auto"/>
        </w:rPr>
        <w:t xml:space="preserve"> (“Guarantor”).</w:t>
      </w:r>
    </w:p>
    <w:p>
      <w:pPr>
        <w:spacing w:after="0" w:line="67"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3"/>
          <w:szCs w:val="13"/>
          <w:color w:val="auto"/>
        </w:rPr>
        <w:t>1.11</w:t>
        <w:tab/>
        <w:t>Attachments. Attached hereto are the following, all of which constitute a part of this Sublease:</w:t>
      </w:r>
    </w:p>
    <w:p>
      <w:pPr>
        <w:spacing w:after="0" w:line="84" w:lineRule="exact"/>
        <w:rPr>
          <w:sz w:val="20"/>
          <w:szCs w:val="20"/>
          <w:color w:val="auto"/>
        </w:rPr>
      </w:pPr>
    </w:p>
    <w:p>
      <w:pPr>
        <w:spacing w:after="0" w:line="196" w:lineRule="exact"/>
        <w:tabs>
          <w:tab w:leader="none" w:pos="2660" w:val="left"/>
          <w:tab w:leader="none" w:pos="3120" w:val="left"/>
          <w:tab w:leader="none" w:pos="3800" w:val="left"/>
          <w:tab w:leader="none" w:pos="4280" w:val="left"/>
        </w:tabs>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an Addendum consisting of Paragraphs</w:t>
      </w:r>
      <w:r>
        <w:rPr>
          <w:sz w:val="20"/>
          <w:szCs w:val="20"/>
          <w:color w:val="auto"/>
        </w:rPr>
        <w:tab/>
      </w:r>
      <w:r>
        <w:rPr>
          <w:rFonts w:ascii="Arial" w:cs="Arial" w:eastAsia="Arial" w:hAnsi="Arial"/>
          <w:sz w:val="17"/>
          <w:szCs w:val="17"/>
          <w:color w:val="auto"/>
        </w:rPr>
        <w:t>16</w:t>
      </w:r>
      <w:r>
        <w:rPr>
          <w:sz w:val="20"/>
          <w:szCs w:val="20"/>
          <w:color w:val="auto"/>
        </w:rPr>
        <w:tab/>
      </w:r>
      <w:r>
        <w:rPr>
          <w:rFonts w:ascii="Arial" w:cs="Arial" w:eastAsia="Arial" w:hAnsi="Arial"/>
          <w:sz w:val="13"/>
          <w:szCs w:val="13"/>
          <w:color w:val="auto"/>
        </w:rPr>
        <w:t>through</w:t>
      </w:r>
      <w:r>
        <w:rPr>
          <w:sz w:val="20"/>
          <w:szCs w:val="20"/>
          <w:color w:val="auto"/>
        </w:rPr>
        <w:tab/>
      </w:r>
      <w:r>
        <w:rPr>
          <w:rFonts w:ascii="Arial" w:cs="Arial" w:eastAsia="Arial" w:hAnsi="Arial"/>
          <w:sz w:val="17"/>
          <w:szCs w:val="17"/>
          <w:color w:val="auto"/>
        </w:rPr>
        <w:t>21</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1630680</wp:posOffset>
            </wp:positionH>
            <wp:positionV relativeFrom="paragraph">
              <wp:posOffset>-15240</wp:posOffset>
            </wp:positionV>
            <wp:extent cx="33464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34645" cy="8255"/>
                    </a:xfrm>
                    <a:prstGeom prst="rect">
                      <a:avLst/>
                    </a:prstGeom>
                    <a:noFill/>
                  </pic:spPr>
                </pic:pic>
              </a:graphicData>
            </a:graphic>
          </wp:anchor>
        </w:drawing>
        <w:drawing>
          <wp:anchor simplePos="0" relativeHeight="251657728" behindDoc="1" locked="0" layoutInCell="0" allowOverlap="1">
            <wp:simplePos x="0" y="0"/>
            <wp:positionH relativeFrom="column">
              <wp:posOffset>2303780</wp:posOffset>
            </wp:positionH>
            <wp:positionV relativeFrom="paragraph">
              <wp:posOffset>-15240</wp:posOffset>
            </wp:positionV>
            <wp:extent cx="45085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5085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395605</wp:posOffset>
            </wp:positionV>
            <wp:extent cx="505460" cy="40322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05460" cy="40322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532765</wp:posOffset>
            </wp:positionV>
            <wp:extent cx="539750" cy="3943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3975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00" w:type="dxa"/>
            <w:vAlign w:val="bottom"/>
          </w:tcPr>
          <w:p>
            <w:pPr>
              <w:ind w:left="20"/>
              <w:spacing w:after="0"/>
              <w:rPr>
                <w:sz w:val="20"/>
                <w:szCs w:val="20"/>
                <w:color w:val="auto"/>
              </w:rPr>
            </w:pPr>
            <w:r>
              <w:rPr>
                <w:rFonts w:ascii="Arial" w:cs="Arial" w:eastAsia="Arial" w:hAnsi="Arial"/>
                <w:sz w:val="18"/>
                <w:szCs w:val="18"/>
                <w:color w:val="auto"/>
              </w:rPr>
              <w:t>INITIALS</w:t>
            </w:r>
          </w:p>
        </w:tc>
        <w:tc>
          <w:tcPr>
            <w:tcW w:w="3160" w:type="dxa"/>
            <w:vAlign w:val="bottom"/>
          </w:tcPr>
          <w:p>
            <w:pPr>
              <w:spacing w:after="0"/>
              <w:rPr>
                <w:sz w:val="18"/>
                <w:szCs w:val="18"/>
                <w:color w:val="auto"/>
              </w:rPr>
            </w:pPr>
          </w:p>
        </w:tc>
        <w:tc>
          <w:tcPr>
            <w:tcW w:w="3780" w:type="dxa"/>
            <w:vAlign w:val="bottom"/>
          </w:tcPr>
          <w:p>
            <w:pPr>
              <w:spacing w:after="0"/>
              <w:rPr>
                <w:sz w:val="18"/>
                <w:szCs w:val="18"/>
                <w:color w:val="auto"/>
              </w:rPr>
            </w:pPr>
          </w:p>
        </w:tc>
      </w:tr>
      <w:tr>
        <w:trPr>
          <w:trHeight w:val="208"/>
        </w:trPr>
        <w:tc>
          <w:tcPr>
            <w:tcW w:w="4300" w:type="dxa"/>
            <w:vAlign w:val="bottom"/>
          </w:tcPr>
          <w:p>
            <w:pPr>
              <w:ind w:left="20"/>
              <w:spacing w:after="0"/>
              <w:rPr>
                <w:sz w:val="20"/>
                <w:szCs w:val="20"/>
                <w:color w:val="auto"/>
              </w:rPr>
            </w:pPr>
            <w:r>
              <w:rPr>
                <w:rFonts w:ascii="Arial" w:cs="Arial" w:eastAsia="Arial" w:hAnsi="Arial"/>
                <w:sz w:val="18"/>
                <w:szCs w:val="18"/>
                <w:color w:val="auto"/>
              </w:rPr>
              <w:t>© 2019 AIR CRE. All Rights Reserved.</w:t>
            </w:r>
          </w:p>
        </w:tc>
        <w:tc>
          <w:tcPr>
            <w:tcW w:w="3160" w:type="dxa"/>
            <w:vAlign w:val="bottom"/>
          </w:tcPr>
          <w:p>
            <w:pPr>
              <w:ind w:left="1200"/>
              <w:spacing w:after="0"/>
              <w:rPr>
                <w:sz w:val="20"/>
                <w:szCs w:val="20"/>
                <w:color w:val="auto"/>
              </w:rPr>
            </w:pPr>
            <w:r>
              <w:rPr>
                <w:rFonts w:ascii="Arial" w:cs="Arial" w:eastAsia="Arial" w:hAnsi="Arial"/>
                <w:sz w:val="18"/>
                <w:szCs w:val="18"/>
                <w:color w:val="auto"/>
              </w:rPr>
              <w:t>INITIALS</w:t>
            </w:r>
          </w:p>
        </w:tc>
        <w:tc>
          <w:tcPr>
            <w:tcW w:w="3780" w:type="dxa"/>
            <w:vAlign w:val="bottom"/>
          </w:tcPr>
          <w:p>
            <w:pPr>
              <w:jc w:val="right"/>
              <w:spacing w:after="0"/>
              <w:rPr>
                <w:sz w:val="20"/>
                <w:szCs w:val="20"/>
                <w:color w:val="auto"/>
              </w:rPr>
            </w:pPr>
            <w:r>
              <w:rPr>
                <w:rFonts w:ascii="Arial" w:cs="Arial" w:eastAsia="Arial" w:hAnsi="Arial"/>
                <w:sz w:val="18"/>
                <w:szCs w:val="18"/>
                <w:color w:val="auto"/>
              </w:rPr>
              <w:t>Last Edited: 4/4/2022 10:50 AM</w:t>
            </w:r>
          </w:p>
        </w:tc>
      </w:tr>
      <w:tr>
        <w:trPr>
          <w:trHeight w:val="247"/>
        </w:trPr>
        <w:tc>
          <w:tcPr>
            <w:tcW w:w="4300" w:type="dxa"/>
            <w:vAlign w:val="bottom"/>
          </w:tcPr>
          <w:p>
            <w:pPr>
              <w:ind w:left="20"/>
              <w:spacing w:after="0"/>
              <w:rPr>
                <w:sz w:val="20"/>
                <w:szCs w:val="20"/>
                <w:color w:val="auto"/>
              </w:rPr>
            </w:pPr>
            <w:r>
              <w:rPr>
                <w:rFonts w:ascii="Arial" w:cs="Arial" w:eastAsia="Arial" w:hAnsi="Arial"/>
                <w:sz w:val="18"/>
                <w:szCs w:val="18"/>
                <w:color w:val="auto"/>
              </w:rPr>
              <w:t>SBMT-8.03, Revised 10-22-2020</w:t>
            </w:r>
          </w:p>
        </w:tc>
        <w:tc>
          <w:tcPr>
            <w:tcW w:w="3160" w:type="dxa"/>
            <w:vAlign w:val="bottom"/>
          </w:tcPr>
          <w:p>
            <w:pPr>
              <w:spacing w:after="0"/>
              <w:rPr>
                <w:sz w:val="21"/>
                <w:szCs w:val="21"/>
                <w:color w:val="auto"/>
              </w:rPr>
            </w:pPr>
          </w:p>
        </w:tc>
        <w:tc>
          <w:tcPr>
            <w:tcW w:w="3780" w:type="dxa"/>
            <w:vAlign w:val="bottom"/>
          </w:tcPr>
          <w:p>
            <w:pPr>
              <w:jc w:val="right"/>
              <w:spacing w:after="0"/>
              <w:rPr>
                <w:sz w:val="20"/>
                <w:szCs w:val="20"/>
                <w:color w:val="auto"/>
              </w:rPr>
            </w:pPr>
            <w:r>
              <w:rPr>
                <w:rFonts w:ascii="Arial" w:cs="Arial" w:eastAsia="Arial" w:hAnsi="Arial"/>
                <w:sz w:val="18"/>
                <w:szCs w:val="18"/>
                <w:color w:val="auto"/>
              </w:rPr>
              <w:t>Page 1 of 7</w:t>
            </w:r>
          </w:p>
        </w:tc>
      </w:tr>
      <w:tr>
        <w:trPr>
          <w:trHeight w:val="138"/>
        </w:trPr>
        <w:tc>
          <w:tcPr>
            <w:tcW w:w="4300" w:type="dxa"/>
            <w:vAlign w:val="bottom"/>
            <w:tcBorders>
              <w:bottom w:val="single" w:sz="8" w:color="9A9A9A"/>
            </w:tcBorders>
          </w:tcPr>
          <w:p>
            <w:pPr>
              <w:spacing w:after="0"/>
              <w:rPr>
                <w:sz w:val="12"/>
                <w:szCs w:val="12"/>
                <w:color w:val="auto"/>
              </w:rPr>
            </w:pPr>
          </w:p>
        </w:tc>
        <w:tc>
          <w:tcPr>
            <w:tcW w:w="3160" w:type="dxa"/>
            <w:vAlign w:val="bottom"/>
            <w:tcBorders>
              <w:bottom w:val="single" w:sz="8" w:color="9A9A9A"/>
            </w:tcBorders>
          </w:tcPr>
          <w:p>
            <w:pPr>
              <w:spacing w:after="0"/>
              <w:rPr>
                <w:sz w:val="12"/>
                <w:szCs w:val="12"/>
                <w:color w:val="auto"/>
              </w:rPr>
            </w:pPr>
          </w:p>
        </w:tc>
        <w:tc>
          <w:tcPr>
            <w:tcW w:w="37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05" w:name="page106"/>
    <w:bookmarkEnd w:id="105"/>
    <w:p>
      <w:pPr>
        <w:ind w:left="320" w:hanging="312"/>
        <w:spacing w:after="0"/>
        <w:tabs>
          <w:tab w:leader="none" w:pos="320" w:val="left"/>
        </w:tabs>
        <w:numPr>
          <w:ilvl w:val="0"/>
          <w:numId w:val="59"/>
        </w:numPr>
        <w:rPr>
          <w:rFonts w:ascii="MS PGothic" w:cs="MS PGothic" w:eastAsia="MS PGothic" w:hAnsi="MS PGothic"/>
          <w:sz w:val="18"/>
          <w:szCs w:val="18"/>
          <w:color w:val="auto"/>
        </w:rPr>
      </w:pPr>
      <w:r>
        <w:rPr>
          <w:rFonts w:ascii="Arial" w:cs="Arial" w:eastAsia="Arial" w:hAnsi="Arial"/>
          <w:sz w:val="13"/>
          <w:szCs w:val="13"/>
          <w:color w:val="auto"/>
        </w:rPr>
        <w:t xml:space="preserve">a plot plan depicting the Premises and/or Project </w:t>
      </w:r>
      <w:r>
        <w:rPr>
          <w:rFonts w:ascii="Arial" w:cs="Arial" w:eastAsia="Arial" w:hAnsi="Arial"/>
          <w:sz w:val="19"/>
          <w:szCs w:val="19"/>
          <w:color w:val="FF0000"/>
        </w:rPr>
        <w:t>attached as EXHIBIT A</w:t>
      </w:r>
      <w:r>
        <w:rPr>
          <w:rFonts w:ascii="Arial" w:cs="Arial" w:eastAsia="Arial" w:hAnsi="Arial"/>
          <w:sz w:val="13"/>
          <w:szCs w:val="13"/>
          <w:color w:val="FF0000"/>
        </w:rPr>
        <w:t>;</w:t>
      </w:r>
    </w:p>
    <w:p>
      <w:pPr>
        <w:spacing w:after="0" w:line="48" w:lineRule="exact"/>
        <w:rPr>
          <w:sz w:val="20"/>
          <w:szCs w:val="20"/>
          <w:color w:val="auto"/>
        </w:rPr>
      </w:pPr>
    </w:p>
    <w:p>
      <w:pPr>
        <w:ind w:left="340" w:right="8520" w:hanging="10"/>
        <w:spacing w:after="0" w:line="378" w:lineRule="auto"/>
        <w:rPr>
          <w:sz w:val="20"/>
          <w:szCs w:val="20"/>
          <w:color w:val="auto"/>
        </w:rPr>
      </w:pPr>
      <w:r>
        <w:rPr>
          <w:rFonts w:ascii="Arial" w:cs="Arial" w:eastAsia="Arial" w:hAnsi="Arial"/>
          <w:sz w:val="13"/>
          <w:szCs w:val="13"/>
          <w:color w:val="auto"/>
        </w:rPr>
        <w:t>a current set of the Rules and Regulations; a Work Letter;</w:t>
      </w:r>
    </w:p>
    <w:p>
      <w:pPr>
        <w:ind w:left="200"/>
        <w:spacing w:after="0"/>
        <w:rPr>
          <w:sz w:val="20"/>
          <w:szCs w:val="20"/>
          <w:color w:val="auto"/>
        </w:rPr>
      </w:pPr>
      <w:r>
        <w:rPr>
          <w:rFonts w:ascii="Arial" w:cs="Arial" w:eastAsia="Arial" w:hAnsi="Arial"/>
          <w:sz w:val="13"/>
          <w:szCs w:val="13"/>
          <w:color w:val="auto"/>
        </w:rPr>
        <w:t xml:space="preserve">a copy of the Master Lease and any and all amendments to such lease (collectively the </w:t>
      </w:r>
      <w:r>
        <w:rPr>
          <w:rFonts w:ascii="Arial" w:cs="Arial" w:eastAsia="Arial" w:hAnsi="Arial"/>
          <w:sz w:val="13"/>
          <w:szCs w:val="13"/>
          <w:b w:val="1"/>
          <w:bCs w:val="1"/>
          <w:color w:val="auto"/>
        </w:rPr>
        <w:t>“Master Lease”</w:t>
      </w:r>
      <w:r>
        <w:rPr>
          <w:rFonts w:ascii="Arial" w:cs="Arial" w:eastAsia="Arial" w:hAnsi="Arial"/>
          <w:sz w:val="13"/>
          <w:szCs w:val="13"/>
          <w:color w:val="auto"/>
        </w:rPr>
        <w:t xml:space="preserve">) </w:t>
      </w:r>
      <w:r>
        <w:rPr>
          <w:rFonts w:ascii="Arial" w:cs="Arial" w:eastAsia="Arial" w:hAnsi="Arial"/>
          <w:sz w:val="21"/>
          <w:szCs w:val="21"/>
          <w:color w:val="FF0000"/>
        </w:rPr>
        <w:t>attached as EXHIBIT C</w:t>
      </w:r>
      <w:r>
        <w:rPr>
          <w:rFonts w:ascii="Arial" w:cs="Arial" w:eastAsia="Arial" w:hAnsi="Arial"/>
          <w:sz w:val="19"/>
          <w:szCs w:val="19"/>
          <w:color w:val="auto"/>
        </w:rPr>
        <w:t>;</w:t>
      </w:r>
    </w:p>
    <w:p>
      <w:pPr>
        <w:spacing w:after="0" w:line="52" w:lineRule="exact"/>
        <w:rPr>
          <w:sz w:val="20"/>
          <w:szCs w:val="20"/>
          <w:color w:val="auto"/>
        </w:rPr>
      </w:pPr>
    </w:p>
    <w:p>
      <w:pPr>
        <w:ind w:left="400" w:hanging="392"/>
        <w:spacing w:after="0"/>
        <w:tabs>
          <w:tab w:leader="none" w:pos="400" w:val="left"/>
        </w:tabs>
        <w:numPr>
          <w:ilvl w:val="0"/>
          <w:numId w:val="61"/>
        </w:numPr>
        <w:rPr>
          <w:rFonts w:ascii="MS PGothic" w:cs="MS PGothic" w:eastAsia="MS PGothic" w:hAnsi="MS PGothic"/>
          <w:sz w:val="17"/>
          <w:szCs w:val="17"/>
          <w:color w:val="auto"/>
        </w:rPr>
      </w:pPr>
      <w:r>
        <w:rPr>
          <w:rFonts w:ascii="Arial" w:cs="Arial" w:eastAsia="Arial" w:hAnsi="Arial"/>
          <w:sz w:val="13"/>
          <w:szCs w:val="13"/>
          <w:color w:val="auto"/>
        </w:rPr>
        <w:t>other (specify):</w:t>
      </w:r>
      <w:r>
        <w:rPr>
          <w:rFonts w:ascii="Arial" w:cs="Arial" w:eastAsia="Arial" w:hAnsi="Arial"/>
          <w:sz w:val="17"/>
          <w:szCs w:val="17"/>
          <w:u w:val="single" w:color="auto"/>
          <w:color w:val="auto"/>
        </w:rPr>
        <w:t>RENT ADJUSTMENT (S) STANDARD LEASE ADDENDUM (Paragraph 14) and ARBITRATION AGREEMENT (Paragraph 15)</w:t>
      </w:r>
    </w:p>
    <w:p>
      <w:pPr>
        <w:spacing w:after="0" w:line="36" w:lineRule="exact"/>
        <w:rPr>
          <w:rFonts w:ascii="MS PGothic" w:cs="MS PGothic" w:eastAsia="MS PGothic" w:hAnsi="MS PGothic"/>
          <w:sz w:val="17"/>
          <w:szCs w:val="17"/>
          <w:color w:val="auto"/>
        </w:rPr>
      </w:pPr>
    </w:p>
    <w:p>
      <w:pPr>
        <w:spacing w:after="0"/>
        <w:rPr>
          <w:rFonts w:ascii="MS PGothic" w:cs="MS PGothic" w:eastAsia="MS PGothic" w:hAnsi="MS PGothic"/>
          <w:sz w:val="17"/>
          <w:szCs w:val="17"/>
          <w:color w:val="auto"/>
        </w:rPr>
      </w:pPr>
      <w:r>
        <w:rPr>
          <w:rFonts w:ascii="Arial" w:cs="Arial" w:eastAsia="Arial" w:hAnsi="Arial"/>
          <w:sz w:val="17"/>
          <w:szCs w:val="17"/>
          <w:color w:val="auto"/>
        </w:rPr>
        <w:t>.</w:t>
      </w:r>
    </w:p>
    <w:p>
      <w:pPr>
        <w:spacing w:after="0" w:line="184" w:lineRule="exact"/>
        <w:rPr>
          <w:sz w:val="20"/>
          <w:szCs w:val="20"/>
          <w:color w:val="auto"/>
        </w:rPr>
      </w:pPr>
    </w:p>
    <w:p>
      <w:pPr>
        <w:ind w:left="280" w:hanging="272"/>
        <w:spacing w:after="0"/>
        <w:tabs>
          <w:tab w:leader="none" w:pos="280" w:val="left"/>
        </w:tabs>
        <w:numPr>
          <w:ilvl w:val="0"/>
          <w:numId w:val="62"/>
        </w:numPr>
        <w:rPr>
          <w:rFonts w:ascii="Arial" w:cs="Arial" w:eastAsia="Arial" w:hAnsi="Arial"/>
          <w:sz w:val="13"/>
          <w:szCs w:val="13"/>
          <w:b w:val="1"/>
          <w:bCs w:val="1"/>
          <w:color w:val="auto"/>
        </w:rPr>
      </w:pPr>
      <w:r>
        <w:rPr>
          <w:rFonts w:ascii="Arial" w:cs="Arial" w:eastAsia="Arial" w:hAnsi="Arial"/>
          <w:sz w:val="13"/>
          <w:szCs w:val="13"/>
          <w:b w:val="1"/>
          <w:bCs w:val="1"/>
          <w:color w:val="auto"/>
        </w:rPr>
        <w:t>Premises.</w:t>
      </w:r>
    </w:p>
    <w:p>
      <w:pPr>
        <w:spacing w:after="0" w:line="22" w:lineRule="exact"/>
        <w:rPr>
          <w:sz w:val="20"/>
          <w:szCs w:val="20"/>
          <w:color w:val="auto"/>
        </w:rPr>
      </w:pPr>
    </w:p>
    <w:p>
      <w:pPr>
        <w:ind w:right="20" w:firstLine="416"/>
        <w:spacing w:after="0" w:line="314" w:lineRule="auto"/>
        <w:rPr>
          <w:sz w:val="20"/>
          <w:szCs w:val="20"/>
          <w:color w:val="auto"/>
        </w:rPr>
      </w:pPr>
      <w:r>
        <w:rPr>
          <w:rFonts w:ascii="Arial" w:cs="Arial" w:eastAsia="Arial" w:hAnsi="Arial"/>
          <w:sz w:val="12"/>
          <w:szCs w:val="12"/>
          <w:b w:val="1"/>
          <w:bCs w:val="1"/>
          <w:color w:val="auto"/>
        </w:rPr>
        <w:t xml:space="preserve">2.1 Letting. </w:t>
      </w:r>
      <w:r>
        <w:rPr>
          <w:rFonts w:ascii="Arial" w:cs="Arial" w:eastAsia="Arial" w:hAnsi="Arial"/>
          <w:sz w:val="12"/>
          <w:szCs w:val="12"/>
          <w:color w:val="auto"/>
        </w:rPr>
        <w:t>Sublessor hereby subleases to Sublessee, and Sublessee hereby subleases from Sublessor, the Premises, for the term, at the rental, and upon all of the terms, covenants and</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conditions set forth in this Sublease. While the approximate square footage of the Premises may have been used in the marketing of the Premises for purposes of comparison, the Base Rent stated herein is NOT tied to square footage and is not subject to adjustment should the actual size be determined to be different. </w:t>
      </w:r>
      <w:r>
        <w:rPr>
          <w:rFonts w:ascii="Arial" w:cs="Arial" w:eastAsia="Arial" w:hAnsi="Arial"/>
          <w:sz w:val="12"/>
          <w:szCs w:val="12"/>
          <w:b w:val="1"/>
          <w:bCs w:val="1"/>
          <w:color w:val="auto"/>
        </w:rPr>
        <w:t>Note: Sublessee is advised to verify the actual size prior to executing this</w:t>
      </w:r>
    </w:p>
    <w:p>
      <w:pPr>
        <w:spacing w:after="0" w:line="123" w:lineRule="exact"/>
        <w:rPr>
          <w:sz w:val="20"/>
          <w:szCs w:val="20"/>
          <w:color w:val="auto"/>
        </w:rPr>
      </w:pPr>
    </w:p>
    <w:p>
      <w:pPr>
        <w:ind w:right="60" w:firstLine="416"/>
        <w:spacing w:after="0" w:line="270" w:lineRule="auto"/>
        <w:rPr>
          <w:sz w:val="20"/>
          <w:szCs w:val="20"/>
          <w:color w:val="auto"/>
        </w:rPr>
      </w:pPr>
      <w:r>
        <w:rPr>
          <w:rFonts w:ascii="Arial" w:cs="Arial" w:eastAsia="Arial" w:hAnsi="Arial"/>
          <w:sz w:val="13"/>
          <w:szCs w:val="13"/>
          <w:color w:val="auto"/>
        </w:rPr>
        <w:t xml:space="preserve">2.2 </w:t>
      </w:r>
      <w:r>
        <w:rPr>
          <w:rFonts w:ascii="Arial" w:cs="Arial" w:eastAsia="Arial" w:hAnsi="Arial"/>
          <w:sz w:val="13"/>
          <w:szCs w:val="13"/>
          <w:b w:val="1"/>
          <w:bCs w:val="1"/>
          <w:color w:val="auto"/>
        </w:rPr>
        <w:t>Condition.</w:t>
      </w:r>
      <w:r>
        <w:rPr>
          <w:rFonts w:ascii="Arial" w:cs="Arial" w:eastAsia="Arial" w:hAnsi="Arial"/>
          <w:sz w:val="13"/>
          <w:szCs w:val="13"/>
          <w:color w:val="auto"/>
        </w:rPr>
        <w:t xml:space="preserve"> Sublessor shall deliver the Premises to Sublessee broom clean and free of debris on the Commencement Date or the Early Possession Date, whichever first occurs (“</w:t>
      </w:r>
      <w:r>
        <w:rPr>
          <w:rFonts w:ascii="Arial" w:cs="Arial" w:eastAsia="Arial" w:hAnsi="Arial"/>
          <w:sz w:val="13"/>
          <w:szCs w:val="13"/>
          <w:b w:val="1"/>
          <w:bCs w:val="1"/>
          <w:color w:val="auto"/>
        </w:rPr>
        <w:t>Start</w:t>
      </w:r>
      <w:r>
        <w:rPr>
          <w:rFonts w:ascii="Arial" w:cs="Arial" w:eastAsia="Arial" w:hAnsi="Arial"/>
          <w:sz w:val="13"/>
          <w:szCs w:val="13"/>
          <w:color w:val="auto"/>
        </w:rPr>
        <w:t xml:space="preserve"> </w:t>
      </w:r>
      <w:r>
        <w:rPr>
          <w:rFonts w:ascii="Arial" w:cs="Arial" w:eastAsia="Arial" w:hAnsi="Arial"/>
          <w:sz w:val="13"/>
          <w:szCs w:val="13"/>
          <w:b w:val="1"/>
          <w:bCs w:val="1"/>
          <w:color w:val="auto"/>
        </w:rPr>
        <w:t>Date</w:t>
      </w:r>
      <w:r>
        <w:rPr>
          <w:rFonts w:ascii="Arial" w:cs="Arial" w:eastAsia="Arial" w:hAnsi="Arial"/>
          <w:sz w:val="13"/>
          <w:szCs w:val="13"/>
          <w:color w:val="auto"/>
        </w:rPr>
        <w:t>”), and warrants that the existing electrical, plumbing, fire sprinkler, lighting, heating, ventilating and air conditioning systems (“</w:t>
      </w:r>
      <w:r>
        <w:rPr>
          <w:rFonts w:ascii="Arial" w:cs="Arial" w:eastAsia="Arial" w:hAnsi="Arial"/>
          <w:sz w:val="13"/>
          <w:szCs w:val="13"/>
          <w:b w:val="1"/>
          <w:bCs w:val="1"/>
          <w:color w:val="auto"/>
        </w:rPr>
        <w:t>HVAC</w:t>
      </w:r>
      <w:r>
        <w:rPr>
          <w:rFonts w:ascii="Arial" w:cs="Arial" w:eastAsia="Arial" w:hAnsi="Arial"/>
          <w:sz w:val="13"/>
          <w:szCs w:val="13"/>
          <w:color w:val="auto"/>
        </w:rPr>
        <w:t>”), and any items which the Sublessor is obligated to construct</w:t>
      </w:r>
      <w:r>
        <w:rPr>
          <w:rFonts w:ascii="Arial" w:cs="Arial" w:eastAsia="Arial" w:hAnsi="Arial"/>
          <w:sz w:val="13"/>
          <w:szCs w:val="13"/>
          <w:b w:val="1"/>
          <w:bCs w:val="1"/>
          <w:color w:val="auto"/>
        </w:rPr>
        <w:t xml:space="preserve"> </w:t>
      </w:r>
      <w:r>
        <w:rPr>
          <w:rFonts w:ascii="Arial" w:cs="Arial" w:eastAsia="Arial" w:hAnsi="Arial"/>
          <w:sz w:val="13"/>
          <w:szCs w:val="13"/>
          <w:color w:val="auto"/>
        </w:rPr>
        <w:t>pursuant to the Work Letter attached hereto, if any, other than those constructed by Sublessee, shall be in good operating condition on said date. If a non-compliance with such warranty exists as of the Start Date, or if one of such systems or elements should malfunction or fail within the appropriate warranty period, Sublessor shall, as Sublessor’s sole obligation with respect to such matter, except as otherwise provided in this Sublease, promptly after receipt of written notice from Sublessee setting forth with specificity the nature and extent of such non-compliance, malfunction or failure, rectify same at Sublessor’s expense. The warranty periods shall be as follows: (i) 6 months as to the HVAC systems, and (ii) 30 days as to the remaining systems and other elements. If Sublessee does not give Sublessor the required notice within the appropriate warranty period, correction of any such non-compliance, malfunction or failure shall be the obligation of Sublessee at Sublessee’s sole cost and expense.</w:t>
      </w:r>
    </w:p>
    <w:p>
      <w:pPr>
        <w:spacing w:after="0" w:line="5" w:lineRule="exact"/>
        <w:rPr>
          <w:sz w:val="20"/>
          <w:szCs w:val="20"/>
          <w:color w:val="auto"/>
        </w:rPr>
      </w:pPr>
    </w:p>
    <w:p>
      <w:pPr>
        <w:ind w:left="420"/>
        <w:spacing w:after="0"/>
        <w:tabs>
          <w:tab w:leader="none" w:pos="960" w:val="left"/>
        </w:tabs>
        <w:rPr>
          <w:sz w:val="20"/>
          <w:szCs w:val="20"/>
          <w:color w:val="auto"/>
        </w:rPr>
      </w:pPr>
      <w:r>
        <w:rPr>
          <w:rFonts w:ascii="Arial" w:cs="Arial" w:eastAsia="Arial" w:hAnsi="Arial"/>
          <w:sz w:val="13"/>
          <w:szCs w:val="13"/>
          <w:color w:val="auto"/>
        </w:rPr>
        <w:t>2.3</w:t>
      </w:r>
      <w:r>
        <w:rPr>
          <w:sz w:val="20"/>
          <w:szCs w:val="20"/>
          <w:color w:val="auto"/>
        </w:rPr>
        <w:tab/>
      </w:r>
      <w:r>
        <w:rPr>
          <w:rFonts w:ascii="Arial" w:cs="Arial" w:eastAsia="Arial" w:hAnsi="Arial"/>
          <w:sz w:val="12"/>
          <w:szCs w:val="12"/>
          <w:b w:val="1"/>
          <w:bCs w:val="1"/>
          <w:color w:val="auto"/>
        </w:rPr>
        <w:t xml:space="preserve">Compliance. </w:t>
      </w:r>
      <w:r>
        <w:rPr>
          <w:rFonts w:ascii="Arial" w:cs="Arial" w:eastAsia="Arial" w:hAnsi="Arial"/>
          <w:sz w:val="12"/>
          <w:szCs w:val="12"/>
          <w:color w:val="auto"/>
        </w:rPr>
        <w:t>Sublessor warrants that any improvements, alterations or utility installations made or installed by or on behalf of Sublessor to or on the Premises comply with all</w:t>
      </w:r>
    </w:p>
    <w:p>
      <w:pPr>
        <w:spacing w:after="0" w:line="22" w:lineRule="exact"/>
        <w:rPr>
          <w:sz w:val="20"/>
          <w:szCs w:val="20"/>
          <w:color w:val="auto"/>
        </w:rPr>
      </w:pPr>
    </w:p>
    <w:p>
      <w:pPr>
        <w:ind w:right="80"/>
        <w:spacing w:after="0" w:line="266" w:lineRule="auto"/>
        <w:rPr>
          <w:sz w:val="20"/>
          <w:szCs w:val="20"/>
          <w:color w:val="auto"/>
        </w:rPr>
      </w:pPr>
      <w:r>
        <w:rPr>
          <w:rFonts w:ascii="Arial" w:cs="Arial" w:eastAsia="Arial" w:hAnsi="Arial"/>
          <w:sz w:val="13"/>
          <w:szCs w:val="13"/>
          <w:color w:val="auto"/>
        </w:rPr>
        <w:t>applicable covenants or restrictions of record and applicable building codes, regulations and ordinances (“</w:t>
      </w:r>
      <w:r>
        <w:rPr>
          <w:rFonts w:ascii="Arial" w:cs="Arial" w:eastAsia="Arial" w:hAnsi="Arial"/>
          <w:sz w:val="13"/>
          <w:szCs w:val="13"/>
          <w:b w:val="1"/>
          <w:bCs w:val="1"/>
          <w:color w:val="auto"/>
        </w:rPr>
        <w:t>Applicable Requirements</w:t>
      </w:r>
      <w:r>
        <w:rPr>
          <w:rFonts w:ascii="Arial" w:cs="Arial" w:eastAsia="Arial" w:hAnsi="Arial"/>
          <w:sz w:val="13"/>
          <w:szCs w:val="13"/>
          <w:color w:val="auto"/>
        </w:rPr>
        <w:t xml:space="preserve">”) in effect on the date that they were made or installed. Sublessor makes no warranty as to the use to which Sublessee will put the Premises or to modifications which may be required by the Americans with Disabilities Act or any similar laws as a result of Sublessee’s use. </w:t>
      </w:r>
      <w:r>
        <w:rPr>
          <w:rFonts w:ascii="Arial" w:cs="Arial" w:eastAsia="Arial" w:hAnsi="Arial"/>
          <w:sz w:val="13"/>
          <w:szCs w:val="13"/>
          <w:b w:val="1"/>
          <w:bCs w:val="1"/>
          <w:color w:val="auto"/>
        </w:rPr>
        <w:t>NOTE: Sublessee is responsible for determining whether or not the zoning and other Applicable Requirements are appropriate for Sublessee’s intended use, and acknowledges that</w:t>
      </w:r>
      <w:r>
        <w:rPr>
          <w:rFonts w:ascii="Arial" w:cs="Arial" w:eastAsia="Arial" w:hAnsi="Arial"/>
          <w:sz w:val="13"/>
          <w:szCs w:val="13"/>
          <w:color w:val="auto"/>
        </w:rPr>
        <w:t xml:space="preserve"> </w:t>
      </w:r>
      <w:r>
        <w:rPr>
          <w:rFonts w:ascii="Arial" w:cs="Arial" w:eastAsia="Arial" w:hAnsi="Arial"/>
          <w:sz w:val="13"/>
          <w:szCs w:val="13"/>
          <w:b w:val="1"/>
          <w:bCs w:val="1"/>
          <w:color w:val="auto"/>
        </w:rPr>
        <w:t xml:space="preserve">past uses of the Premises may no longer be allowed. </w:t>
      </w:r>
      <w:r>
        <w:rPr>
          <w:rFonts w:ascii="Arial" w:cs="Arial" w:eastAsia="Arial" w:hAnsi="Arial"/>
          <w:sz w:val="13"/>
          <w:szCs w:val="13"/>
          <w:color w:val="auto"/>
        </w:rPr>
        <w:t>If the Premises do not comply with said warranty, Sublessor shall, except as otherwise provided, promptly after receipt of written notice from</w:t>
      </w:r>
      <w:r>
        <w:rPr>
          <w:rFonts w:ascii="Arial" w:cs="Arial" w:eastAsia="Arial" w:hAnsi="Arial"/>
          <w:sz w:val="13"/>
          <w:szCs w:val="13"/>
          <w:b w:val="1"/>
          <w:bCs w:val="1"/>
          <w:color w:val="auto"/>
        </w:rPr>
        <w:t xml:space="preserve"> </w:t>
      </w:r>
      <w:r>
        <w:rPr>
          <w:rFonts w:ascii="Arial" w:cs="Arial" w:eastAsia="Arial" w:hAnsi="Arial"/>
          <w:sz w:val="13"/>
          <w:szCs w:val="13"/>
          <w:color w:val="auto"/>
        </w:rPr>
        <w:t>Sublessee setting forth with specificity the nature and extent of such non-compliance, rectify the same.</w:t>
      </w:r>
    </w:p>
    <w:p>
      <w:pPr>
        <w:spacing w:after="0" w:line="3" w:lineRule="exact"/>
        <w:rPr>
          <w:sz w:val="20"/>
          <w:szCs w:val="20"/>
          <w:color w:val="auto"/>
        </w:rPr>
      </w:pPr>
    </w:p>
    <w:p>
      <w:pPr>
        <w:ind w:right="20" w:firstLine="416"/>
        <w:spacing w:after="0" w:line="269" w:lineRule="auto"/>
        <w:rPr>
          <w:sz w:val="20"/>
          <w:szCs w:val="20"/>
          <w:color w:val="auto"/>
        </w:rPr>
      </w:pPr>
      <w:r>
        <w:rPr>
          <w:rFonts w:ascii="Arial" w:cs="Arial" w:eastAsia="Arial" w:hAnsi="Arial"/>
          <w:sz w:val="13"/>
          <w:szCs w:val="13"/>
          <w:color w:val="auto"/>
        </w:rPr>
        <w:t xml:space="preserve">2.4 </w:t>
      </w:r>
      <w:r>
        <w:rPr>
          <w:rFonts w:ascii="Arial" w:cs="Arial" w:eastAsia="Arial" w:hAnsi="Arial"/>
          <w:sz w:val="13"/>
          <w:szCs w:val="13"/>
          <w:b w:val="1"/>
          <w:bCs w:val="1"/>
          <w:color w:val="auto"/>
        </w:rPr>
        <w:t>Acknowledgements.</w:t>
      </w:r>
      <w:r>
        <w:rPr>
          <w:rFonts w:ascii="Arial" w:cs="Arial" w:eastAsia="Arial" w:hAnsi="Arial"/>
          <w:sz w:val="13"/>
          <w:szCs w:val="13"/>
          <w:color w:val="auto"/>
        </w:rPr>
        <w:t xml:space="preserve"> Sublessee acknowledges that: (a) it has been given an opportunity to inspect and measure the Premises, (b) it has been advised by Sublessor and/or Brokers to satisfy itself with respect to the condition of the Premises (including but not limited to the electrical, HVAC and fire sprinkler systems, security, environmental aspects, and compliance with Applicable Requirements and the Americans with Disabilities Act), and their suitability for Sublessee’s intended use, (c) Sublessee has made such investigation as it deems necessary with reference to such matters and assumes all responsibility therefor as the same relate to its occupancy of the Premises, (d) it is not relying on any representation as to the size of the Premises made by Brokers or Sublessor, (e) the square footage of the Premises was not material to Sublessee’s decision to sublease the Premises and pay the Rent stated herein, and (f) neither Sublessor, Sublessor’s agents, nor Brokers have made any oral or written representations or warranties with respect to said matters other than as set forth in this Sublease. In addition, Sublessor acknowledges that: (i) Brokers have made no representations, promises or warranties concerning Sublessee’s ability to honor the Sublease or suitability to occupy the Premises, and</w:t>
      </w:r>
    </w:p>
    <w:p>
      <w:pPr>
        <w:spacing w:after="0" w:line="2" w:lineRule="exact"/>
        <w:rPr>
          <w:sz w:val="20"/>
          <w:szCs w:val="20"/>
          <w:color w:val="auto"/>
        </w:rPr>
      </w:pPr>
    </w:p>
    <w:p>
      <w:pPr>
        <w:ind w:left="280" w:hanging="272"/>
        <w:spacing w:after="0"/>
        <w:tabs>
          <w:tab w:leader="none" w:pos="280" w:val="left"/>
        </w:tabs>
        <w:numPr>
          <w:ilvl w:val="0"/>
          <w:numId w:val="63"/>
        </w:numPr>
        <w:rPr>
          <w:rFonts w:ascii="Arial" w:cs="Arial" w:eastAsia="Arial" w:hAnsi="Arial"/>
          <w:sz w:val="13"/>
          <w:szCs w:val="13"/>
          <w:color w:val="auto"/>
        </w:rPr>
      </w:pPr>
      <w:r>
        <w:rPr>
          <w:rFonts w:ascii="Arial" w:cs="Arial" w:eastAsia="Arial" w:hAnsi="Arial"/>
          <w:sz w:val="13"/>
          <w:szCs w:val="13"/>
          <w:color w:val="auto"/>
        </w:rPr>
        <w:t>it is Sublessor’s sole responsibility to investigate the financial capability and/or suitability of all proposed tenants.</w:t>
      </w:r>
    </w:p>
    <w:p>
      <w:pPr>
        <w:spacing w:after="0" w:line="22" w:lineRule="exact"/>
        <w:rPr>
          <w:sz w:val="20"/>
          <w:szCs w:val="20"/>
          <w:color w:val="auto"/>
        </w:rPr>
      </w:pPr>
    </w:p>
    <w:p>
      <w:pPr>
        <w:jc w:val="both"/>
        <w:ind w:right="140" w:firstLine="416"/>
        <w:spacing w:after="0" w:line="275" w:lineRule="auto"/>
        <w:rPr>
          <w:sz w:val="20"/>
          <w:szCs w:val="20"/>
          <w:color w:val="auto"/>
        </w:rPr>
      </w:pPr>
      <w:r>
        <w:rPr>
          <w:rFonts w:ascii="Arial" w:cs="Arial" w:eastAsia="Arial" w:hAnsi="Arial"/>
          <w:sz w:val="12"/>
          <w:szCs w:val="12"/>
          <w:color w:val="auto"/>
        </w:rPr>
        <w:t xml:space="preserve">2.5 </w:t>
      </w:r>
      <w:r>
        <w:rPr>
          <w:rFonts w:ascii="Arial" w:cs="Arial" w:eastAsia="Arial" w:hAnsi="Arial"/>
          <w:sz w:val="12"/>
          <w:szCs w:val="12"/>
          <w:b w:val="1"/>
          <w:bCs w:val="1"/>
          <w:color w:val="auto"/>
        </w:rPr>
        <w:t>Americans with Disabilities Act.</w:t>
      </w:r>
      <w:r>
        <w:rPr>
          <w:rFonts w:ascii="Arial" w:cs="Arial" w:eastAsia="Arial" w:hAnsi="Arial"/>
          <w:sz w:val="12"/>
          <w:szCs w:val="12"/>
          <w:color w:val="auto"/>
        </w:rPr>
        <w:t xml:space="preserve"> In the event that as a result of Sublessee’s use, or intended use, of the Premises the Americans with Disabilities Act or any similar law requires modifications or the construction or installation of improvements in or to the Premises, Building, Project and/or Common Areas, the Parties agree that such modifications, construction or improvements</w:t>
      </w:r>
    </w:p>
    <w:p>
      <w:pPr>
        <w:spacing w:after="0"/>
        <w:tabs>
          <w:tab w:leader="none" w:pos="1120" w:val="left"/>
          <w:tab w:leader="none" w:pos="2520" w:val="left"/>
        </w:tabs>
        <w:rPr>
          <w:sz w:val="20"/>
          <w:szCs w:val="20"/>
          <w:color w:val="auto"/>
        </w:rPr>
      </w:pPr>
      <w:r>
        <w:rPr>
          <w:rFonts w:ascii="Arial" w:cs="Arial" w:eastAsia="Arial" w:hAnsi="Arial"/>
          <w:sz w:val="13"/>
          <w:szCs w:val="13"/>
          <w:color w:val="auto"/>
        </w:rPr>
        <w:t>shall be made at:</w:t>
        <w:tab/>
        <w:t>Sublessor’s expense</w:t>
      </w:r>
      <w:r>
        <w:rPr>
          <w:sz w:val="20"/>
          <w:szCs w:val="20"/>
          <w:color w:val="auto"/>
        </w:rPr>
        <w:tab/>
      </w:r>
      <w:r>
        <w:rPr>
          <w:rFonts w:ascii="Arial" w:cs="Arial" w:eastAsia="Arial" w:hAnsi="Arial"/>
          <w:sz w:val="12"/>
          <w:szCs w:val="12"/>
          <w:color w:val="auto"/>
        </w:rPr>
        <w:t>Sublessee’s expense.</w:t>
      </w:r>
    </w:p>
    <w:p>
      <w:pPr>
        <w:spacing w:after="0" w:line="101" w:lineRule="exact"/>
        <w:rPr>
          <w:sz w:val="20"/>
          <w:szCs w:val="20"/>
          <w:color w:val="auto"/>
        </w:rPr>
      </w:pPr>
    </w:p>
    <w:p>
      <w:pPr>
        <w:jc w:val="both"/>
        <w:ind w:right="140" w:firstLine="416"/>
        <w:spacing w:after="0" w:line="272" w:lineRule="auto"/>
        <w:rPr>
          <w:sz w:val="20"/>
          <w:szCs w:val="20"/>
          <w:color w:val="auto"/>
        </w:rPr>
      </w:pPr>
      <w:r>
        <w:rPr>
          <w:rFonts w:ascii="Arial" w:cs="Arial" w:eastAsia="Arial" w:hAnsi="Arial"/>
          <w:sz w:val="13"/>
          <w:szCs w:val="13"/>
          <w:color w:val="auto"/>
        </w:rPr>
        <w:t xml:space="preserve">2.6 </w:t>
      </w:r>
      <w:r>
        <w:rPr>
          <w:rFonts w:ascii="Arial" w:cs="Arial" w:eastAsia="Arial" w:hAnsi="Arial"/>
          <w:sz w:val="13"/>
          <w:szCs w:val="13"/>
          <w:b w:val="1"/>
          <w:bCs w:val="1"/>
          <w:color w:val="auto"/>
        </w:rPr>
        <w:t>Vehicle Parking.</w:t>
      </w:r>
      <w:r>
        <w:rPr>
          <w:rFonts w:ascii="Arial" w:cs="Arial" w:eastAsia="Arial" w:hAnsi="Arial"/>
          <w:sz w:val="13"/>
          <w:szCs w:val="13"/>
          <w:color w:val="auto"/>
        </w:rPr>
        <w:t xml:space="preserve"> Sublessee shall be entitled to use the number of Unreserved Parking Spaces and Reserved Parking Spaces specified in Paragraph 1.2(b) on those portions of the Common Areas designated from time to time for parking. Sublessee shall not use more parking spaces than said number. Said parking spaces shall be used for parking by vehicles no larger than full-size passenger automobiles or pickup trucks, herein called “</w:t>
      </w:r>
      <w:r>
        <w:rPr>
          <w:rFonts w:ascii="Arial" w:cs="Arial" w:eastAsia="Arial" w:hAnsi="Arial"/>
          <w:sz w:val="13"/>
          <w:szCs w:val="13"/>
          <w:b w:val="1"/>
          <w:bCs w:val="1"/>
          <w:color w:val="auto"/>
        </w:rPr>
        <w:t>Permitted Size Vehicles.</w:t>
      </w:r>
      <w:r>
        <w:rPr>
          <w:rFonts w:ascii="Arial" w:cs="Arial" w:eastAsia="Arial" w:hAnsi="Arial"/>
          <w:sz w:val="13"/>
          <w:szCs w:val="13"/>
          <w:color w:val="auto"/>
        </w:rPr>
        <w:t>” Sublessor may regulate the loading and unloading of vehicles by adopting Rules and Regulations as provided in Paragraph 2.9. No vehicles other than Permitted Size Vehicles may be parked in the Common Area without the prior written permission of Sublessor.</w:t>
      </w:r>
    </w:p>
    <w:p>
      <w:pPr>
        <w:spacing w:after="0" w:line="1" w:lineRule="exact"/>
        <w:rPr>
          <w:sz w:val="20"/>
          <w:szCs w:val="20"/>
          <w:color w:val="auto"/>
        </w:rPr>
      </w:pPr>
    </w:p>
    <w:p>
      <w:pPr>
        <w:ind w:right="80" w:firstLine="778"/>
        <w:spacing w:after="0" w:line="270" w:lineRule="auto"/>
        <w:tabs>
          <w:tab w:leader="none" w:pos="1050" w:val="left"/>
        </w:tabs>
        <w:numPr>
          <w:ilvl w:val="0"/>
          <w:numId w:val="64"/>
        </w:numPr>
        <w:rPr>
          <w:rFonts w:ascii="Arial" w:cs="Arial" w:eastAsia="Arial" w:hAnsi="Arial"/>
          <w:sz w:val="13"/>
          <w:szCs w:val="13"/>
          <w:color w:val="auto"/>
        </w:rPr>
      </w:pPr>
      <w:r>
        <w:rPr>
          <w:rFonts w:ascii="Arial" w:cs="Arial" w:eastAsia="Arial" w:hAnsi="Arial"/>
          <w:sz w:val="13"/>
          <w:szCs w:val="13"/>
          <w:color w:val="auto"/>
        </w:rPr>
        <w:t>Sublessee shall not permit or allow any vehicles that belong to or are controlled by Sublessee or Sublessee’s employees, suppliers, shippers, customers, contractors or invitees to be loaded, unloaded, or parked in areas other than those designated by Sublessor for such activities.</w:t>
      </w:r>
    </w:p>
    <w:p>
      <w:pPr>
        <w:spacing w:after="0" w:line="1" w:lineRule="exact"/>
        <w:rPr>
          <w:rFonts w:ascii="Arial" w:cs="Arial" w:eastAsia="Arial" w:hAnsi="Arial"/>
          <w:sz w:val="13"/>
          <w:szCs w:val="13"/>
          <w:color w:val="auto"/>
        </w:rPr>
      </w:pPr>
    </w:p>
    <w:p>
      <w:pPr>
        <w:ind w:left="1060" w:hanging="282"/>
        <w:spacing w:after="0"/>
        <w:tabs>
          <w:tab w:leader="none" w:pos="1060" w:val="left"/>
        </w:tabs>
        <w:numPr>
          <w:ilvl w:val="0"/>
          <w:numId w:val="64"/>
        </w:numPr>
        <w:rPr>
          <w:rFonts w:ascii="Arial" w:cs="Arial" w:eastAsia="Arial" w:hAnsi="Arial"/>
          <w:sz w:val="13"/>
          <w:szCs w:val="13"/>
          <w:color w:val="auto"/>
        </w:rPr>
      </w:pPr>
      <w:r>
        <w:rPr>
          <w:rFonts w:ascii="Arial" w:cs="Arial" w:eastAsia="Arial" w:hAnsi="Arial"/>
          <w:sz w:val="13"/>
          <w:szCs w:val="13"/>
          <w:color w:val="auto"/>
        </w:rPr>
        <w:t>Sublessee shall not service or store any vehicles in the Common Areas.</w:t>
      </w:r>
    </w:p>
    <w:p>
      <w:pPr>
        <w:spacing w:after="0" w:line="12" w:lineRule="exact"/>
        <w:rPr>
          <w:rFonts w:ascii="Arial" w:cs="Arial" w:eastAsia="Arial" w:hAnsi="Arial"/>
          <w:sz w:val="13"/>
          <w:szCs w:val="13"/>
          <w:color w:val="auto"/>
        </w:rPr>
      </w:pPr>
    </w:p>
    <w:p>
      <w:pPr>
        <w:ind w:right="200" w:firstLine="778"/>
        <w:spacing w:after="0" w:line="270" w:lineRule="auto"/>
        <w:tabs>
          <w:tab w:leader="none" w:pos="1050" w:val="left"/>
        </w:tabs>
        <w:numPr>
          <w:ilvl w:val="0"/>
          <w:numId w:val="64"/>
        </w:numPr>
        <w:rPr>
          <w:rFonts w:ascii="Arial" w:cs="Arial" w:eastAsia="Arial" w:hAnsi="Arial"/>
          <w:sz w:val="13"/>
          <w:szCs w:val="13"/>
          <w:color w:val="auto"/>
        </w:rPr>
      </w:pPr>
      <w:r>
        <w:rPr>
          <w:rFonts w:ascii="Arial" w:cs="Arial" w:eastAsia="Arial" w:hAnsi="Arial"/>
          <w:sz w:val="13"/>
          <w:szCs w:val="13"/>
          <w:color w:val="auto"/>
        </w:rPr>
        <w:t>If Sublessee permits or allows any of the prohibited activities described in this Paragraph 2.6, then Sublessor shall have the right, without notice, in addition to such other rights and remedies that it may have, to remove or tow away the vehicle involved and charge the cost to Sublessee, which cost shall be immediately payable upon demand by Sublessor.</w:t>
      </w:r>
    </w:p>
    <w:p>
      <w:pPr>
        <w:spacing w:after="0" w:line="1" w:lineRule="exact"/>
        <w:rPr>
          <w:rFonts w:ascii="Arial" w:cs="Arial" w:eastAsia="Arial" w:hAnsi="Arial"/>
          <w:sz w:val="13"/>
          <w:szCs w:val="13"/>
          <w:color w:val="auto"/>
        </w:rPr>
      </w:pPr>
    </w:p>
    <w:p>
      <w:pPr>
        <w:ind w:right="220" w:firstLine="416"/>
        <w:spacing w:after="0" w:line="270" w:lineRule="auto"/>
        <w:rPr>
          <w:rFonts w:ascii="Arial" w:cs="Arial" w:eastAsia="Arial" w:hAnsi="Arial"/>
          <w:sz w:val="13"/>
          <w:szCs w:val="13"/>
          <w:color w:val="auto"/>
        </w:rPr>
      </w:pPr>
      <w:r>
        <w:rPr>
          <w:rFonts w:ascii="Arial" w:cs="Arial" w:eastAsia="Arial" w:hAnsi="Arial"/>
          <w:sz w:val="13"/>
          <w:szCs w:val="13"/>
          <w:color w:val="auto"/>
        </w:rPr>
        <w:t xml:space="preserve">2.7 </w:t>
      </w:r>
      <w:r>
        <w:rPr>
          <w:rFonts w:ascii="Arial" w:cs="Arial" w:eastAsia="Arial" w:hAnsi="Arial"/>
          <w:sz w:val="13"/>
          <w:szCs w:val="13"/>
          <w:b w:val="1"/>
          <w:bCs w:val="1"/>
          <w:color w:val="auto"/>
        </w:rPr>
        <w:t>Common Areas - Definition.</w:t>
      </w:r>
      <w:r>
        <w:rPr>
          <w:rFonts w:ascii="Arial" w:cs="Arial" w:eastAsia="Arial" w:hAnsi="Arial"/>
          <w:sz w:val="13"/>
          <w:szCs w:val="13"/>
          <w:color w:val="auto"/>
        </w:rPr>
        <w:t xml:space="preserve"> The term “</w:t>
      </w:r>
      <w:r>
        <w:rPr>
          <w:rFonts w:ascii="Arial" w:cs="Arial" w:eastAsia="Arial" w:hAnsi="Arial"/>
          <w:sz w:val="13"/>
          <w:szCs w:val="13"/>
          <w:b w:val="1"/>
          <w:bCs w:val="1"/>
          <w:color w:val="auto"/>
        </w:rPr>
        <w:t>Common Areas</w:t>
      </w:r>
      <w:r>
        <w:rPr>
          <w:rFonts w:ascii="Arial" w:cs="Arial" w:eastAsia="Arial" w:hAnsi="Arial"/>
          <w:sz w:val="13"/>
          <w:szCs w:val="13"/>
          <w:color w:val="auto"/>
        </w:rPr>
        <w:t>” is defined as all areas and facilities outside the Premises and within the exterior boundary line of the Project and interior utility raceways and installations within the Premises that are provided and designated by the Sublessor from time to time for the general nonexclusive use of Sublessor, Sublessee and other tenants of the Project and their respective employees, suppliers, shippers, customers, contractors and invitees, including parking areas, loading and unloading areas, trash areas, roofs, roadways, walkways, driveways and landscaped areas.</w:t>
      </w:r>
    </w:p>
    <w:p>
      <w:pPr>
        <w:spacing w:after="0" w:line="2" w:lineRule="exact"/>
        <w:rPr>
          <w:rFonts w:ascii="Arial" w:cs="Arial" w:eastAsia="Arial" w:hAnsi="Arial"/>
          <w:sz w:val="13"/>
          <w:szCs w:val="13"/>
          <w:color w:val="auto"/>
        </w:rPr>
      </w:pPr>
    </w:p>
    <w:p>
      <w:pPr>
        <w:ind w:right="40" w:firstLine="416"/>
        <w:spacing w:after="0" w:line="292" w:lineRule="auto"/>
        <w:rPr>
          <w:rFonts w:ascii="Arial" w:cs="Arial" w:eastAsia="Arial" w:hAnsi="Arial"/>
          <w:sz w:val="13"/>
          <w:szCs w:val="13"/>
          <w:color w:val="auto"/>
        </w:rPr>
      </w:pPr>
      <w:r>
        <w:rPr>
          <w:rFonts w:ascii="Arial" w:cs="Arial" w:eastAsia="Arial" w:hAnsi="Arial"/>
          <w:sz w:val="12"/>
          <w:szCs w:val="12"/>
          <w:color w:val="auto"/>
        </w:rPr>
        <w:t xml:space="preserve">2.8 </w:t>
      </w:r>
      <w:r>
        <w:rPr>
          <w:rFonts w:ascii="Arial" w:cs="Arial" w:eastAsia="Arial" w:hAnsi="Arial"/>
          <w:sz w:val="12"/>
          <w:szCs w:val="12"/>
          <w:b w:val="1"/>
          <w:bCs w:val="1"/>
          <w:color w:val="auto"/>
        </w:rPr>
        <w:t>Common Areas - Sublessee’s Rights</w:t>
      </w:r>
      <w:r>
        <w:rPr>
          <w:rFonts w:ascii="Arial" w:cs="Arial" w:eastAsia="Arial" w:hAnsi="Arial"/>
          <w:sz w:val="12"/>
          <w:szCs w:val="12"/>
          <w:color w:val="auto"/>
        </w:rPr>
        <w:t>. Sublessor grants to Sublessee, for the benefit of Sublessee and its employees, suppliers, shippers, contractors, customers and invitees, during the term of this Sublease, the nonexclusive right to use, in common with others entitled to such use, the Common Areas as they exist from time to time, subject to any rights, powers, and privileges reserved by Sublessor under the terms hereof or under the terms of any rules and regulations or restrictions governing the use of the Project. Under no circumstances shall the right herein granted to use the Common Areas be deemed to include the right to store any property, temporarily or permanently, in the Common Areas. Any such storage shall be permitted only by the prior written consent of Sublessor or Sublessor’s designated agent, which consent may be revoked at any time. In the event that any unauthorized storage shall occur then Sublessor shall have the right, without notice, in addition to such other rights and remedies that it may have, to remove the property and charge the cost to Sublessee, which cost shall be immediately payable upon demand by Sublessor.</w:t>
      </w:r>
    </w:p>
    <w:p>
      <w:pPr>
        <w:spacing w:after="0" w:line="1" w:lineRule="exact"/>
        <w:rPr>
          <w:rFonts w:ascii="Arial" w:cs="Arial" w:eastAsia="Arial" w:hAnsi="Arial"/>
          <w:sz w:val="13"/>
          <w:szCs w:val="13"/>
          <w:color w:val="auto"/>
        </w:rPr>
      </w:pPr>
    </w:p>
    <w:p>
      <w:pPr>
        <w:ind w:right="100" w:firstLine="416"/>
        <w:spacing w:after="0" w:line="296" w:lineRule="auto"/>
        <w:rPr>
          <w:rFonts w:ascii="Arial" w:cs="Arial" w:eastAsia="Arial" w:hAnsi="Arial"/>
          <w:sz w:val="13"/>
          <w:szCs w:val="13"/>
          <w:color w:val="auto"/>
        </w:rPr>
      </w:pPr>
      <w:r>
        <w:rPr>
          <w:rFonts w:ascii="Arial" w:cs="Arial" w:eastAsia="Arial" w:hAnsi="Arial"/>
          <w:sz w:val="13"/>
          <w:szCs w:val="13"/>
          <w:color w:val="auto"/>
        </w:rPr>
        <w:t xml:space="preserve">2.9 </w:t>
      </w:r>
      <w:r>
        <w:rPr>
          <w:rFonts w:ascii="Arial" w:cs="Arial" w:eastAsia="Arial" w:hAnsi="Arial"/>
          <w:sz w:val="13"/>
          <w:szCs w:val="13"/>
          <w:b w:val="1"/>
          <w:bCs w:val="1"/>
          <w:color w:val="auto"/>
        </w:rPr>
        <w:t>Common Areas - Rules and Regulations.</w:t>
      </w:r>
      <w:r>
        <w:rPr>
          <w:rFonts w:ascii="Arial" w:cs="Arial" w:eastAsia="Arial" w:hAnsi="Arial"/>
          <w:sz w:val="13"/>
          <w:szCs w:val="13"/>
          <w:color w:val="auto"/>
        </w:rPr>
        <w:t xml:space="preserve"> Sublessor or such other person(s) as Sublessor may appoint shall have the exclusive control and management of the Common Areas and shall have the right, from time to time, to establish, modify, amend and enforce reasonable rules and regulations (“</w:t>
      </w:r>
      <w:r>
        <w:rPr>
          <w:rFonts w:ascii="Arial" w:cs="Arial" w:eastAsia="Arial" w:hAnsi="Arial"/>
          <w:sz w:val="13"/>
          <w:szCs w:val="13"/>
          <w:b w:val="1"/>
          <w:bCs w:val="1"/>
          <w:color w:val="auto"/>
        </w:rPr>
        <w:t>Rules and Regulations</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300355</wp:posOffset>
            </wp:positionV>
            <wp:extent cx="505460" cy="402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05460" cy="40259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437515</wp:posOffset>
            </wp:positionV>
            <wp:extent cx="539750" cy="3943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3975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00" w:type="dxa"/>
            <w:vAlign w:val="bottom"/>
          </w:tcPr>
          <w:p>
            <w:pPr>
              <w:ind w:left="20"/>
              <w:spacing w:after="0"/>
              <w:rPr>
                <w:sz w:val="20"/>
                <w:szCs w:val="20"/>
                <w:color w:val="auto"/>
              </w:rPr>
            </w:pPr>
            <w:r>
              <w:rPr>
                <w:rFonts w:ascii="Arial" w:cs="Arial" w:eastAsia="Arial" w:hAnsi="Arial"/>
                <w:sz w:val="18"/>
                <w:szCs w:val="18"/>
                <w:color w:val="auto"/>
              </w:rPr>
              <w:t>INITIALS</w:t>
            </w:r>
          </w:p>
        </w:tc>
        <w:tc>
          <w:tcPr>
            <w:tcW w:w="3160" w:type="dxa"/>
            <w:vAlign w:val="bottom"/>
          </w:tcPr>
          <w:p>
            <w:pPr>
              <w:spacing w:after="0"/>
              <w:rPr>
                <w:sz w:val="18"/>
                <w:szCs w:val="18"/>
                <w:color w:val="auto"/>
              </w:rPr>
            </w:pPr>
          </w:p>
        </w:tc>
        <w:tc>
          <w:tcPr>
            <w:tcW w:w="3780" w:type="dxa"/>
            <w:vAlign w:val="bottom"/>
          </w:tcPr>
          <w:p>
            <w:pPr>
              <w:spacing w:after="0"/>
              <w:rPr>
                <w:sz w:val="18"/>
                <w:szCs w:val="18"/>
                <w:color w:val="auto"/>
              </w:rPr>
            </w:pPr>
          </w:p>
        </w:tc>
      </w:tr>
      <w:tr>
        <w:trPr>
          <w:trHeight w:val="208"/>
        </w:trPr>
        <w:tc>
          <w:tcPr>
            <w:tcW w:w="4300" w:type="dxa"/>
            <w:vAlign w:val="bottom"/>
          </w:tcPr>
          <w:p>
            <w:pPr>
              <w:ind w:left="20"/>
              <w:spacing w:after="0"/>
              <w:rPr>
                <w:sz w:val="20"/>
                <w:szCs w:val="20"/>
                <w:color w:val="auto"/>
              </w:rPr>
            </w:pPr>
            <w:r>
              <w:rPr>
                <w:rFonts w:ascii="Arial" w:cs="Arial" w:eastAsia="Arial" w:hAnsi="Arial"/>
                <w:sz w:val="18"/>
                <w:szCs w:val="18"/>
                <w:color w:val="auto"/>
              </w:rPr>
              <w:t>© 2019 AIR CRE. All Rights Reserved.</w:t>
            </w:r>
          </w:p>
        </w:tc>
        <w:tc>
          <w:tcPr>
            <w:tcW w:w="3160" w:type="dxa"/>
            <w:vAlign w:val="bottom"/>
          </w:tcPr>
          <w:p>
            <w:pPr>
              <w:ind w:left="1200"/>
              <w:spacing w:after="0"/>
              <w:rPr>
                <w:sz w:val="20"/>
                <w:szCs w:val="20"/>
                <w:color w:val="auto"/>
              </w:rPr>
            </w:pPr>
            <w:r>
              <w:rPr>
                <w:rFonts w:ascii="Arial" w:cs="Arial" w:eastAsia="Arial" w:hAnsi="Arial"/>
                <w:sz w:val="18"/>
                <w:szCs w:val="18"/>
                <w:color w:val="auto"/>
              </w:rPr>
              <w:t>INITIALS</w:t>
            </w:r>
          </w:p>
        </w:tc>
        <w:tc>
          <w:tcPr>
            <w:tcW w:w="3780" w:type="dxa"/>
            <w:vAlign w:val="bottom"/>
          </w:tcPr>
          <w:p>
            <w:pPr>
              <w:jc w:val="right"/>
              <w:spacing w:after="0"/>
              <w:rPr>
                <w:sz w:val="20"/>
                <w:szCs w:val="20"/>
                <w:color w:val="auto"/>
              </w:rPr>
            </w:pPr>
            <w:r>
              <w:rPr>
                <w:rFonts w:ascii="Arial" w:cs="Arial" w:eastAsia="Arial" w:hAnsi="Arial"/>
                <w:sz w:val="18"/>
                <w:szCs w:val="18"/>
                <w:color w:val="auto"/>
              </w:rPr>
              <w:t>Last Edited: 4/4/2022 10:50 AM</w:t>
            </w:r>
          </w:p>
        </w:tc>
      </w:tr>
      <w:tr>
        <w:trPr>
          <w:trHeight w:val="247"/>
        </w:trPr>
        <w:tc>
          <w:tcPr>
            <w:tcW w:w="4300" w:type="dxa"/>
            <w:vAlign w:val="bottom"/>
          </w:tcPr>
          <w:p>
            <w:pPr>
              <w:ind w:left="20"/>
              <w:spacing w:after="0"/>
              <w:rPr>
                <w:sz w:val="20"/>
                <w:szCs w:val="20"/>
                <w:color w:val="auto"/>
              </w:rPr>
            </w:pPr>
            <w:r>
              <w:rPr>
                <w:rFonts w:ascii="Arial" w:cs="Arial" w:eastAsia="Arial" w:hAnsi="Arial"/>
                <w:sz w:val="18"/>
                <w:szCs w:val="18"/>
                <w:color w:val="auto"/>
              </w:rPr>
              <w:t>SBMT-8.03, Revised 10-22-2020</w:t>
            </w:r>
          </w:p>
        </w:tc>
        <w:tc>
          <w:tcPr>
            <w:tcW w:w="3160" w:type="dxa"/>
            <w:vAlign w:val="bottom"/>
          </w:tcPr>
          <w:p>
            <w:pPr>
              <w:spacing w:after="0"/>
              <w:rPr>
                <w:sz w:val="21"/>
                <w:szCs w:val="21"/>
                <w:color w:val="auto"/>
              </w:rPr>
            </w:pPr>
          </w:p>
        </w:tc>
        <w:tc>
          <w:tcPr>
            <w:tcW w:w="3780" w:type="dxa"/>
            <w:vAlign w:val="bottom"/>
          </w:tcPr>
          <w:p>
            <w:pPr>
              <w:jc w:val="right"/>
              <w:spacing w:after="0"/>
              <w:rPr>
                <w:sz w:val="20"/>
                <w:szCs w:val="20"/>
                <w:color w:val="auto"/>
              </w:rPr>
            </w:pPr>
            <w:r>
              <w:rPr>
                <w:rFonts w:ascii="Arial" w:cs="Arial" w:eastAsia="Arial" w:hAnsi="Arial"/>
                <w:sz w:val="18"/>
                <w:szCs w:val="18"/>
                <w:color w:val="auto"/>
              </w:rPr>
              <w:t>Page 2 of 7</w:t>
            </w:r>
          </w:p>
        </w:tc>
      </w:tr>
      <w:tr>
        <w:trPr>
          <w:trHeight w:val="151"/>
        </w:trPr>
        <w:tc>
          <w:tcPr>
            <w:tcW w:w="4300" w:type="dxa"/>
            <w:vAlign w:val="bottom"/>
            <w:tcBorders>
              <w:bottom w:val="single" w:sz="8" w:color="9A9A9A"/>
            </w:tcBorders>
          </w:tcPr>
          <w:p>
            <w:pPr>
              <w:spacing w:after="0"/>
              <w:rPr>
                <w:sz w:val="13"/>
                <w:szCs w:val="13"/>
                <w:color w:val="auto"/>
              </w:rPr>
            </w:pPr>
          </w:p>
        </w:tc>
        <w:tc>
          <w:tcPr>
            <w:tcW w:w="3160" w:type="dxa"/>
            <w:vAlign w:val="bottom"/>
            <w:tcBorders>
              <w:bottom w:val="single" w:sz="8" w:color="9A9A9A"/>
            </w:tcBorders>
          </w:tcPr>
          <w:p>
            <w:pPr>
              <w:spacing w:after="0"/>
              <w:rPr>
                <w:sz w:val="13"/>
                <w:szCs w:val="13"/>
                <w:color w:val="auto"/>
              </w:rPr>
            </w:pPr>
          </w:p>
        </w:tc>
        <w:tc>
          <w:tcPr>
            <w:tcW w:w="378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06" w:name="page107"/>
    <w:bookmarkEnd w:id="106"/>
    <w:p>
      <w:pPr>
        <w:ind w:right="40"/>
        <w:spacing w:after="0" w:line="260" w:lineRule="auto"/>
        <w:rPr>
          <w:sz w:val="20"/>
          <w:szCs w:val="20"/>
          <w:color w:val="auto"/>
        </w:rPr>
      </w:pPr>
      <w:r>
        <w:rPr>
          <w:rFonts w:ascii="Arial" w:cs="Arial" w:eastAsia="Arial" w:hAnsi="Arial"/>
          <w:sz w:val="12"/>
          <w:szCs w:val="12"/>
          <w:color w:val="auto"/>
        </w:rPr>
        <w:t>for the management, safety, care, and cleanliness of the grounds, the parking and unloading of vehicles and the preservation of good order, as well as for the convenience of other occupants or tenants of the Building and the Project and their invitees. Sublessee agrees to abide by and conform to all such Rules and Regulations, and to cause its employees, suppliers, shippers, customers, contractors and invitees to so abide and conform. Sublessor shall not be responsible to Sublessee for the noncompliance with said Rules and Regulations by other tenants of the Project.</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3"/>
          <w:szCs w:val="13"/>
          <w:color w:val="auto"/>
        </w:rPr>
        <w:t xml:space="preserve">2.10 </w:t>
      </w:r>
      <w:r>
        <w:rPr>
          <w:rFonts w:ascii="Arial" w:cs="Arial" w:eastAsia="Arial" w:hAnsi="Arial"/>
          <w:sz w:val="13"/>
          <w:szCs w:val="13"/>
          <w:b w:val="1"/>
          <w:bCs w:val="1"/>
          <w:color w:val="auto"/>
        </w:rPr>
        <w:t>Common Areas - Changes.</w:t>
      </w:r>
      <w:r>
        <w:rPr>
          <w:rFonts w:ascii="Arial" w:cs="Arial" w:eastAsia="Arial" w:hAnsi="Arial"/>
          <w:sz w:val="13"/>
          <w:szCs w:val="13"/>
          <w:color w:val="auto"/>
        </w:rPr>
        <w:t xml:space="preserve"> Sublessor shall have the right, in Sublessor’s sole discretion, from time to time:</w:t>
      </w:r>
    </w:p>
    <w:p>
      <w:pPr>
        <w:spacing w:after="0" w:line="23" w:lineRule="exact"/>
        <w:rPr>
          <w:sz w:val="20"/>
          <w:szCs w:val="20"/>
          <w:color w:val="auto"/>
        </w:rPr>
      </w:pPr>
    </w:p>
    <w:p>
      <w:pPr>
        <w:ind w:right="160" w:firstLine="757"/>
        <w:spacing w:after="0" w:line="264" w:lineRule="auto"/>
        <w:tabs>
          <w:tab w:leader="none" w:pos="1049" w:val="left"/>
        </w:tabs>
        <w:numPr>
          <w:ilvl w:val="1"/>
          <w:numId w:val="65"/>
        </w:numPr>
        <w:rPr>
          <w:rFonts w:ascii="Arial" w:cs="Arial" w:eastAsia="Arial" w:hAnsi="Arial"/>
          <w:sz w:val="13"/>
          <w:szCs w:val="13"/>
          <w:color w:val="auto"/>
        </w:rPr>
      </w:pPr>
      <w:r>
        <w:rPr>
          <w:rFonts w:ascii="Arial" w:cs="Arial" w:eastAsia="Arial" w:hAnsi="Arial"/>
          <w:sz w:val="13"/>
          <w:szCs w:val="13"/>
          <w:color w:val="auto"/>
        </w:rPr>
        <w:t>To make changes to the Common Areas, including, without limitation, changes in the location, size, shape and number of driveways, entrances, parking spaces, parking areas, loading and unloading areas, ingress, egress, direction of traffic, landscaped areas, walkways and utility raceways;</w:t>
      </w:r>
    </w:p>
    <w:p>
      <w:pPr>
        <w:ind w:left="1060" w:hanging="303"/>
        <w:spacing w:after="0"/>
        <w:tabs>
          <w:tab w:leader="none" w:pos="1060" w:val="left"/>
        </w:tabs>
        <w:numPr>
          <w:ilvl w:val="1"/>
          <w:numId w:val="65"/>
        </w:numPr>
        <w:rPr>
          <w:rFonts w:ascii="Arial" w:cs="Arial" w:eastAsia="Arial" w:hAnsi="Arial"/>
          <w:sz w:val="13"/>
          <w:szCs w:val="13"/>
          <w:color w:val="auto"/>
        </w:rPr>
      </w:pPr>
      <w:r>
        <w:rPr>
          <w:rFonts w:ascii="Arial" w:cs="Arial" w:eastAsia="Arial" w:hAnsi="Arial"/>
          <w:sz w:val="13"/>
          <w:szCs w:val="13"/>
          <w:color w:val="auto"/>
        </w:rPr>
        <w:t>To close temporarily any of the Common Areas for maintenance purposes so long as reasonable access to the Premises remains available;</w:t>
      </w:r>
    </w:p>
    <w:p>
      <w:pPr>
        <w:spacing w:after="0" w:line="23" w:lineRule="exact"/>
        <w:rPr>
          <w:rFonts w:ascii="Arial" w:cs="Arial" w:eastAsia="Arial" w:hAnsi="Arial"/>
          <w:sz w:val="13"/>
          <w:szCs w:val="13"/>
          <w:color w:val="auto"/>
        </w:rPr>
      </w:pPr>
    </w:p>
    <w:p>
      <w:pPr>
        <w:ind w:left="1060" w:hanging="303"/>
        <w:spacing w:after="0"/>
        <w:tabs>
          <w:tab w:leader="none" w:pos="1060" w:val="left"/>
        </w:tabs>
        <w:numPr>
          <w:ilvl w:val="1"/>
          <w:numId w:val="65"/>
        </w:numPr>
        <w:rPr>
          <w:rFonts w:ascii="Arial" w:cs="Arial" w:eastAsia="Arial" w:hAnsi="Arial"/>
          <w:sz w:val="13"/>
          <w:szCs w:val="13"/>
          <w:color w:val="auto"/>
        </w:rPr>
      </w:pPr>
      <w:r>
        <w:rPr>
          <w:rFonts w:ascii="Arial" w:cs="Arial" w:eastAsia="Arial" w:hAnsi="Arial"/>
          <w:sz w:val="13"/>
          <w:szCs w:val="13"/>
          <w:color w:val="auto"/>
        </w:rPr>
        <w:t>To add additional buildings and improvements to the Common Areas;</w:t>
      </w:r>
    </w:p>
    <w:p>
      <w:pPr>
        <w:spacing w:after="0" w:line="14" w:lineRule="exact"/>
        <w:rPr>
          <w:rFonts w:ascii="Arial" w:cs="Arial" w:eastAsia="Arial" w:hAnsi="Arial"/>
          <w:sz w:val="13"/>
          <w:szCs w:val="13"/>
          <w:color w:val="auto"/>
        </w:rPr>
      </w:pPr>
    </w:p>
    <w:p>
      <w:pPr>
        <w:ind w:left="1060" w:hanging="303"/>
        <w:spacing w:after="0"/>
        <w:tabs>
          <w:tab w:leader="none" w:pos="1060" w:val="left"/>
        </w:tabs>
        <w:numPr>
          <w:ilvl w:val="1"/>
          <w:numId w:val="65"/>
        </w:numPr>
        <w:rPr>
          <w:rFonts w:ascii="Arial" w:cs="Arial" w:eastAsia="Arial" w:hAnsi="Arial"/>
          <w:sz w:val="13"/>
          <w:szCs w:val="13"/>
          <w:color w:val="auto"/>
        </w:rPr>
      </w:pPr>
      <w:r>
        <w:rPr>
          <w:rFonts w:ascii="Arial" w:cs="Arial" w:eastAsia="Arial" w:hAnsi="Arial"/>
          <w:sz w:val="13"/>
          <w:szCs w:val="13"/>
          <w:color w:val="auto"/>
        </w:rPr>
        <w:t>To use the Common Areas while engaged in making additional improvements, repairs or alterations to the Project, or any portion thereof; and</w:t>
      </w:r>
    </w:p>
    <w:p>
      <w:pPr>
        <w:spacing w:after="0" w:line="23" w:lineRule="exact"/>
        <w:rPr>
          <w:rFonts w:ascii="Arial" w:cs="Arial" w:eastAsia="Arial" w:hAnsi="Arial"/>
          <w:sz w:val="13"/>
          <w:szCs w:val="13"/>
          <w:color w:val="auto"/>
        </w:rPr>
      </w:pPr>
    </w:p>
    <w:p>
      <w:pPr>
        <w:ind w:right="380" w:firstLine="757"/>
        <w:spacing w:after="0" w:line="303" w:lineRule="auto"/>
        <w:tabs>
          <w:tab w:leader="none" w:pos="1049" w:val="left"/>
        </w:tabs>
        <w:numPr>
          <w:ilvl w:val="1"/>
          <w:numId w:val="65"/>
        </w:numPr>
        <w:rPr>
          <w:rFonts w:ascii="Arial" w:cs="Arial" w:eastAsia="Arial" w:hAnsi="Arial"/>
          <w:sz w:val="13"/>
          <w:szCs w:val="13"/>
          <w:color w:val="auto"/>
        </w:rPr>
      </w:pPr>
      <w:r>
        <w:rPr>
          <w:rFonts w:ascii="Arial" w:cs="Arial" w:eastAsia="Arial" w:hAnsi="Arial"/>
          <w:sz w:val="13"/>
          <w:szCs w:val="13"/>
          <w:color w:val="auto"/>
        </w:rPr>
        <w:t>To do and perform such other acts and make such other changes in, to or with respect to the Common Areas and Project as Sublessor may, in the exercise of sound business judgment, deem to be appropriate.</w:t>
      </w:r>
    </w:p>
    <w:p>
      <w:pPr>
        <w:ind w:left="300" w:hanging="292"/>
        <w:spacing w:after="0"/>
        <w:tabs>
          <w:tab w:leader="none" w:pos="300" w:val="left"/>
        </w:tabs>
        <w:numPr>
          <w:ilvl w:val="0"/>
          <w:numId w:val="66"/>
        </w:numPr>
        <w:rPr>
          <w:rFonts w:ascii="Arial" w:cs="Arial" w:eastAsia="Arial" w:hAnsi="Arial"/>
          <w:sz w:val="13"/>
          <w:szCs w:val="13"/>
          <w:b w:val="1"/>
          <w:bCs w:val="1"/>
          <w:color w:val="auto"/>
        </w:rPr>
      </w:pPr>
      <w:r>
        <w:rPr>
          <w:rFonts w:ascii="Arial" w:cs="Arial" w:eastAsia="Arial" w:hAnsi="Arial"/>
          <w:sz w:val="13"/>
          <w:szCs w:val="13"/>
          <w:b w:val="1"/>
          <w:bCs w:val="1"/>
          <w:color w:val="auto"/>
        </w:rPr>
        <w:t>Possession.</w:t>
      </w:r>
    </w:p>
    <w:p>
      <w:pPr>
        <w:spacing w:after="0" w:line="37" w:lineRule="exact"/>
        <w:rPr>
          <w:sz w:val="20"/>
          <w:szCs w:val="20"/>
          <w:color w:val="auto"/>
        </w:rPr>
      </w:pPr>
    </w:p>
    <w:p>
      <w:pPr>
        <w:ind w:firstLine="395"/>
        <w:spacing w:after="0" w:line="266" w:lineRule="auto"/>
        <w:rPr>
          <w:sz w:val="20"/>
          <w:szCs w:val="20"/>
          <w:color w:val="auto"/>
        </w:rPr>
      </w:pPr>
      <w:r>
        <w:rPr>
          <w:rFonts w:ascii="Arial" w:cs="Arial" w:eastAsia="Arial" w:hAnsi="Arial"/>
          <w:sz w:val="13"/>
          <w:szCs w:val="13"/>
          <w:color w:val="auto"/>
        </w:rPr>
        <w:t xml:space="preserve">3.1 </w:t>
      </w:r>
      <w:r>
        <w:rPr>
          <w:rFonts w:ascii="Arial" w:cs="Arial" w:eastAsia="Arial" w:hAnsi="Arial"/>
          <w:sz w:val="13"/>
          <w:szCs w:val="13"/>
          <w:b w:val="1"/>
          <w:bCs w:val="1"/>
          <w:color w:val="auto"/>
        </w:rPr>
        <w:t>Early Possession.</w:t>
      </w:r>
      <w:r>
        <w:rPr>
          <w:rFonts w:ascii="Arial" w:cs="Arial" w:eastAsia="Arial" w:hAnsi="Arial"/>
          <w:sz w:val="13"/>
          <w:szCs w:val="13"/>
          <w:color w:val="auto"/>
        </w:rPr>
        <w:t xml:space="preserve"> Any provision herein granting Sublessee Early Possession of the Premises is subject to and conditioned upon the Premises being available for such possession prior to the Commencement Date. Any grant of Early Possession only conveys a non-exclusive right to occupy the Premises. If Sublessee totally or partially occupies the Premises prior to the Commencement Date, the obligation to pay Base Rent shall be abated for the period of such Early Possession. All other terms of this Sublease (including but not limited to the obligations to pay Sublessee’s Share of Common Area Operating Expenses, Real Property Taxes and insurance premiums and to maintain the Premises) shall, however, be in effect during such period. Any such Early Possession shall not affect the Expiration Date.</w:t>
      </w:r>
    </w:p>
    <w:p>
      <w:pPr>
        <w:spacing w:after="0" w:line="1" w:lineRule="exact"/>
        <w:rPr>
          <w:sz w:val="20"/>
          <w:szCs w:val="20"/>
          <w:color w:val="auto"/>
        </w:rPr>
      </w:pPr>
    </w:p>
    <w:p>
      <w:pPr>
        <w:ind w:right="260" w:firstLine="395"/>
        <w:spacing w:after="0" w:line="273" w:lineRule="auto"/>
        <w:rPr>
          <w:sz w:val="20"/>
          <w:szCs w:val="20"/>
          <w:color w:val="auto"/>
        </w:rPr>
      </w:pPr>
      <w:r>
        <w:rPr>
          <w:rFonts w:ascii="Arial" w:cs="Arial" w:eastAsia="Arial" w:hAnsi="Arial"/>
          <w:sz w:val="13"/>
          <w:szCs w:val="13"/>
          <w:color w:val="auto"/>
        </w:rPr>
        <w:t xml:space="preserve">3.2 </w:t>
      </w:r>
      <w:r>
        <w:rPr>
          <w:rFonts w:ascii="Arial" w:cs="Arial" w:eastAsia="Arial" w:hAnsi="Arial"/>
          <w:sz w:val="13"/>
          <w:szCs w:val="13"/>
          <w:b w:val="1"/>
          <w:bCs w:val="1"/>
          <w:color w:val="auto"/>
        </w:rPr>
        <w:t>Delay in Commencement.</w:t>
      </w:r>
      <w:r>
        <w:rPr>
          <w:rFonts w:ascii="Arial" w:cs="Arial" w:eastAsia="Arial" w:hAnsi="Arial"/>
          <w:sz w:val="13"/>
          <w:szCs w:val="13"/>
          <w:color w:val="auto"/>
        </w:rPr>
        <w:t xml:space="preserve"> Sublessor agrees to use its best commercially reasonable efforts to deliver possession of the Premises by the Commencement Date. If, despite said efforts, Sublessor is unable to deliver possession as agreed, the rights and obligations of Sublessor and Sublessee shall be as set forth in Paragraph 3.3 of the Master Lease (as modified by Paragraph 6.3 of this Sublease).</w:t>
      </w:r>
    </w:p>
    <w:p>
      <w:pPr>
        <w:spacing w:after="0" w:line="1" w:lineRule="exact"/>
        <w:rPr>
          <w:sz w:val="20"/>
          <w:szCs w:val="20"/>
          <w:color w:val="auto"/>
        </w:rPr>
      </w:pPr>
    </w:p>
    <w:p>
      <w:pPr>
        <w:ind w:right="80" w:firstLine="395"/>
        <w:spacing w:after="0" w:line="282" w:lineRule="auto"/>
        <w:rPr>
          <w:sz w:val="20"/>
          <w:szCs w:val="20"/>
          <w:color w:val="auto"/>
        </w:rPr>
      </w:pPr>
      <w:r>
        <w:rPr>
          <w:rFonts w:ascii="Arial" w:cs="Arial" w:eastAsia="Arial" w:hAnsi="Arial"/>
          <w:sz w:val="13"/>
          <w:szCs w:val="13"/>
          <w:color w:val="auto"/>
        </w:rPr>
        <w:t xml:space="preserve">3.3 </w:t>
      </w:r>
      <w:r>
        <w:rPr>
          <w:rFonts w:ascii="Arial" w:cs="Arial" w:eastAsia="Arial" w:hAnsi="Arial"/>
          <w:sz w:val="13"/>
          <w:szCs w:val="13"/>
          <w:b w:val="1"/>
          <w:bCs w:val="1"/>
          <w:color w:val="auto"/>
        </w:rPr>
        <w:t>Sublessee Compliance.</w:t>
      </w:r>
      <w:r>
        <w:rPr>
          <w:rFonts w:ascii="Arial" w:cs="Arial" w:eastAsia="Arial" w:hAnsi="Arial"/>
          <w:sz w:val="13"/>
          <w:szCs w:val="13"/>
          <w:color w:val="auto"/>
        </w:rPr>
        <w:t xml:space="preserve"> Sublessor shall not be required to tender possession of the Premises to Sublessee until Sublessee complies with its obligation to provide evidence of insurance. Pending delivery of such evidence, Sublessee shall be required to perform all of its obligations under this Sublease from and after the Start Date, including the payment of Rent, notwithstanding Sublessor’s election to withhold possession pending receipt of such evidence of insurance. Further, if Sublessee is required to perform any other conditions prior to or concurrent with the Start Date, the Start Date shall occur but Sublessor may elect to withhold possession until such conditions are satisfied.</w:t>
      </w:r>
    </w:p>
    <w:p>
      <w:pPr>
        <w:spacing w:after="0" w:line="12" w:lineRule="exact"/>
        <w:rPr>
          <w:sz w:val="20"/>
          <w:szCs w:val="20"/>
          <w:color w:val="auto"/>
        </w:rPr>
      </w:pPr>
    </w:p>
    <w:p>
      <w:pPr>
        <w:ind w:left="300" w:hanging="292"/>
        <w:spacing w:after="0"/>
        <w:tabs>
          <w:tab w:leader="none" w:pos="300" w:val="left"/>
        </w:tabs>
        <w:numPr>
          <w:ilvl w:val="0"/>
          <w:numId w:val="67"/>
        </w:numPr>
        <w:rPr>
          <w:rFonts w:ascii="Arial" w:cs="Arial" w:eastAsia="Arial" w:hAnsi="Arial"/>
          <w:sz w:val="13"/>
          <w:szCs w:val="13"/>
          <w:b w:val="1"/>
          <w:bCs w:val="1"/>
          <w:color w:val="auto"/>
        </w:rPr>
      </w:pPr>
      <w:r>
        <w:rPr>
          <w:rFonts w:ascii="Arial" w:cs="Arial" w:eastAsia="Arial" w:hAnsi="Arial"/>
          <w:sz w:val="13"/>
          <w:szCs w:val="13"/>
          <w:b w:val="1"/>
          <w:bCs w:val="1"/>
          <w:color w:val="auto"/>
        </w:rPr>
        <w:t>Rent and Other Charges.</w:t>
      </w:r>
    </w:p>
    <w:p>
      <w:pPr>
        <w:spacing w:after="0" w:line="27" w:lineRule="exact"/>
        <w:rPr>
          <w:sz w:val="20"/>
          <w:szCs w:val="20"/>
          <w:color w:val="auto"/>
        </w:rPr>
      </w:pPr>
    </w:p>
    <w:p>
      <w:pPr>
        <w:ind w:right="80" w:firstLine="395"/>
        <w:spacing w:after="0" w:line="268" w:lineRule="auto"/>
        <w:rPr>
          <w:sz w:val="20"/>
          <w:szCs w:val="20"/>
          <w:color w:val="auto"/>
        </w:rPr>
      </w:pPr>
      <w:r>
        <w:rPr>
          <w:rFonts w:ascii="Arial" w:cs="Arial" w:eastAsia="Arial" w:hAnsi="Arial"/>
          <w:sz w:val="13"/>
          <w:szCs w:val="13"/>
          <w:color w:val="auto"/>
        </w:rPr>
        <w:t xml:space="preserve">4.1 </w:t>
      </w:r>
      <w:r>
        <w:rPr>
          <w:rFonts w:ascii="Arial" w:cs="Arial" w:eastAsia="Arial" w:hAnsi="Arial"/>
          <w:sz w:val="13"/>
          <w:szCs w:val="13"/>
          <w:b w:val="1"/>
          <w:bCs w:val="1"/>
          <w:color w:val="auto"/>
        </w:rPr>
        <w:t>Rent</w:t>
      </w:r>
      <w:r>
        <w:rPr>
          <w:rFonts w:ascii="Arial" w:cs="Arial" w:eastAsia="Arial" w:hAnsi="Arial"/>
          <w:sz w:val="13"/>
          <w:szCs w:val="13"/>
          <w:color w:val="auto"/>
        </w:rPr>
        <w:t xml:space="preserve"> Defined. All monetary obligations of Sublessee to Sublessor under the terms of this Sublease (except for the Security Deposit) are deemed to be rent (“</w:t>
      </w:r>
      <w:r>
        <w:rPr>
          <w:rFonts w:ascii="Arial" w:cs="Arial" w:eastAsia="Arial" w:hAnsi="Arial"/>
          <w:sz w:val="13"/>
          <w:szCs w:val="13"/>
          <w:b w:val="1"/>
          <w:bCs w:val="1"/>
          <w:color w:val="auto"/>
        </w:rPr>
        <w:t>Rent</w:t>
      </w:r>
      <w:r>
        <w:rPr>
          <w:rFonts w:ascii="Arial" w:cs="Arial" w:eastAsia="Arial" w:hAnsi="Arial"/>
          <w:sz w:val="13"/>
          <w:szCs w:val="13"/>
          <w:color w:val="auto"/>
        </w:rPr>
        <w:t>”). Rent shall be payable in lawful money of the United States to Sublessor at the address stated herein or to such other persons or at such other places as Sublessor may designate in writing.</w:t>
      </w:r>
    </w:p>
    <w:p>
      <w:pPr>
        <w:spacing w:after="0" w:line="1" w:lineRule="exact"/>
        <w:rPr>
          <w:sz w:val="20"/>
          <w:szCs w:val="20"/>
          <w:color w:val="auto"/>
        </w:rPr>
      </w:pPr>
    </w:p>
    <w:p>
      <w:pPr>
        <w:jc w:val="both"/>
        <w:ind w:left="400"/>
        <w:spacing w:after="0" w:line="251" w:lineRule="auto"/>
        <w:rPr>
          <w:sz w:val="20"/>
          <w:szCs w:val="20"/>
          <w:color w:val="auto"/>
        </w:rPr>
      </w:pPr>
      <w:r>
        <w:rPr>
          <w:rFonts w:ascii="Arial" w:cs="Arial" w:eastAsia="Arial" w:hAnsi="Arial"/>
          <w:sz w:val="13"/>
          <w:szCs w:val="13"/>
          <w:color w:val="auto"/>
        </w:rPr>
        <w:t xml:space="preserve">4.3 </w:t>
      </w:r>
      <w:r>
        <w:rPr>
          <w:rFonts w:ascii="Arial" w:cs="Arial" w:eastAsia="Arial" w:hAnsi="Arial"/>
          <w:sz w:val="13"/>
          <w:szCs w:val="13"/>
          <w:b w:val="1"/>
          <w:bCs w:val="1"/>
          <w:color w:val="auto"/>
        </w:rPr>
        <w:t>Utilities</w:t>
      </w:r>
      <w:r>
        <w:rPr>
          <w:rFonts w:ascii="Arial" w:cs="Arial" w:eastAsia="Arial" w:hAnsi="Arial"/>
          <w:sz w:val="13"/>
          <w:szCs w:val="13"/>
          <w:color w:val="auto"/>
        </w:rPr>
        <w:t xml:space="preserve">. </w:t>
      </w:r>
      <w:r>
        <w:rPr>
          <w:rFonts w:ascii="Arial" w:cs="Arial" w:eastAsia="Arial" w:hAnsi="Arial"/>
          <w:sz w:val="19"/>
          <w:szCs w:val="19"/>
          <w:color w:val="FF0000"/>
        </w:rPr>
        <w:t>If</w:t>
      </w:r>
      <w:r>
        <w:rPr>
          <w:rFonts w:ascii="Arial" w:cs="Arial" w:eastAsia="Arial" w:hAnsi="Arial"/>
          <w:sz w:val="13"/>
          <w:szCs w:val="13"/>
          <w:color w:val="auto"/>
        </w:rPr>
        <w:t xml:space="preserve"> at any time in Sublessor’s sole judgment, Sublessor determines that Sublessee is using a disproportionate amount of water, electricity or other commonly metered utilities, or that Sublessee is generating such a large volume of trash as to require an increase in the size of the dumpster and/or an increase in the number of times per month that the dumpster is emptied, then Sublessor may increase Sublessee’s Base Rent by an amount equal to such increased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775970</wp:posOffset>
            </wp:positionH>
            <wp:positionV relativeFrom="paragraph">
              <wp:posOffset>-255270</wp:posOffset>
            </wp:positionV>
            <wp:extent cx="2349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3495" cy="8255"/>
                    </a:xfrm>
                    <a:prstGeom prst="rect">
                      <a:avLst/>
                    </a:prstGeom>
                    <a:noFill/>
                  </pic:spPr>
                </pic:pic>
              </a:graphicData>
            </a:graphic>
          </wp:anchor>
        </w:drawing>
      </w:r>
    </w:p>
    <w:p>
      <w:pPr>
        <w:ind w:right="580" w:firstLine="8"/>
        <w:spacing w:after="0" w:line="305" w:lineRule="auto"/>
        <w:tabs>
          <w:tab w:leader="none" w:pos="300" w:val="left"/>
        </w:tabs>
        <w:numPr>
          <w:ilvl w:val="0"/>
          <w:numId w:val="68"/>
        </w:numPr>
        <w:rPr>
          <w:rFonts w:ascii="Arial" w:cs="Arial" w:eastAsia="Arial" w:hAnsi="Arial"/>
          <w:sz w:val="13"/>
          <w:szCs w:val="13"/>
          <w:color w:val="auto"/>
        </w:rPr>
      </w:pPr>
      <w:r>
        <w:rPr>
          <w:rFonts w:ascii="Arial" w:cs="Arial" w:eastAsia="Arial" w:hAnsi="Arial"/>
          <w:sz w:val="13"/>
          <w:szCs w:val="13"/>
          <w:b w:val="1"/>
          <w:bCs w:val="1"/>
          <w:color w:val="auto"/>
        </w:rPr>
        <w:t xml:space="preserve">Security Deposit. </w:t>
      </w:r>
      <w:r>
        <w:rPr>
          <w:rFonts w:ascii="Arial" w:cs="Arial" w:eastAsia="Arial" w:hAnsi="Arial"/>
          <w:sz w:val="13"/>
          <w:szCs w:val="13"/>
          <w:color w:val="auto"/>
        </w:rPr>
        <w:t>The rights and obligations of Sublessor and Sublessee as to said Security Deposit shall be as set forth in Paragraph 5 of the Master Lease (as modified by</w:t>
      </w:r>
      <w:r>
        <w:rPr>
          <w:rFonts w:ascii="Arial" w:cs="Arial" w:eastAsia="Arial" w:hAnsi="Arial"/>
          <w:sz w:val="13"/>
          <w:szCs w:val="13"/>
          <w:b w:val="1"/>
          <w:bCs w:val="1"/>
          <w:color w:val="auto"/>
        </w:rPr>
        <w:t xml:space="preserve"> </w:t>
      </w:r>
      <w:r>
        <w:rPr>
          <w:rFonts w:ascii="Arial" w:cs="Arial" w:eastAsia="Arial" w:hAnsi="Arial"/>
          <w:sz w:val="13"/>
          <w:szCs w:val="13"/>
          <w:color w:val="auto"/>
        </w:rPr>
        <w:t>Paragraph 6.3 of this Sublease).</w:t>
      </w:r>
    </w:p>
    <w:p>
      <w:pPr>
        <w:spacing w:after="0" w:line="24" w:lineRule="exact"/>
        <w:rPr>
          <w:rFonts w:ascii="Arial" w:cs="Arial" w:eastAsia="Arial" w:hAnsi="Arial"/>
          <w:sz w:val="13"/>
          <w:szCs w:val="13"/>
          <w:color w:val="auto"/>
        </w:rPr>
      </w:pPr>
    </w:p>
    <w:p>
      <w:pPr>
        <w:ind w:left="300" w:hanging="292"/>
        <w:spacing w:after="0"/>
        <w:tabs>
          <w:tab w:leader="none" w:pos="300" w:val="left"/>
        </w:tabs>
        <w:numPr>
          <w:ilvl w:val="0"/>
          <w:numId w:val="68"/>
        </w:numPr>
        <w:rPr>
          <w:rFonts w:ascii="Arial" w:cs="Arial" w:eastAsia="Arial" w:hAnsi="Arial"/>
          <w:sz w:val="13"/>
          <w:szCs w:val="13"/>
          <w:color w:val="auto"/>
        </w:rPr>
      </w:pPr>
      <w:r>
        <w:rPr>
          <w:rFonts w:ascii="Arial" w:cs="Arial" w:eastAsia="Arial" w:hAnsi="Arial"/>
          <w:sz w:val="13"/>
          <w:szCs w:val="13"/>
          <w:b w:val="1"/>
          <w:bCs w:val="1"/>
          <w:color w:val="auto"/>
        </w:rPr>
        <w:t>Master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377190</wp:posOffset>
            </wp:positionV>
            <wp:extent cx="505460" cy="40322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05460" cy="40322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514350</wp:posOffset>
            </wp:positionV>
            <wp:extent cx="539750" cy="3943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3975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00" w:type="dxa"/>
            <w:vAlign w:val="bottom"/>
          </w:tcPr>
          <w:p>
            <w:pPr>
              <w:ind w:left="20"/>
              <w:spacing w:after="0"/>
              <w:rPr>
                <w:sz w:val="20"/>
                <w:szCs w:val="20"/>
                <w:color w:val="auto"/>
              </w:rPr>
            </w:pPr>
            <w:r>
              <w:rPr>
                <w:rFonts w:ascii="Arial" w:cs="Arial" w:eastAsia="Arial" w:hAnsi="Arial"/>
                <w:sz w:val="18"/>
                <w:szCs w:val="18"/>
                <w:color w:val="auto"/>
              </w:rPr>
              <w:t>INITIALS</w:t>
            </w:r>
          </w:p>
        </w:tc>
        <w:tc>
          <w:tcPr>
            <w:tcW w:w="3160" w:type="dxa"/>
            <w:vAlign w:val="bottom"/>
          </w:tcPr>
          <w:p>
            <w:pPr>
              <w:spacing w:after="0"/>
              <w:rPr>
                <w:sz w:val="18"/>
                <w:szCs w:val="18"/>
                <w:color w:val="auto"/>
              </w:rPr>
            </w:pPr>
          </w:p>
        </w:tc>
        <w:tc>
          <w:tcPr>
            <w:tcW w:w="3780" w:type="dxa"/>
            <w:vAlign w:val="bottom"/>
          </w:tcPr>
          <w:p>
            <w:pPr>
              <w:spacing w:after="0"/>
              <w:rPr>
                <w:sz w:val="18"/>
                <w:szCs w:val="18"/>
                <w:color w:val="auto"/>
              </w:rPr>
            </w:pPr>
          </w:p>
        </w:tc>
      </w:tr>
      <w:tr>
        <w:trPr>
          <w:trHeight w:val="208"/>
        </w:trPr>
        <w:tc>
          <w:tcPr>
            <w:tcW w:w="4300" w:type="dxa"/>
            <w:vAlign w:val="bottom"/>
          </w:tcPr>
          <w:p>
            <w:pPr>
              <w:ind w:left="20"/>
              <w:spacing w:after="0"/>
              <w:rPr>
                <w:sz w:val="20"/>
                <w:szCs w:val="20"/>
                <w:color w:val="auto"/>
              </w:rPr>
            </w:pPr>
            <w:r>
              <w:rPr>
                <w:rFonts w:ascii="Arial" w:cs="Arial" w:eastAsia="Arial" w:hAnsi="Arial"/>
                <w:sz w:val="18"/>
                <w:szCs w:val="18"/>
                <w:color w:val="auto"/>
              </w:rPr>
              <w:t>© 2019 AIR CRE. All Rights Reserved.</w:t>
            </w:r>
          </w:p>
        </w:tc>
        <w:tc>
          <w:tcPr>
            <w:tcW w:w="3160" w:type="dxa"/>
            <w:vAlign w:val="bottom"/>
          </w:tcPr>
          <w:p>
            <w:pPr>
              <w:ind w:left="1200"/>
              <w:spacing w:after="0"/>
              <w:rPr>
                <w:sz w:val="20"/>
                <w:szCs w:val="20"/>
                <w:color w:val="auto"/>
              </w:rPr>
            </w:pPr>
            <w:r>
              <w:rPr>
                <w:rFonts w:ascii="Arial" w:cs="Arial" w:eastAsia="Arial" w:hAnsi="Arial"/>
                <w:sz w:val="18"/>
                <w:szCs w:val="18"/>
                <w:color w:val="auto"/>
              </w:rPr>
              <w:t>INITIALS</w:t>
            </w:r>
          </w:p>
        </w:tc>
        <w:tc>
          <w:tcPr>
            <w:tcW w:w="3780" w:type="dxa"/>
            <w:vAlign w:val="bottom"/>
          </w:tcPr>
          <w:p>
            <w:pPr>
              <w:jc w:val="right"/>
              <w:spacing w:after="0"/>
              <w:rPr>
                <w:sz w:val="20"/>
                <w:szCs w:val="20"/>
                <w:color w:val="auto"/>
              </w:rPr>
            </w:pPr>
            <w:r>
              <w:rPr>
                <w:rFonts w:ascii="Arial" w:cs="Arial" w:eastAsia="Arial" w:hAnsi="Arial"/>
                <w:sz w:val="18"/>
                <w:szCs w:val="18"/>
                <w:color w:val="auto"/>
              </w:rPr>
              <w:t>Last Edited: 4/4/2022 10:50 AM</w:t>
            </w:r>
          </w:p>
        </w:tc>
      </w:tr>
      <w:tr>
        <w:trPr>
          <w:trHeight w:val="247"/>
        </w:trPr>
        <w:tc>
          <w:tcPr>
            <w:tcW w:w="4300" w:type="dxa"/>
            <w:vAlign w:val="bottom"/>
          </w:tcPr>
          <w:p>
            <w:pPr>
              <w:ind w:left="20"/>
              <w:spacing w:after="0"/>
              <w:rPr>
                <w:sz w:val="20"/>
                <w:szCs w:val="20"/>
                <w:color w:val="auto"/>
              </w:rPr>
            </w:pPr>
            <w:r>
              <w:rPr>
                <w:rFonts w:ascii="Arial" w:cs="Arial" w:eastAsia="Arial" w:hAnsi="Arial"/>
                <w:sz w:val="18"/>
                <w:szCs w:val="18"/>
                <w:color w:val="auto"/>
              </w:rPr>
              <w:t>SBMT-8.03, Revised 10-22-2020</w:t>
            </w:r>
          </w:p>
        </w:tc>
        <w:tc>
          <w:tcPr>
            <w:tcW w:w="3160" w:type="dxa"/>
            <w:vAlign w:val="bottom"/>
          </w:tcPr>
          <w:p>
            <w:pPr>
              <w:spacing w:after="0"/>
              <w:rPr>
                <w:sz w:val="21"/>
                <w:szCs w:val="21"/>
                <w:color w:val="auto"/>
              </w:rPr>
            </w:pPr>
          </w:p>
        </w:tc>
        <w:tc>
          <w:tcPr>
            <w:tcW w:w="3780" w:type="dxa"/>
            <w:vAlign w:val="bottom"/>
          </w:tcPr>
          <w:p>
            <w:pPr>
              <w:jc w:val="right"/>
              <w:spacing w:after="0"/>
              <w:rPr>
                <w:sz w:val="20"/>
                <w:szCs w:val="20"/>
                <w:color w:val="auto"/>
              </w:rPr>
            </w:pPr>
            <w:r>
              <w:rPr>
                <w:rFonts w:ascii="Arial" w:cs="Arial" w:eastAsia="Arial" w:hAnsi="Arial"/>
                <w:sz w:val="18"/>
                <w:szCs w:val="18"/>
                <w:color w:val="auto"/>
              </w:rPr>
              <w:t>Page 3 of 7</w:t>
            </w:r>
          </w:p>
        </w:tc>
      </w:tr>
      <w:tr>
        <w:trPr>
          <w:trHeight w:val="138"/>
        </w:trPr>
        <w:tc>
          <w:tcPr>
            <w:tcW w:w="4300" w:type="dxa"/>
            <w:vAlign w:val="bottom"/>
            <w:tcBorders>
              <w:bottom w:val="single" w:sz="8" w:color="9A9A9A"/>
            </w:tcBorders>
          </w:tcPr>
          <w:p>
            <w:pPr>
              <w:spacing w:after="0"/>
              <w:rPr>
                <w:sz w:val="12"/>
                <w:szCs w:val="12"/>
                <w:color w:val="auto"/>
              </w:rPr>
            </w:pPr>
          </w:p>
        </w:tc>
        <w:tc>
          <w:tcPr>
            <w:tcW w:w="3160" w:type="dxa"/>
            <w:vAlign w:val="bottom"/>
            <w:tcBorders>
              <w:bottom w:val="single" w:sz="8" w:color="9A9A9A"/>
            </w:tcBorders>
          </w:tcPr>
          <w:p>
            <w:pPr>
              <w:spacing w:after="0"/>
              <w:rPr>
                <w:sz w:val="12"/>
                <w:szCs w:val="12"/>
                <w:color w:val="auto"/>
              </w:rPr>
            </w:pPr>
          </w:p>
        </w:tc>
        <w:tc>
          <w:tcPr>
            <w:tcW w:w="37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7" w:name="page108"/>
    <w:bookmarkEnd w:id="107"/>
    <w:p>
      <w:pPr>
        <w:ind w:left="420"/>
        <w:spacing w:after="0"/>
        <w:rPr>
          <w:sz w:val="20"/>
          <w:szCs w:val="20"/>
          <w:color w:val="auto"/>
        </w:rPr>
      </w:pPr>
      <w:r>
        <w:rPr>
          <w:rFonts w:ascii="Arial" w:cs="Arial" w:eastAsia="Arial" w:hAnsi="Arial"/>
          <w:sz w:val="13"/>
          <w:szCs w:val="13"/>
          <w:color w:val="auto"/>
        </w:rPr>
        <w:t xml:space="preserve">6.1 Sublessor is the lessee of the Premises by virtue of the “Master Lease”, wherein </w:t>
      </w:r>
      <w:r>
        <w:rPr>
          <w:rFonts w:ascii="Arial" w:cs="Arial" w:eastAsia="Arial" w:hAnsi="Arial"/>
          <w:sz w:val="13"/>
          <w:szCs w:val="13"/>
          <w:u w:val="single" w:color="auto"/>
          <w:color w:val="auto"/>
        </w:rPr>
        <w:t>Clifford D. Downs</w:t>
      </w:r>
      <w:r>
        <w:rPr>
          <w:rFonts w:ascii="Arial" w:cs="Arial" w:eastAsia="Arial" w:hAnsi="Arial"/>
          <w:sz w:val="13"/>
          <w:szCs w:val="13"/>
          <w:color w:val="auto"/>
        </w:rPr>
        <w:t xml:space="preserve"> is the lessor, hereinafter the “</w:t>
      </w:r>
      <w:r>
        <w:rPr>
          <w:rFonts w:ascii="Arial" w:cs="Arial" w:eastAsia="Arial" w:hAnsi="Arial"/>
          <w:sz w:val="13"/>
          <w:szCs w:val="13"/>
          <w:b w:val="1"/>
          <w:bCs w:val="1"/>
          <w:color w:val="auto"/>
        </w:rPr>
        <w:t>Master Lessor</w:t>
      </w:r>
      <w:r>
        <w:rPr>
          <w:rFonts w:ascii="Arial" w:cs="Arial" w:eastAsia="Arial" w:hAnsi="Arial"/>
          <w:sz w:val="13"/>
          <w:szCs w:val="13"/>
          <w:color w:val="auto"/>
        </w:rPr>
        <w:t>”.</w:t>
      </w:r>
    </w:p>
    <w:p>
      <w:pPr>
        <w:spacing w:after="0" w:line="27" w:lineRule="exact"/>
        <w:rPr>
          <w:sz w:val="20"/>
          <w:szCs w:val="20"/>
          <w:color w:val="auto"/>
        </w:rPr>
      </w:pPr>
    </w:p>
    <w:p>
      <w:pPr>
        <w:ind w:left="400"/>
        <w:spacing w:after="0"/>
        <w:tabs>
          <w:tab w:leader="none" w:pos="680" w:val="left"/>
        </w:tabs>
        <w:rPr>
          <w:sz w:val="20"/>
          <w:szCs w:val="20"/>
          <w:color w:val="auto"/>
        </w:rPr>
      </w:pPr>
      <w:r>
        <w:rPr>
          <w:rFonts w:ascii="Arial" w:cs="Arial" w:eastAsia="Arial" w:hAnsi="Arial"/>
          <w:sz w:val="13"/>
          <w:szCs w:val="13"/>
          <w:color w:val="auto"/>
        </w:rPr>
        <w:t>6.2</w:t>
        <w:tab/>
        <w:t>This Sublease is and shall be at all times subject and subordinate to the Master Lease.</w:t>
      </w:r>
    </w:p>
    <w:p>
      <w:pPr>
        <w:spacing w:after="0" w:line="15" w:lineRule="exact"/>
        <w:rPr>
          <w:sz w:val="20"/>
          <w:szCs w:val="20"/>
          <w:color w:val="auto"/>
        </w:rPr>
      </w:pPr>
    </w:p>
    <w:p>
      <w:pPr>
        <w:ind w:firstLine="395"/>
        <w:spacing w:after="0" w:line="275" w:lineRule="auto"/>
        <w:rPr>
          <w:sz w:val="20"/>
          <w:szCs w:val="20"/>
          <w:color w:val="auto"/>
        </w:rPr>
      </w:pPr>
      <w:r>
        <w:rPr>
          <w:rFonts w:ascii="Arial" w:cs="Arial" w:eastAsia="Arial" w:hAnsi="Arial"/>
          <w:sz w:val="13"/>
          <w:szCs w:val="13"/>
          <w:color w:val="auto"/>
        </w:rPr>
        <w:t>6.3 The terms, conditions and respective obligations of Sublessor and Sublessee to each other under this Sublease shall be the terms and conditions of the Master Lease except for those provisions of the Master Lease which are directly contradicted by this Sublease in which event the terms of this Sublease document shall control over the Master Lease. Therefore, for the purposes of this Sublease, wherever in the Master Lease the word “Lessor” is used it shall be deemed to mean the Sublessor herein and wherever in the Master Lease the word “Lessee” is used it shall be deemed to mean the Sublessee herein.</w:t>
      </w:r>
    </w:p>
    <w:p>
      <w:pPr>
        <w:spacing w:after="0" w:line="1" w:lineRule="exact"/>
        <w:rPr>
          <w:sz w:val="20"/>
          <w:szCs w:val="20"/>
          <w:color w:val="auto"/>
        </w:rPr>
      </w:pPr>
    </w:p>
    <w:p>
      <w:pPr>
        <w:jc w:val="both"/>
        <w:ind w:right="20" w:firstLine="395"/>
        <w:spacing w:after="0" w:line="275" w:lineRule="auto"/>
        <w:rPr>
          <w:sz w:val="20"/>
          <w:szCs w:val="20"/>
          <w:color w:val="auto"/>
        </w:rPr>
      </w:pPr>
      <w:r>
        <w:rPr>
          <w:rFonts w:ascii="Arial" w:cs="Arial" w:eastAsia="Arial" w:hAnsi="Arial"/>
          <w:sz w:val="13"/>
          <w:szCs w:val="13"/>
          <w:color w:val="auto"/>
        </w:rPr>
        <w:t>6.4 During the term of this Sublease and for all periods subsequent for obligations which have arisen prior to the termination of this Sublease, Sublessee does hereby expressly assume and agree to perform and comply with, for the benefit of Sublessor and Master Lessor, each and every obligation of Sublessor under the Master Lease except for the following paragraphs which are excluded therefrom: N/A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1610995</wp:posOffset>
            </wp:positionH>
            <wp:positionV relativeFrom="paragraph">
              <wp:posOffset>-16510</wp:posOffset>
            </wp:positionV>
            <wp:extent cx="19050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90500" cy="8255"/>
                    </a:xfrm>
                    <a:prstGeom prst="rect">
                      <a:avLst/>
                    </a:prstGeom>
                    <a:noFill/>
                  </pic:spPr>
                </pic:pic>
              </a:graphicData>
            </a:graphic>
          </wp:anchor>
        </w:drawing>
      </w:r>
    </w:p>
    <w:p>
      <w:pPr>
        <w:ind w:right="600" w:firstLine="395"/>
        <w:spacing w:after="0" w:line="269" w:lineRule="auto"/>
        <w:rPr>
          <w:sz w:val="20"/>
          <w:szCs w:val="20"/>
          <w:color w:val="auto"/>
        </w:rPr>
      </w:pPr>
      <w:r>
        <w:rPr>
          <w:rFonts w:ascii="Arial" w:cs="Arial" w:eastAsia="Arial" w:hAnsi="Arial"/>
          <w:sz w:val="13"/>
          <w:szCs w:val="13"/>
          <w:color w:val="auto"/>
        </w:rPr>
        <w:t>6.5 The obligations that Sublessee has assumed under paragraph 6.4 hereof are hereinafter referred to as the “</w:t>
      </w:r>
      <w:r>
        <w:rPr>
          <w:rFonts w:ascii="Arial" w:cs="Arial" w:eastAsia="Arial" w:hAnsi="Arial"/>
          <w:sz w:val="13"/>
          <w:szCs w:val="13"/>
          <w:b w:val="1"/>
          <w:bCs w:val="1"/>
          <w:color w:val="auto"/>
        </w:rPr>
        <w:t>Sublessee’s Assumed Obligations</w:t>
      </w:r>
      <w:r>
        <w:rPr>
          <w:rFonts w:ascii="Arial" w:cs="Arial" w:eastAsia="Arial" w:hAnsi="Arial"/>
          <w:sz w:val="13"/>
          <w:szCs w:val="13"/>
          <w:color w:val="auto"/>
        </w:rPr>
        <w:t>”. The obligations that sublessee has not assumed under paragraph 6.4 hereof are hereinafter referred to as the “</w:t>
      </w:r>
      <w:r>
        <w:rPr>
          <w:rFonts w:ascii="Arial" w:cs="Arial" w:eastAsia="Arial" w:hAnsi="Arial"/>
          <w:sz w:val="13"/>
          <w:szCs w:val="13"/>
          <w:b w:val="1"/>
          <w:bCs w:val="1"/>
          <w:color w:val="auto"/>
        </w:rPr>
        <w:t>Sublessor’s Remaining Obligations</w:t>
      </w:r>
      <w:r>
        <w:rPr>
          <w:rFonts w:ascii="Arial" w:cs="Arial" w:eastAsia="Arial" w:hAnsi="Arial"/>
          <w:sz w:val="13"/>
          <w:szCs w:val="13"/>
          <w:color w:val="auto"/>
        </w:rPr>
        <w:t>”.</w:t>
      </w:r>
    </w:p>
    <w:p>
      <w:pPr>
        <w:ind w:right="660" w:firstLine="395"/>
        <w:spacing w:after="0" w:line="270" w:lineRule="auto"/>
        <w:rPr>
          <w:sz w:val="20"/>
          <w:szCs w:val="20"/>
          <w:color w:val="auto"/>
        </w:rPr>
      </w:pPr>
      <w:r>
        <w:rPr>
          <w:rFonts w:ascii="Arial" w:cs="Arial" w:eastAsia="Arial" w:hAnsi="Arial"/>
          <w:sz w:val="13"/>
          <w:szCs w:val="13"/>
          <w:color w:val="auto"/>
        </w:rPr>
        <w:t>6.6 Sublessee shall hold Sublessor free and harmless from all liability, judgments, costs, damages, claims or demands, including reasonable attorneys fees, arising out of Sublessee’s failure to comply with or perform Sublessee’s Assumed Obligations.</w:t>
      </w:r>
    </w:p>
    <w:p>
      <w:pPr>
        <w:spacing w:after="0" w:line="1" w:lineRule="exact"/>
        <w:rPr>
          <w:sz w:val="20"/>
          <w:szCs w:val="20"/>
          <w:color w:val="auto"/>
        </w:rPr>
      </w:pPr>
    </w:p>
    <w:p>
      <w:pPr>
        <w:ind w:right="160" w:firstLine="395"/>
        <w:spacing w:after="0" w:line="267" w:lineRule="auto"/>
        <w:rPr>
          <w:sz w:val="20"/>
          <w:szCs w:val="20"/>
          <w:color w:val="auto"/>
        </w:rPr>
      </w:pPr>
      <w:r>
        <w:rPr>
          <w:rFonts w:ascii="Arial" w:cs="Arial" w:eastAsia="Arial" w:hAnsi="Arial"/>
          <w:sz w:val="13"/>
          <w:szCs w:val="13"/>
          <w:color w:val="auto"/>
        </w:rPr>
        <w:t>6.7 Sublessor agrees to maintain the Master Lease during the entire term of this Sublease, subject, however, to any earlier termination of the Master Lease without the fault of the Sublessor, and to comply with or perform Sublessor’s Remaining Obligations and to hold Sublessee free and harmless from all liability, judgments, costs, damages, claims or demands arising out of Sublessor’s failure to comply with or perform Sublessor’s Remaining Obligations.</w:t>
      </w:r>
    </w:p>
    <w:p>
      <w:pPr>
        <w:spacing w:after="0" w:line="1" w:lineRule="exact"/>
        <w:rPr>
          <w:sz w:val="20"/>
          <w:szCs w:val="20"/>
          <w:color w:val="auto"/>
        </w:rPr>
      </w:pPr>
    </w:p>
    <w:p>
      <w:pPr>
        <w:ind w:left="400"/>
        <w:spacing w:after="0"/>
        <w:tabs>
          <w:tab w:leader="none" w:pos="680" w:val="left"/>
        </w:tabs>
        <w:rPr>
          <w:sz w:val="20"/>
          <w:szCs w:val="20"/>
          <w:color w:val="auto"/>
        </w:rPr>
      </w:pPr>
      <w:r>
        <w:rPr>
          <w:rFonts w:ascii="Arial" w:cs="Arial" w:eastAsia="Arial" w:hAnsi="Arial"/>
          <w:sz w:val="13"/>
          <w:szCs w:val="13"/>
          <w:color w:val="auto"/>
        </w:rPr>
        <w:t>6.8</w:t>
        <w:tab/>
        <w:t>Sublessor represents to Sublessee that the Master Lease is in full force and effect and that no default exists on the part of any Party to the Master Lease.</w:t>
      </w:r>
    </w:p>
    <w:p>
      <w:pPr>
        <w:spacing w:after="0" w:line="147" w:lineRule="exact"/>
        <w:rPr>
          <w:sz w:val="20"/>
          <w:szCs w:val="20"/>
          <w:color w:val="auto"/>
        </w:rPr>
      </w:pPr>
    </w:p>
    <w:p>
      <w:pPr>
        <w:ind w:left="300" w:hanging="292"/>
        <w:spacing w:after="0"/>
        <w:tabs>
          <w:tab w:leader="none" w:pos="300" w:val="left"/>
        </w:tabs>
        <w:numPr>
          <w:ilvl w:val="0"/>
          <w:numId w:val="69"/>
        </w:numPr>
        <w:rPr>
          <w:rFonts w:ascii="Arial" w:cs="Arial" w:eastAsia="Arial" w:hAnsi="Arial"/>
          <w:sz w:val="13"/>
          <w:szCs w:val="13"/>
          <w:b w:val="1"/>
          <w:bCs w:val="1"/>
          <w:color w:val="auto"/>
        </w:rPr>
      </w:pPr>
      <w:r>
        <w:rPr>
          <w:rFonts w:ascii="Arial" w:cs="Arial" w:eastAsia="Arial" w:hAnsi="Arial"/>
          <w:sz w:val="13"/>
          <w:szCs w:val="13"/>
          <w:b w:val="1"/>
          <w:bCs w:val="1"/>
          <w:color w:val="auto"/>
        </w:rPr>
        <w:t>Assignment of Sublease and Default.</w:t>
      </w:r>
    </w:p>
    <w:p>
      <w:pPr>
        <w:spacing w:after="0" w:line="37" w:lineRule="exact"/>
        <w:rPr>
          <w:sz w:val="20"/>
          <w:szCs w:val="20"/>
          <w:color w:val="auto"/>
        </w:rPr>
      </w:pPr>
    </w:p>
    <w:p>
      <w:pPr>
        <w:ind w:left="400"/>
        <w:spacing w:after="0"/>
        <w:tabs>
          <w:tab w:leader="none" w:pos="680" w:val="left"/>
        </w:tabs>
        <w:rPr>
          <w:sz w:val="20"/>
          <w:szCs w:val="20"/>
          <w:color w:val="auto"/>
        </w:rPr>
      </w:pPr>
      <w:r>
        <w:rPr>
          <w:rFonts w:ascii="Arial" w:cs="Arial" w:eastAsia="Arial" w:hAnsi="Arial"/>
          <w:sz w:val="13"/>
          <w:szCs w:val="13"/>
          <w:color w:val="auto"/>
        </w:rPr>
        <w:t>7.1</w:t>
        <w:tab/>
        <w:t>Sublessor hereby assigns and transfers to Master Lessor the Sublessor’s interest in this Sublease, subject however to the provisions of Paragraph 8.2 hereof.</w:t>
      </w:r>
    </w:p>
    <w:p>
      <w:pPr>
        <w:spacing w:after="0" w:line="16" w:lineRule="exact"/>
        <w:rPr>
          <w:sz w:val="20"/>
          <w:szCs w:val="20"/>
          <w:color w:val="auto"/>
        </w:rPr>
      </w:pPr>
    </w:p>
    <w:p>
      <w:pPr>
        <w:ind w:right="180" w:firstLine="395"/>
        <w:spacing w:after="0" w:line="266" w:lineRule="auto"/>
        <w:rPr>
          <w:sz w:val="20"/>
          <w:szCs w:val="20"/>
          <w:color w:val="auto"/>
        </w:rPr>
      </w:pPr>
      <w:r>
        <w:rPr>
          <w:rFonts w:ascii="Arial" w:cs="Arial" w:eastAsia="Arial" w:hAnsi="Arial"/>
          <w:sz w:val="13"/>
          <w:szCs w:val="13"/>
          <w:color w:val="auto"/>
        </w:rPr>
        <w:t>7.2 Master Lessor, by executing this document, agrees that until a Default shall occur in the performance of Sublessor’s Obligations under the Master Lease, that Sublessor may receive, collect and enjoy the Rent accruing under this Sublease. However, if Sublessor shall Default in the performance of its obligations to Master Lessor then Master Lessor may, at its option, receive and collect, directly from Sublessee, all Rent owing and to be owed under this Sublease. Master Lessor shall not, by reason of this assignment of the Sublease nor by reason of the collection of the Rent from the Sublessee, be deemed liable to Sublessee for any failure of the Sublessor to perform and comply with Sublessor’s Remaining Obligations.</w:t>
      </w:r>
    </w:p>
    <w:p>
      <w:pPr>
        <w:spacing w:after="0" w:line="1" w:lineRule="exact"/>
        <w:rPr>
          <w:sz w:val="20"/>
          <w:szCs w:val="20"/>
          <w:color w:val="auto"/>
        </w:rPr>
      </w:pPr>
    </w:p>
    <w:p>
      <w:pPr>
        <w:jc w:val="both"/>
        <w:ind w:firstLine="395"/>
        <w:spacing w:after="0" w:line="270" w:lineRule="auto"/>
        <w:rPr>
          <w:sz w:val="20"/>
          <w:szCs w:val="20"/>
          <w:color w:val="auto"/>
        </w:rPr>
      </w:pPr>
      <w:r>
        <w:rPr>
          <w:rFonts w:ascii="Arial" w:cs="Arial" w:eastAsia="Arial" w:hAnsi="Arial"/>
          <w:sz w:val="13"/>
          <w:szCs w:val="13"/>
          <w:color w:val="auto"/>
        </w:rPr>
        <w:t>7.3 Sublessor hereby irrevocably authorizes and directs Sublessee upon receipt of any written notice from the Master Lessor stating that a Default exists in the performance of Sublessor’s obligations under the Master Lease, to pay to Master Lessor the Rent due and to become due under the Sublease. Sublessor agrees that Sublessee shall have the right to rely upon any such statement and request from Master Lessor, and that Sublessee shall pay such Rent to Master Lessor without any obligation or right to inquire as to whether such Default exists and notwithstanding any notice from or claim from Sublessor to the contrary and Sublessor shall have no right or claim against Sublessee for any such Rent so paid by Sublessee.</w:t>
      </w:r>
    </w:p>
    <w:p>
      <w:pPr>
        <w:spacing w:after="0" w:line="2" w:lineRule="exact"/>
        <w:rPr>
          <w:sz w:val="20"/>
          <w:szCs w:val="20"/>
          <w:color w:val="auto"/>
        </w:rPr>
      </w:pPr>
    </w:p>
    <w:p>
      <w:pPr>
        <w:ind w:left="400"/>
        <w:spacing w:after="0"/>
        <w:tabs>
          <w:tab w:leader="none" w:pos="680" w:val="left"/>
        </w:tabs>
        <w:rPr>
          <w:sz w:val="20"/>
          <w:szCs w:val="20"/>
          <w:color w:val="auto"/>
        </w:rPr>
      </w:pPr>
      <w:r>
        <w:rPr>
          <w:rFonts w:ascii="Arial" w:cs="Arial" w:eastAsia="Arial" w:hAnsi="Arial"/>
          <w:sz w:val="13"/>
          <w:szCs w:val="13"/>
          <w:color w:val="auto"/>
        </w:rPr>
        <w:t>7.4</w:t>
        <w:tab/>
        <w:t>No changes or modifications shall be made to this Sublease without the consent of Master Lessor.</w:t>
      </w:r>
    </w:p>
    <w:p>
      <w:pPr>
        <w:spacing w:after="0" w:line="64" w:lineRule="exact"/>
        <w:rPr>
          <w:sz w:val="20"/>
          <w:szCs w:val="20"/>
          <w:color w:val="auto"/>
        </w:rPr>
      </w:pPr>
    </w:p>
    <w:p>
      <w:pPr>
        <w:ind w:left="300" w:hanging="292"/>
        <w:spacing w:after="0"/>
        <w:tabs>
          <w:tab w:leader="none" w:pos="300" w:val="left"/>
        </w:tabs>
        <w:numPr>
          <w:ilvl w:val="0"/>
          <w:numId w:val="70"/>
        </w:numPr>
        <w:rPr>
          <w:rFonts w:ascii="Arial" w:cs="Arial" w:eastAsia="Arial" w:hAnsi="Arial"/>
          <w:sz w:val="13"/>
          <w:szCs w:val="13"/>
          <w:b w:val="1"/>
          <w:bCs w:val="1"/>
          <w:color w:val="auto"/>
        </w:rPr>
      </w:pPr>
      <w:r>
        <w:rPr>
          <w:rFonts w:ascii="Arial" w:cs="Arial" w:eastAsia="Arial" w:hAnsi="Arial"/>
          <w:sz w:val="13"/>
          <w:szCs w:val="13"/>
          <w:b w:val="1"/>
          <w:bCs w:val="1"/>
          <w:color w:val="auto"/>
        </w:rPr>
        <w:t>Consent of Master Lessor.</w:t>
      </w:r>
    </w:p>
    <w:p>
      <w:pPr>
        <w:spacing w:after="0" w:line="37" w:lineRule="exact"/>
        <w:rPr>
          <w:sz w:val="20"/>
          <w:szCs w:val="20"/>
          <w:color w:val="auto"/>
        </w:rPr>
      </w:pPr>
    </w:p>
    <w:p>
      <w:pPr>
        <w:ind w:right="80" w:firstLine="395"/>
        <w:spacing w:after="0" w:line="264" w:lineRule="auto"/>
        <w:rPr>
          <w:sz w:val="20"/>
          <w:szCs w:val="20"/>
          <w:color w:val="auto"/>
        </w:rPr>
      </w:pPr>
      <w:r>
        <w:rPr>
          <w:rFonts w:ascii="Arial" w:cs="Arial" w:eastAsia="Arial" w:hAnsi="Arial"/>
          <w:sz w:val="13"/>
          <w:szCs w:val="13"/>
          <w:color w:val="auto"/>
        </w:rPr>
        <w:t>8.1 In the event that the Master Lease requires that Sublessor obtain the consent of Master Lessor to any subletting by Sublessor then, this Sublease shall not be effective unless, within 10 days of the date hereof, Master Lessor signs this Sublease thereby giving its consent to this Subletting.</w:t>
      </w:r>
    </w:p>
    <w:p>
      <w:pPr>
        <w:spacing w:after="0" w:line="1" w:lineRule="exact"/>
        <w:rPr>
          <w:sz w:val="20"/>
          <w:szCs w:val="20"/>
          <w:color w:val="auto"/>
        </w:rPr>
      </w:pPr>
    </w:p>
    <w:p>
      <w:pPr>
        <w:ind w:right="200" w:firstLine="395"/>
        <w:spacing w:after="0" w:line="269" w:lineRule="auto"/>
        <w:rPr>
          <w:sz w:val="20"/>
          <w:szCs w:val="20"/>
          <w:color w:val="auto"/>
        </w:rPr>
      </w:pPr>
      <w:r>
        <w:rPr>
          <w:rFonts w:ascii="Arial" w:cs="Arial" w:eastAsia="Arial" w:hAnsi="Arial"/>
          <w:sz w:val="13"/>
          <w:szCs w:val="13"/>
          <w:color w:val="auto"/>
        </w:rPr>
        <w:t>8.2 In the event that the obligations of the Sublessor under the Master Lease have been guaranteed by third parties, then neither this Sublease, nor the Master Lessor’s consent, shall be effective unless, within 10 days of the date hereof, said guarantors sign this Sublease thereby giving their consent to this Sublease.</w:t>
      </w:r>
    </w:p>
    <w:p>
      <w:pPr>
        <w:ind w:left="400"/>
        <w:spacing w:after="0"/>
        <w:tabs>
          <w:tab w:leader="none" w:pos="680" w:val="left"/>
        </w:tabs>
        <w:rPr>
          <w:sz w:val="20"/>
          <w:szCs w:val="20"/>
          <w:color w:val="auto"/>
        </w:rPr>
      </w:pPr>
      <w:r>
        <w:rPr>
          <w:rFonts w:ascii="Arial" w:cs="Arial" w:eastAsia="Arial" w:hAnsi="Arial"/>
          <w:sz w:val="13"/>
          <w:szCs w:val="13"/>
          <w:color w:val="auto"/>
        </w:rPr>
        <w:t>8.3</w:t>
        <w:tab/>
        <w:t>In the event that Master Lessor does give such consent then:</w:t>
      </w:r>
    </w:p>
    <w:p>
      <w:pPr>
        <w:spacing w:after="0" w:line="15" w:lineRule="exact"/>
        <w:rPr>
          <w:sz w:val="20"/>
          <w:szCs w:val="20"/>
          <w:color w:val="auto"/>
        </w:rPr>
      </w:pPr>
    </w:p>
    <w:p>
      <w:pPr>
        <w:ind w:right="200" w:firstLine="757"/>
        <w:spacing w:after="0" w:line="270" w:lineRule="auto"/>
        <w:tabs>
          <w:tab w:leader="none" w:pos="1049" w:val="left"/>
        </w:tabs>
        <w:numPr>
          <w:ilvl w:val="0"/>
          <w:numId w:val="71"/>
        </w:numPr>
        <w:rPr>
          <w:rFonts w:ascii="Arial" w:cs="Arial" w:eastAsia="Arial" w:hAnsi="Arial"/>
          <w:sz w:val="13"/>
          <w:szCs w:val="13"/>
          <w:color w:val="auto"/>
        </w:rPr>
      </w:pPr>
      <w:r>
        <w:rPr>
          <w:rFonts w:ascii="Arial" w:cs="Arial" w:eastAsia="Arial" w:hAnsi="Arial"/>
          <w:sz w:val="13"/>
          <w:szCs w:val="13"/>
          <w:color w:val="auto"/>
        </w:rPr>
        <w:t>Such consent shall not release Sublessor of its obligations or alter the primary liability of Sublessor to pay the Rent and perform and comply with all of the obligations of Sublessor to be performed under the Master Lease.</w:t>
      </w:r>
    </w:p>
    <w:p>
      <w:pPr>
        <w:spacing w:after="0" w:line="1" w:lineRule="exact"/>
        <w:rPr>
          <w:rFonts w:ascii="Arial" w:cs="Arial" w:eastAsia="Arial" w:hAnsi="Arial"/>
          <w:sz w:val="13"/>
          <w:szCs w:val="13"/>
          <w:color w:val="auto"/>
        </w:rPr>
      </w:pPr>
    </w:p>
    <w:p>
      <w:pPr>
        <w:ind w:firstLine="757"/>
        <w:spacing w:after="0" w:line="270" w:lineRule="auto"/>
        <w:tabs>
          <w:tab w:leader="none" w:pos="1049" w:val="left"/>
        </w:tabs>
        <w:numPr>
          <w:ilvl w:val="0"/>
          <w:numId w:val="71"/>
        </w:numPr>
        <w:rPr>
          <w:rFonts w:ascii="Arial" w:cs="Arial" w:eastAsia="Arial" w:hAnsi="Arial"/>
          <w:sz w:val="13"/>
          <w:szCs w:val="13"/>
          <w:color w:val="auto"/>
        </w:rPr>
      </w:pPr>
      <w:r>
        <w:rPr>
          <w:rFonts w:ascii="Arial" w:cs="Arial" w:eastAsia="Arial" w:hAnsi="Arial"/>
          <w:sz w:val="13"/>
          <w:szCs w:val="13"/>
          <w:color w:val="auto"/>
        </w:rPr>
        <w:t>The acceptance of Rent by Master Lessor from Sublessee or any one else liable under the Master Lease shall not be deemed a waiver by Master Lessor of any provisions of the Master Lease.</w:t>
      </w:r>
    </w:p>
    <w:p>
      <w:pPr>
        <w:spacing w:after="0" w:line="1" w:lineRule="exact"/>
        <w:rPr>
          <w:rFonts w:ascii="Arial" w:cs="Arial" w:eastAsia="Arial" w:hAnsi="Arial"/>
          <w:sz w:val="13"/>
          <w:szCs w:val="13"/>
          <w:color w:val="auto"/>
        </w:rPr>
      </w:pPr>
    </w:p>
    <w:p>
      <w:pPr>
        <w:ind w:left="1060" w:hanging="303"/>
        <w:spacing w:after="0"/>
        <w:tabs>
          <w:tab w:leader="none" w:pos="1060" w:val="left"/>
        </w:tabs>
        <w:numPr>
          <w:ilvl w:val="0"/>
          <w:numId w:val="71"/>
        </w:numPr>
        <w:rPr>
          <w:rFonts w:ascii="Arial" w:cs="Arial" w:eastAsia="Arial" w:hAnsi="Arial"/>
          <w:sz w:val="13"/>
          <w:szCs w:val="13"/>
          <w:color w:val="auto"/>
        </w:rPr>
      </w:pPr>
      <w:r>
        <w:rPr>
          <w:rFonts w:ascii="Arial" w:cs="Arial" w:eastAsia="Arial" w:hAnsi="Arial"/>
          <w:sz w:val="13"/>
          <w:szCs w:val="13"/>
          <w:color w:val="auto"/>
        </w:rPr>
        <w:t>The consent to this Sublease shall not constitute a consent to any subsequent subletting or assignment.</w:t>
      </w:r>
    </w:p>
    <w:p>
      <w:pPr>
        <w:spacing w:after="0" w:line="23" w:lineRule="exact"/>
        <w:rPr>
          <w:rFonts w:ascii="Arial" w:cs="Arial" w:eastAsia="Arial" w:hAnsi="Arial"/>
          <w:sz w:val="13"/>
          <w:szCs w:val="13"/>
          <w:color w:val="auto"/>
        </w:rPr>
      </w:pPr>
    </w:p>
    <w:p>
      <w:pPr>
        <w:ind w:right="140" w:firstLine="757"/>
        <w:spacing w:after="0" w:line="305" w:lineRule="auto"/>
        <w:tabs>
          <w:tab w:leader="none" w:pos="1049" w:val="left"/>
        </w:tabs>
        <w:numPr>
          <w:ilvl w:val="0"/>
          <w:numId w:val="71"/>
        </w:numPr>
        <w:rPr>
          <w:rFonts w:ascii="Arial" w:cs="Arial" w:eastAsia="Arial" w:hAnsi="Arial"/>
          <w:sz w:val="13"/>
          <w:szCs w:val="13"/>
          <w:color w:val="auto"/>
        </w:rPr>
      </w:pPr>
      <w:r>
        <w:rPr>
          <w:rFonts w:ascii="Arial" w:cs="Arial" w:eastAsia="Arial" w:hAnsi="Arial"/>
          <w:sz w:val="13"/>
          <w:szCs w:val="13"/>
          <w:color w:val="auto"/>
        </w:rPr>
        <w:t>In the event of any Default of Sublessor under the Master Lease, Master Lessor may proceed directly against Sublessor, any guarantors or any one else liable under the Master Lease or this Sublease without first exhausting Master Lessor’s remedies against any other person or entity liable thereon to Master Lessor.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110490</wp:posOffset>
            </wp:positionV>
            <wp:extent cx="505460" cy="40322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05460" cy="40322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247650</wp:posOffset>
            </wp:positionV>
            <wp:extent cx="539750" cy="3943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3975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00" w:type="dxa"/>
            <w:vAlign w:val="bottom"/>
          </w:tcPr>
          <w:p>
            <w:pPr>
              <w:ind w:left="20"/>
              <w:spacing w:after="0"/>
              <w:rPr>
                <w:sz w:val="20"/>
                <w:szCs w:val="20"/>
                <w:color w:val="auto"/>
              </w:rPr>
            </w:pPr>
            <w:r>
              <w:rPr>
                <w:rFonts w:ascii="Arial" w:cs="Arial" w:eastAsia="Arial" w:hAnsi="Arial"/>
                <w:sz w:val="18"/>
                <w:szCs w:val="18"/>
                <w:color w:val="auto"/>
              </w:rPr>
              <w:t>INITIALS</w:t>
            </w:r>
          </w:p>
        </w:tc>
        <w:tc>
          <w:tcPr>
            <w:tcW w:w="3160" w:type="dxa"/>
            <w:vAlign w:val="bottom"/>
          </w:tcPr>
          <w:p>
            <w:pPr>
              <w:spacing w:after="0"/>
              <w:rPr>
                <w:sz w:val="18"/>
                <w:szCs w:val="18"/>
                <w:color w:val="auto"/>
              </w:rPr>
            </w:pPr>
          </w:p>
        </w:tc>
        <w:tc>
          <w:tcPr>
            <w:tcW w:w="3780" w:type="dxa"/>
            <w:vAlign w:val="bottom"/>
          </w:tcPr>
          <w:p>
            <w:pPr>
              <w:spacing w:after="0"/>
              <w:rPr>
                <w:sz w:val="18"/>
                <w:szCs w:val="18"/>
                <w:color w:val="auto"/>
              </w:rPr>
            </w:pPr>
          </w:p>
        </w:tc>
      </w:tr>
      <w:tr>
        <w:trPr>
          <w:trHeight w:val="216"/>
        </w:trPr>
        <w:tc>
          <w:tcPr>
            <w:tcW w:w="4300" w:type="dxa"/>
            <w:vAlign w:val="bottom"/>
          </w:tcPr>
          <w:p>
            <w:pPr>
              <w:ind w:left="20"/>
              <w:spacing w:after="0"/>
              <w:rPr>
                <w:sz w:val="20"/>
                <w:szCs w:val="20"/>
                <w:color w:val="auto"/>
              </w:rPr>
            </w:pPr>
            <w:r>
              <w:rPr>
                <w:rFonts w:ascii="Arial" w:cs="Arial" w:eastAsia="Arial" w:hAnsi="Arial"/>
                <w:sz w:val="18"/>
                <w:szCs w:val="18"/>
                <w:color w:val="auto"/>
              </w:rPr>
              <w:t>© 2019 AIR CRE. All Rights Reserved.</w:t>
            </w:r>
          </w:p>
        </w:tc>
        <w:tc>
          <w:tcPr>
            <w:tcW w:w="3160" w:type="dxa"/>
            <w:vAlign w:val="bottom"/>
          </w:tcPr>
          <w:p>
            <w:pPr>
              <w:ind w:left="1200"/>
              <w:spacing w:after="0"/>
              <w:rPr>
                <w:sz w:val="20"/>
                <w:szCs w:val="20"/>
                <w:color w:val="auto"/>
              </w:rPr>
            </w:pPr>
            <w:r>
              <w:rPr>
                <w:rFonts w:ascii="Arial" w:cs="Arial" w:eastAsia="Arial" w:hAnsi="Arial"/>
                <w:sz w:val="18"/>
                <w:szCs w:val="18"/>
                <w:color w:val="auto"/>
              </w:rPr>
              <w:t>INITIALS</w:t>
            </w:r>
          </w:p>
        </w:tc>
        <w:tc>
          <w:tcPr>
            <w:tcW w:w="3780" w:type="dxa"/>
            <w:vAlign w:val="bottom"/>
          </w:tcPr>
          <w:p>
            <w:pPr>
              <w:jc w:val="right"/>
              <w:spacing w:after="0"/>
              <w:rPr>
                <w:sz w:val="20"/>
                <w:szCs w:val="20"/>
                <w:color w:val="auto"/>
              </w:rPr>
            </w:pPr>
            <w:r>
              <w:rPr>
                <w:rFonts w:ascii="Arial" w:cs="Arial" w:eastAsia="Arial" w:hAnsi="Arial"/>
                <w:sz w:val="18"/>
                <w:szCs w:val="18"/>
                <w:color w:val="auto"/>
              </w:rPr>
              <w:t>Last Edited: 4/4/2022 10:50 AM</w:t>
            </w:r>
          </w:p>
        </w:tc>
      </w:tr>
      <w:tr>
        <w:trPr>
          <w:trHeight w:val="239"/>
        </w:trPr>
        <w:tc>
          <w:tcPr>
            <w:tcW w:w="4300" w:type="dxa"/>
            <w:vAlign w:val="bottom"/>
          </w:tcPr>
          <w:p>
            <w:pPr>
              <w:ind w:left="20"/>
              <w:spacing w:after="0"/>
              <w:rPr>
                <w:sz w:val="20"/>
                <w:szCs w:val="20"/>
                <w:color w:val="auto"/>
              </w:rPr>
            </w:pPr>
            <w:r>
              <w:rPr>
                <w:rFonts w:ascii="Arial" w:cs="Arial" w:eastAsia="Arial" w:hAnsi="Arial"/>
                <w:sz w:val="18"/>
                <w:szCs w:val="18"/>
                <w:color w:val="auto"/>
              </w:rPr>
              <w:t>SBMT-8.03, Revised 10-22-2020</w:t>
            </w:r>
          </w:p>
        </w:tc>
        <w:tc>
          <w:tcPr>
            <w:tcW w:w="3160" w:type="dxa"/>
            <w:vAlign w:val="bottom"/>
          </w:tcPr>
          <w:p>
            <w:pPr>
              <w:spacing w:after="0"/>
              <w:rPr>
                <w:sz w:val="20"/>
                <w:szCs w:val="20"/>
                <w:color w:val="auto"/>
              </w:rPr>
            </w:pPr>
          </w:p>
        </w:tc>
        <w:tc>
          <w:tcPr>
            <w:tcW w:w="3780" w:type="dxa"/>
            <w:vAlign w:val="bottom"/>
          </w:tcPr>
          <w:p>
            <w:pPr>
              <w:jc w:val="right"/>
              <w:spacing w:after="0"/>
              <w:rPr>
                <w:sz w:val="20"/>
                <w:szCs w:val="20"/>
                <w:color w:val="auto"/>
              </w:rPr>
            </w:pPr>
            <w:r>
              <w:rPr>
                <w:rFonts w:ascii="Arial" w:cs="Arial" w:eastAsia="Arial" w:hAnsi="Arial"/>
                <w:sz w:val="18"/>
                <w:szCs w:val="18"/>
                <w:color w:val="auto"/>
              </w:rPr>
              <w:t>Page 4 of 7</w:t>
            </w:r>
          </w:p>
        </w:tc>
      </w:tr>
      <w:tr>
        <w:trPr>
          <w:trHeight w:val="151"/>
        </w:trPr>
        <w:tc>
          <w:tcPr>
            <w:tcW w:w="4300" w:type="dxa"/>
            <w:vAlign w:val="bottom"/>
            <w:tcBorders>
              <w:bottom w:val="single" w:sz="8" w:color="9A9A9A"/>
            </w:tcBorders>
          </w:tcPr>
          <w:p>
            <w:pPr>
              <w:spacing w:after="0"/>
              <w:rPr>
                <w:sz w:val="13"/>
                <w:szCs w:val="13"/>
                <w:color w:val="auto"/>
              </w:rPr>
            </w:pPr>
          </w:p>
        </w:tc>
        <w:tc>
          <w:tcPr>
            <w:tcW w:w="3160" w:type="dxa"/>
            <w:vAlign w:val="bottom"/>
            <w:tcBorders>
              <w:bottom w:val="single" w:sz="8" w:color="9A9A9A"/>
            </w:tcBorders>
          </w:tcPr>
          <w:p>
            <w:pPr>
              <w:spacing w:after="0"/>
              <w:rPr>
                <w:sz w:val="13"/>
                <w:szCs w:val="13"/>
                <w:color w:val="auto"/>
              </w:rPr>
            </w:pPr>
          </w:p>
        </w:tc>
        <w:tc>
          <w:tcPr>
            <w:tcW w:w="378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08" w:name="page109"/>
    <w:bookmarkEnd w:id="108"/>
    <w:p>
      <w:pPr>
        <w:ind w:right="520" w:firstLine="757"/>
        <w:spacing w:after="0" w:line="280" w:lineRule="auto"/>
        <w:tabs>
          <w:tab w:leader="none" w:pos="1049" w:val="left"/>
        </w:tabs>
        <w:numPr>
          <w:ilvl w:val="1"/>
          <w:numId w:val="72"/>
        </w:numPr>
        <w:rPr>
          <w:rFonts w:ascii="Arial" w:cs="Arial" w:eastAsia="Arial" w:hAnsi="Arial"/>
          <w:sz w:val="13"/>
          <w:szCs w:val="13"/>
          <w:color w:val="auto"/>
        </w:rPr>
      </w:pPr>
      <w:r>
        <w:rPr>
          <w:rFonts w:ascii="Arial" w:cs="Arial" w:eastAsia="Arial" w:hAnsi="Arial"/>
          <w:sz w:val="13"/>
          <w:szCs w:val="13"/>
          <w:color w:val="auto"/>
        </w:rPr>
        <w:t>Master Lessor may consent to subsequent sublettings and assignments of the Master Lease or this Sublease or any amendments or modifications thereto without notifying Sublessor or any one else liable under the Master Lease and without obtaining their consent and such action shall not relieve such persons from liability.</w:t>
      </w:r>
    </w:p>
    <w:p>
      <w:pPr>
        <w:ind w:right="120" w:firstLine="757"/>
        <w:spacing w:after="0" w:line="270" w:lineRule="auto"/>
        <w:tabs>
          <w:tab w:leader="none" w:pos="1049" w:val="left"/>
        </w:tabs>
        <w:numPr>
          <w:ilvl w:val="1"/>
          <w:numId w:val="72"/>
        </w:numPr>
        <w:rPr>
          <w:rFonts w:ascii="Arial" w:cs="Arial" w:eastAsia="Arial" w:hAnsi="Arial"/>
          <w:sz w:val="13"/>
          <w:szCs w:val="13"/>
          <w:color w:val="auto"/>
        </w:rPr>
      </w:pPr>
      <w:r>
        <w:rPr>
          <w:rFonts w:ascii="Arial" w:cs="Arial" w:eastAsia="Arial" w:hAnsi="Arial"/>
          <w:sz w:val="13"/>
          <w:szCs w:val="13"/>
          <w:color w:val="auto"/>
        </w:rPr>
        <w:t>In the event that Sublessor shall Default in its obligations under the Master Lease, then Master Lessor, at its option and without being obligated to do so, may require Sublessee to attorn to Master Lessor in which event Master Lessor shall undertake the obligations of Sublessor under this Sublease from the time of the exercise of said option to termination of this Sublease but Master Lessor shall not be liable for any prepaid Rent nor any Security Deposit paid by Sublessee, nor shall Master Lessor be liable for any other Defaults of the Sublessor under the Sublease.</w:t>
      </w:r>
    </w:p>
    <w:p>
      <w:pPr>
        <w:spacing w:after="0" w:line="2" w:lineRule="exact"/>
        <w:rPr>
          <w:rFonts w:ascii="Arial" w:cs="Arial" w:eastAsia="Arial" w:hAnsi="Arial"/>
          <w:sz w:val="13"/>
          <w:szCs w:val="13"/>
          <w:color w:val="auto"/>
        </w:rPr>
      </w:pPr>
    </w:p>
    <w:p>
      <w:pPr>
        <w:ind w:left="400"/>
        <w:spacing w:after="0"/>
        <w:rPr>
          <w:rFonts w:ascii="Arial" w:cs="Arial" w:eastAsia="Arial" w:hAnsi="Arial"/>
          <w:sz w:val="13"/>
          <w:szCs w:val="13"/>
          <w:color w:val="auto"/>
        </w:rPr>
      </w:pPr>
      <w:r>
        <w:rPr>
          <w:rFonts w:ascii="Arial" w:cs="Arial" w:eastAsia="Arial" w:hAnsi="Arial"/>
          <w:sz w:val="13"/>
          <w:szCs w:val="13"/>
          <w:color w:val="auto"/>
        </w:rPr>
        <w:t>8.4  The signatures of the Master Lessor and any Guarantors of Sublessor at the end of this document shall constitute their consent to the terms of this Sublease.</w:t>
      </w:r>
    </w:p>
    <w:p>
      <w:pPr>
        <w:spacing w:after="0" w:line="12" w:lineRule="exact"/>
        <w:rPr>
          <w:rFonts w:ascii="Arial" w:cs="Arial" w:eastAsia="Arial" w:hAnsi="Arial"/>
          <w:sz w:val="13"/>
          <w:szCs w:val="13"/>
          <w:color w:val="auto"/>
        </w:rPr>
      </w:pPr>
    </w:p>
    <w:p>
      <w:pPr>
        <w:ind w:right="200" w:firstLine="395"/>
        <w:spacing w:after="0" w:line="270" w:lineRule="auto"/>
        <w:rPr>
          <w:rFonts w:ascii="Arial" w:cs="Arial" w:eastAsia="Arial" w:hAnsi="Arial"/>
          <w:sz w:val="13"/>
          <w:szCs w:val="13"/>
          <w:color w:val="auto"/>
        </w:rPr>
      </w:pPr>
      <w:r>
        <w:rPr>
          <w:rFonts w:ascii="Arial" w:cs="Arial" w:eastAsia="Arial" w:hAnsi="Arial"/>
          <w:sz w:val="13"/>
          <w:szCs w:val="13"/>
          <w:color w:val="auto"/>
        </w:rPr>
        <w:t>8.5 Master Lessor acknowledges that, to the best of Master Lessor’s knowledge, no Default presently exists under the Master Lease of obligations to be performed by Sublessor and that the Master Lease is in full force and effect.</w:t>
      </w:r>
    </w:p>
    <w:p>
      <w:pPr>
        <w:spacing w:after="0" w:line="1" w:lineRule="exact"/>
        <w:rPr>
          <w:rFonts w:ascii="Arial" w:cs="Arial" w:eastAsia="Arial" w:hAnsi="Arial"/>
          <w:sz w:val="13"/>
          <w:szCs w:val="13"/>
          <w:color w:val="auto"/>
        </w:rPr>
      </w:pPr>
    </w:p>
    <w:p>
      <w:pPr>
        <w:ind w:right="220" w:firstLine="395"/>
        <w:spacing w:after="0" w:line="282" w:lineRule="auto"/>
        <w:rPr>
          <w:rFonts w:ascii="Arial" w:cs="Arial" w:eastAsia="Arial" w:hAnsi="Arial"/>
          <w:sz w:val="13"/>
          <w:szCs w:val="13"/>
          <w:color w:val="auto"/>
        </w:rPr>
      </w:pPr>
      <w:r>
        <w:rPr>
          <w:rFonts w:ascii="Arial" w:cs="Arial" w:eastAsia="Arial" w:hAnsi="Arial"/>
          <w:sz w:val="13"/>
          <w:szCs w:val="13"/>
          <w:color w:val="auto"/>
        </w:rPr>
        <w:t>8.6 In the event that Sublessor Defaults under its obligations to be performed under the Master Lease by Sublessor, Master Lessor agrees to deliver to Sublessee a copy of any such notice of default. Sublessee shall have the right to cure any Default of Sublessor described in any notice of default if Sublessee does so within the same number of days set forth in the notice of default given to Sublessor. If such Default is cured by Sublessee then Sublessee shall have the right of reimbursement and offset from and against Sublessor.</w:t>
      </w:r>
    </w:p>
    <w:p>
      <w:pPr>
        <w:spacing w:after="0" w:line="228" w:lineRule="exact"/>
        <w:rPr>
          <w:rFonts w:ascii="Arial" w:cs="Arial" w:eastAsia="Arial" w:hAnsi="Arial"/>
          <w:sz w:val="13"/>
          <w:szCs w:val="13"/>
          <w:color w:val="auto"/>
        </w:rPr>
      </w:pPr>
    </w:p>
    <w:p>
      <w:pPr>
        <w:jc w:val="both"/>
        <w:ind w:firstLine="8"/>
        <w:spacing w:after="0" w:line="277" w:lineRule="auto"/>
        <w:tabs>
          <w:tab w:leader="none" w:pos="313" w:val="left"/>
        </w:tabs>
        <w:numPr>
          <w:ilvl w:val="0"/>
          <w:numId w:val="7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Representations and Indemnities of Broker Relationships. </w:t>
      </w:r>
      <w:r>
        <w:rPr>
          <w:rFonts w:ascii="Arial" w:cs="Arial" w:eastAsia="Arial" w:hAnsi="Arial"/>
          <w:sz w:val="13"/>
          <w:szCs w:val="13"/>
          <w:color w:val="auto"/>
        </w:rPr>
        <w:t>The Parties each represent and warrant to the other that it has had no dealings with any person, firm, broker, agent or</w:t>
      </w:r>
      <w:r>
        <w:rPr>
          <w:rFonts w:ascii="Arial" w:cs="Arial" w:eastAsia="Arial" w:hAnsi="Arial"/>
          <w:sz w:val="13"/>
          <w:szCs w:val="13"/>
          <w:b w:val="1"/>
          <w:bCs w:val="1"/>
          <w:color w:val="auto"/>
        </w:rPr>
        <w:t xml:space="preserve"> </w:t>
      </w:r>
      <w:r>
        <w:rPr>
          <w:rFonts w:ascii="Arial" w:cs="Arial" w:eastAsia="Arial" w:hAnsi="Arial"/>
          <w:sz w:val="13"/>
          <w:szCs w:val="13"/>
          <w:color w:val="auto"/>
        </w:rPr>
        <w:t>finder (other than the Brokers and Agents, if any) in connection with this Sublease, and that no one other than said named Brokers and Agents is entitled to any commission or finder’s fee in connection herewith. Sublessee and Sublessor do each hereby agree to indemnify, protect, defend and hold the other harmless from and against liability for compensation or charges which may be claimed by any such unnamed broker, finder or other similar party by reason of any dealings or actions of the indemnifying Party, including any costs, expenses, attorneys’ fees reasonably incurred with respect thereto.</w:t>
      </w:r>
    </w:p>
    <w:p>
      <w:pPr>
        <w:spacing w:after="0" w:line="28" w:lineRule="exact"/>
        <w:rPr>
          <w:sz w:val="20"/>
          <w:szCs w:val="20"/>
          <w:color w:val="auto"/>
        </w:rPr>
      </w:pPr>
    </w:p>
    <w:p>
      <w:pPr>
        <w:ind w:right="20"/>
        <w:spacing w:after="0" w:line="275" w:lineRule="auto"/>
        <w:rPr>
          <w:sz w:val="20"/>
          <w:szCs w:val="20"/>
          <w:color w:val="auto"/>
        </w:rPr>
      </w:pPr>
      <w:r>
        <w:rPr>
          <w:rFonts w:ascii="Calibri" w:cs="Calibri" w:eastAsia="Calibri" w:hAnsi="Calibri"/>
          <w:sz w:val="13"/>
          <w:szCs w:val="13"/>
          <w:b w:val="1"/>
          <w:bCs w:val="1"/>
          <w:color w:val="auto"/>
        </w:rPr>
        <w:t>11</w:t>
      </w:r>
      <w:r>
        <w:rPr>
          <w:rFonts w:ascii="Calibri" w:cs="Calibri" w:eastAsia="Calibri" w:hAnsi="Calibri"/>
          <w:sz w:val="13"/>
          <w:szCs w:val="13"/>
          <w:color w:val="auto"/>
        </w:rPr>
        <w:t>.</w:t>
      </w:r>
      <w:r>
        <w:rPr>
          <w:rFonts w:ascii="Calibri" w:cs="Calibri" w:eastAsia="Calibri" w:hAnsi="Calibri"/>
          <w:sz w:val="13"/>
          <w:szCs w:val="13"/>
          <w:b w:val="1"/>
          <w:bCs w:val="1"/>
          <w:color w:val="auto"/>
        </w:rPr>
        <w:t xml:space="preserve"> </w:t>
      </w:r>
      <w:r>
        <w:rPr>
          <w:rFonts w:ascii="Arial" w:cs="Arial" w:eastAsia="Arial" w:hAnsi="Arial"/>
          <w:sz w:val="13"/>
          <w:szCs w:val="13"/>
          <w:b w:val="1"/>
          <w:bCs w:val="1"/>
          <w:color w:val="auto"/>
        </w:rPr>
        <w:t>Attorney’s fees.</w:t>
      </w:r>
      <w:r>
        <w:rPr>
          <w:rFonts w:ascii="Calibri" w:cs="Calibri" w:eastAsia="Calibri" w:hAnsi="Calibri"/>
          <w:sz w:val="13"/>
          <w:szCs w:val="13"/>
          <w:b w:val="1"/>
          <w:bCs w:val="1"/>
          <w:color w:val="auto"/>
        </w:rPr>
        <w:t xml:space="preserve"> </w:t>
      </w:r>
      <w:r>
        <w:rPr>
          <w:rFonts w:ascii="Arial" w:cs="Arial" w:eastAsia="Arial" w:hAnsi="Arial"/>
          <w:sz w:val="13"/>
          <w:szCs w:val="13"/>
          <w:color w:val="auto"/>
        </w:rPr>
        <w:t>If any Party or Broker brings an action or proceeding involving the Premises whether founded in tort, contract or equity, or to declare rights hereunder, the Prevailing</w:t>
      </w:r>
      <w:r>
        <w:rPr>
          <w:rFonts w:ascii="Calibri" w:cs="Calibri" w:eastAsia="Calibri" w:hAnsi="Calibri"/>
          <w:sz w:val="13"/>
          <w:szCs w:val="13"/>
          <w:b w:val="1"/>
          <w:bCs w:val="1"/>
          <w:color w:val="auto"/>
        </w:rPr>
        <w:t xml:space="preserve"> </w:t>
      </w:r>
      <w:r>
        <w:rPr>
          <w:rFonts w:ascii="Arial" w:cs="Arial" w:eastAsia="Arial" w:hAnsi="Arial"/>
          <w:sz w:val="13"/>
          <w:szCs w:val="13"/>
          <w:color w:val="auto"/>
        </w:rPr>
        <w:t>Party (as hereafter defined) in any such proceeding, action, or appeal thereon, shall be entitled to reasonable attorneys’ fees. Such fees may be awarded in the same suit or recovered in a separate suit, whether or not such action or proceeding is pursued to decision or judgment. The term, “</w:t>
      </w:r>
      <w:r>
        <w:rPr>
          <w:rFonts w:ascii="Arial" w:cs="Arial" w:eastAsia="Arial" w:hAnsi="Arial"/>
          <w:sz w:val="13"/>
          <w:szCs w:val="13"/>
          <w:b w:val="1"/>
          <w:bCs w:val="1"/>
          <w:color w:val="auto"/>
        </w:rPr>
        <w:t>Prevailing Party</w:t>
      </w:r>
      <w:r>
        <w:rPr>
          <w:rFonts w:ascii="Arial" w:cs="Arial" w:eastAsia="Arial" w:hAnsi="Arial"/>
          <w:sz w:val="13"/>
          <w:szCs w:val="13"/>
          <w:color w:val="auto"/>
        </w:rPr>
        <w:t>” shall include, without limitation, a Party or Broker who substantially obtains or defeats the relief sought, as the case may be, whether by compromise, settlement, judgment, or the abandonment by the other Party or Broker of its claim or defense. The attorneys’ fees award shall not be computed in accordance with any court fee schedule, but shall be such as to fully reimburse all attorneys’ fees reasonably incurred. In addition, Sublessor shall be entitled to attorneys’ fees, costs and expenses incurred in the preparation and service of notices of Default and consultations in connection therewith, whether or not a legal action is subsequently commenced in connection with such Default or resulting Breach ($200 is a reasonable minimum per occurrence for such services and consultation).</w:t>
      </w:r>
    </w:p>
    <w:p>
      <w:pPr>
        <w:spacing w:after="0" w:line="32" w:lineRule="exact"/>
        <w:rPr>
          <w:sz w:val="20"/>
          <w:szCs w:val="20"/>
          <w:color w:val="auto"/>
        </w:rPr>
      </w:pPr>
    </w:p>
    <w:p>
      <w:pPr>
        <w:ind w:right="60"/>
        <w:spacing w:after="0" w:line="276" w:lineRule="auto"/>
        <w:rPr>
          <w:sz w:val="20"/>
          <w:szCs w:val="20"/>
          <w:color w:val="auto"/>
        </w:rPr>
      </w:pPr>
      <w:r>
        <w:rPr>
          <w:rFonts w:ascii="Calibri" w:cs="Calibri" w:eastAsia="Calibri" w:hAnsi="Calibri"/>
          <w:sz w:val="13"/>
          <w:szCs w:val="13"/>
          <w:b w:val="1"/>
          <w:bCs w:val="1"/>
          <w:color w:val="auto"/>
        </w:rPr>
        <w:t>12</w:t>
      </w:r>
      <w:r>
        <w:rPr>
          <w:rFonts w:ascii="Calibri" w:cs="Calibri" w:eastAsia="Calibri" w:hAnsi="Calibri"/>
          <w:sz w:val="13"/>
          <w:szCs w:val="13"/>
          <w:color w:val="auto"/>
        </w:rPr>
        <w:t>.</w:t>
      </w:r>
      <w:r>
        <w:rPr>
          <w:rFonts w:ascii="Calibri" w:cs="Calibri" w:eastAsia="Calibri" w:hAnsi="Calibri"/>
          <w:sz w:val="13"/>
          <w:szCs w:val="13"/>
          <w:b w:val="1"/>
          <w:bCs w:val="1"/>
          <w:color w:val="auto"/>
        </w:rPr>
        <w:t xml:space="preserve"> </w:t>
      </w:r>
      <w:r>
        <w:rPr>
          <w:rFonts w:ascii="Arial" w:cs="Arial" w:eastAsia="Arial" w:hAnsi="Arial"/>
          <w:sz w:val="13"/>
          <w:szCs w:val="13"/>
          <w:b w:val="1"/>
          <w:bCs w:val="1"/>
          <w:color w:val="auto"/>
        </w:rPr>
        <w:t>No Prior or Other Agreements; Broker Disclaimer.</w:t>
      </w:r>
      <w:r>
        <w:rPr>
          <w:rFonts w:ascii="Calibri" w:cs="Calibri" w:eastAsia="Calibri" w:hAnsi="Calibri"/>
          <w:sz w:val="13"/>
          <w:szCs w:val="13"/>
          <w:b w:val="1"/>
          <w:bCs w:val="1"/>
          <w:color w:val="auto"/>
        </w:rPr>
        <w:t xml:space="preserve"> </w:t>
      </w:r>
      <w:r>
        <w:rPr>
          <w:rFonts w:ascii="Arial" w:cs="Arial" w:eastAsia="Arial" w:hAnsi="Arial"/>
          <w:sz w:val="13"/>
          <w:szCs w:val="13"/>
          <w:color w:val="auto"/>
        </w:rPr>
        <w:t>This Sublease contains all agreements between the Parties with respect to any matter mentioned herein, and no other prior or</w:t>
      </w:r>
      <w:r>
        <w:rPr>
          <w:rFonts w:ascii="Calibri" w:cs="Calibri" w:eastAsia="Calibri" w:hAnsi="Calibri"/>
          <w:sz w:val="13"/>
          <w:szCs w:val="13"/>
          <w:b w:val="1"/>
          <w:bCs w:val="1"/>
          <w:color w:val="auto"/>
        </w:rPr>
        <w:t xml:space="preserve"> </w:t>
      </w:r>
      <w:r>
        <w:rPr>
          <w:rFonts w:ascii="Arial" w:cs="Arial" w:eastAsia="Arial" w:hAnsi="Arial"/>
          <w:sz w:val="13"/>
          <w:szCs w:val="13"/>
          <w:color w:val="auto"/>
        </w:rPr>
        <w:t>contemporaneous agreement or understanding shall be effective. Sublessor and Sublessee each represents and warrants to the Brokers that it has made, and is relying solely upon, its own investigation as to the nature, quality, character and financial responsibility of the other Party to this Sublease and as to the use, nature, quality and character of the Premises. Brokers have no responsibility with respect thereto or with respect to any default or breach hereof by either Party. The liability (including court costs and attorneys’ fees), of any Broker with respect to negotiation, execution, delivery or performance by either Sublessor or Sublessee under this Sublease or any amendment or modification hereto shall be limited to an amount up to the fee received by such Broker pursuant to this Sublease; provided, however, that the foregoing limitation on each Broker’s liability shall not be applicable to any gross negligence or willful misconduct of such Broker. Signatures to this Sublease accomplished by means of electronic signature or similar technology shall be legal and binding.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174625</wp:posOffset>
            </wp:positionV>
            <wp:extent cx="505460" cy="40322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05460" cy="40322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311785</wp:posOffset>
            </wp:positionV>
            <wp:extent cx="539750" cy="3943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3975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00" w:type="dxa"/>
            <w:vAlign w:val="bottom"/>
          </w:tcPr>
          <w:p>
            <w:pPr>
              <w:ind w:left="20"/>
              <w:spacing w:after="0"/>
              <w:rPr>
                <w:sz w:val="20"/>
                <w:szCs w:val="20"/>
                <w:color w:val="auto"/>
              </w:rPr>
            </w:pPr>
            <w:r>
              <w:rPr>
                <w:rFonts w:ascii="Arial" w:cs="Arial" w:eastAsia="Arial" w:hAnsi="Arial"/>
                <w:sz w:val="18"/>
                <w:szCs w:val="18"/>
                <w:color w:val="auto"/>
              </w:rPr>
              <w:t>INITIALS</w:t>
            </w:r>
          </w:p>
        </w:tc>
        <w:tc>
          <w:tcPr>
            <w:tcW w:w="3160" w:type="dxa"/>
            <w:vAlign w:val="bottom"/>
          </w:tcPr>
          <w:p>
            <w:pPr>
              <w:spacing w:after="0"/>
              <w:rPr>
                <w:sz w:val="18"/>
                <w:szCs w:val="18"/>
                <w:color w:val="auto"/>
              </w:rPr>
            </w:pPr>
          </w:p>
        </w:tc>
        <w:tc>
          <w:tcPr>
            <w:tcW w:w="3780" w:type="dxa"/>
            <w:vAlign w:val="bottom"/>
          </w:tcPr>
          <w:p>
            <w:pPr>
              <w:spacing w:after="0"/>
              <w:rPr>
                <w:sz w:val="18"/>
                <w:szCs w:val="18"/>
                <w:color w:val="auto"/>
              </w:rPr>
            </w:pPr>
          </w:p>
        </w:tc>
      </w:tr>
      <w:tr>
        <w:trPr>
          <w:trHeight w:val="216"/>
        </w:trPr>
        <w:tc>
          <w:tcPr>
            <w:tcW w:w="4300" w:type="dxa"/>
            <w:vAlign w:val="bottom"/>
          </w:tcPr>
          <w:p>
            <w:pPr>
              <w:ind w:left="20"/>
              <w:spacing w:after="0"/>
              <w:rPr>
                <w:sz w:val="20"/>
                <w:szCs w:val="20"/>
                <w:color w:val="auto"/>
              </w:rPr>
            </w:pPr>
            <w:r>
              <w:rPr>
                <w:rFonts w:ascii="Arial" w:cs="Arial" w:eastAsia="Arial" w:hAnsi="Arial"/>
                <w:sz w:val="18"/>
                <w:szCs w:val="18"/>
                <w:color w:val="auto"/>
              </w:rPr>
              <w:t>© 2019 AIR CRE. All Rights Reserved.</w:t>
            </w:r>
          </w:p>
        </w:tc>
        <w:tc>
          <w:tcPr>
            <w:tcW w:w="3160" w:type="dxa"/>
            <w:vAlign w:val="bottom"/>
          </w:tcPr>
          <w:p>
            <w:pPr>
              <w:ind w:left="1200"/>
              <w:spacing w:after="0"/>
              <w:rPr>
                <w:sz w:val="20"/>
                <w:szCs w:val="20"/>
                <w:color w:val="auto"/>
              </w:rPr>
            </w:pPr>
            <w:r>
              <w:rPr>
                <w:rFonts w:ascii="Arial" w:cs="Arial" w:eastAsia="Arial" w:hAnsi="Arial"/>
                <w:sz w:val="18"/>
                <w:szCs w:val="18"/>
                <w:color w:val="auto"/>
              </w:rPr>
              <w:t>INITIALS</w:t>
            </w:r>
          </w:p>
        </w:tc>
        <w:tc>
          <w:tcPr>
            <w:tcW w:w="3780" w:type="dxa"/>
            <w:vAlign w:val="bottom"/>
          </w:tcPr>
          <w:p>
            <w:pPr>
              <w:jc w:val="right"/>
              <w:spacing w:after="0"/>
              <w:rPr>
                <w:sz w:val="20"/>
                <w:szCs w:val="20"/>
                <w:color w:val="auto"/>
              </w:rPr>
            </w:pPr>
            <w:r>
              <w:rPr>
                <w:rFonts w:ascii="Arial" w:cs="Arial" w:eastAsia="Arial" w:hAnsi="Arial"/>
                <w:sz w:val="18"/>
                <w:szCs w:val="18"/>
                <w:color w:val="auto"/>
              </w:rPr>
              <w:t>Last Edited: 4/4/2022 10:50 AM</w:t>
            </w:r>
          </w:p>
        </w:tc>
      </w:tr>
      <w:tr>
        <w:trPr>
          <w:trHeight w:val="239"/>
        </w:trPr>
        <w:tc>
          <w:tcPr>
            <w:tcW w:w="4300" w:type="dxa"/>
            <w:vAlign w:val="bottom"/>
          </w:tcPr>
          <w:p>
            <w:pPr>
              <w:ind w:left="20"/>
              <w:spacing w:after="0"/>
              <w:rPr>
                <w:sz w:val="20"/>
                <w:szCs w:val="20"/>
                <w:color w:val="auto"/>
              </w:rPr>
            </w:pPr>
            <w:r>
              <w:rPr>
                <w:rFonts w:ascii="Arial" w:cs="Arial" w:eastAsia="Arial" w:hAnsi="Arial"/>
                <w:sz w:val="18"/>
                <w:szCs w:val="18"/>
                <w:color w:val="auto"/>
              </w:rPr>
              <w:t>SBMT-8.03, Revised 10-22-2020</w:t>
            </w:r>
          </w:p>
        </w:tc>
        <w:tc>
          <w:tcPr>
            <w:tcW w:w="3160" w:type="dxa"/>
            <w:vAlign w:val="bottom"/>
          </w:tcPr>
          <w:p>
            <w:pPr>
              <w:spacing w:after="0"/>
              <w:rPr>
                <w:sz w:val="20"/>
                <w:szCs w:val="20"/>
                <w:color w:val="auto"/>
              </w:rPr>
            </w:pPr>
          </w:p>
        </w:tc>
        <w:tc>
          <w:tcPr>
            <w:tcW w:w="3780" w:type="dxa"/>
            <w:vAlign w:val="bottom"/>
          </w:tcPr>
          <w:p>
            <w:pPr>
              <w:jc w:val="right"/>
              <w:spacing w:after="0"/>
              <w:rPr>
                <w:sz w:val="20"/>
                <w:szCs w:val="20"/>
                <w:color w:val="auto"/>
              </w:rPr>
            </w:pPr>
            <w:r>
              <w:rPr>
                <w:rFonts w:ascii="Arial" w:cs="Arial" w:eastAsia="Arial" w:hAnsi="Arial"/>
                <w:sz w:val="18"/>
                <w:szCs w:val="18"/>
                <w:color w:val="auto"/>
              </w:rPr>
              <w:t>Page 5 of 7</w:t>
            </w:r>
          </w:p>
        </w:tc>
      </w:tr>
      <w:tr>
        <w:trPr>
          <w:trHeight w:val="152"/>
        </w:trPr>
        <w:tc>
          <w:tcPr>
            <w:tcW w:w="4300" w:type="dxa"/>
            <w:vAlign w:val="bottom"/>
            <w:tcBorders>
              <w:bottom w:val="single" w:sz="8" w:color="9A9A9A"/>
            </w:tcBorders>
          </w:tcPr>
          <w:p>
            <w:pPr>
              <w:spacing w:after="0"/>
              <w:rPr>
                <w:sz w:val="13"/>
                <w:szCs w:val="13"/>
                <w:color w:val="auto"/>
              </w:rPr>
            </w:pPr>
          </w:p>
        </w:tc>
        <w:tc>
          <w:tcPr>
            <w:tcW w:w="3160" w:type="dxa"/>
            <w:vAlign w:val="bottom"/>
            <w:tcBorders>
              <w:bottom w:val="single" w:sz="8" w:color="9A9A9A"/>
            </w:tcBorders>
          </w:tcPr>
          <w:p>
            <w:pPr>
              <w:spacing w:after="0"/>
              <w:rPr>
                <w:sz w:val="13"/>
                <w:szCs w:val="13"/>
                <w:color w:val="auto"/>
              </w:rPr>
            </w:pPr>
          </w:p>
        </w:tc>
        <w:tc>
          <w:tcPr>
            <w:tcW w:w="378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09" w:name="page110"/>
    <w:bookmarkEnd w:id="109"/>
    <w:p>
      <w:pPr>
        <w:spacing w:after="0"/>
        <w:rPr>
          <w:sz w:val="20"/>
          <w:szCs w:val="20"/>
          <w:color w:val="auto"/>
        </w:rPr>
      </w:pPr>
      <w:r>
        <w:rPr>
          <w:rFonts w:ascii="Calibri" w:cs="Calibri" w:eastAsia="Calibri" w:hAnsi="Calibri"/>
          <w:sz w:val="13"/>
          <w:szCs w:val="13"/>
          <w:b w:val="1"/>
          <w:bCs w:val="1"/>
          <w:color w:val="auto"/>
        </w:rPr>
        <w:t>13</w:t>
      </w:r>
      <w:r>
        <w:rPr>
          <w:rFonts w:ascii="Calibri" w:cs="Calibri" w:eastAsia="Calibri" w:hAnsi="Calibri"/>
          <w:sz w:val="13"/>
          <w:szCs w:val="13"/>
          <w:color w:val="auto"/>
        </w:rPr>
        <w:t>.</w:t>
      </w:r>
      <w:r>
        <w:rPr>
          <w:rFonts w:ascii="Calibri" w:cs="Calibri" w:eastAsia="Calibri" w:hAnsi="Calibri"/>
          <w:sz w:val="13"/>
          <w:szCs w:val="13"/>
          <w:b w:val="1"/>
          <w:bCs w:val="1"/>
          <w:color w:val="auto"/>
        </w:rPr>
        <w:t xml:space="preserve"> </w:t>
      </w:r>
      <w:r>
        <w:rPr>
          <w:rFonts w:ascii="Arial" w:cs="Arial" w:eastAsia="Arial" w:hAnsi="Arial"/>
          <w:sz w:val="13"/>
          <w:szCs w:val="13"/>
          <w:b w:val="1"/>
          <w:bCs w:val="1"/>
          <w:color w:val="auto"/>
        </w:rPr>
        <w:t>Accessibility; Americans with Disabilities Act.</w:t>
      </w:r>
    </w:p>
    <w:p>
      <w:pPr>
        <w:spacing w:after="0" w:line="27" w:lineRule="exact"/>
        <w:rPr>
          <w:sz w:val="20"/>
          <w:szCs w:val="20"/>
          <w:color w:val="auto"/>
        </w:rPr>
      </w:pPr>
    </w:p>
    <w:p>
      <w:pPr>
        <w:ind w:left="1080" w:hanging="239"/>
        <w:spacing w:after="0"/>
        <w:tabs>
          <w:tab w:leader="none" w:pos="1080" w:val="left"/>
        </w:tabs>
        <w:numPr>
          <w:ilvl w:val="1"/>
          <w:numId w:val="74"/>
        </w:numPr>
        <w:rPr>
          <w:rFonts w:ascii="Calibri" w:cs="Calibri" w:eastAsia="Calibri" w:hAnsi="Calibri"/>
          <w:sz w:val="13"/>
          <w:szCs w:val="13"/>
          <w:color w:val="auto"/>
        </w:rPr>
      </w:pPr>
      <w:r>
        <w:rPr>
          <w:rFonts w:ascii="Arial" w:cs="Arial" w:eastAsia="Arial" w:hAnsi="Arial"/>
          <w:sz w:val="13"/>
          <w:szCs w:val="13"/>
          <w:color w:val="auto"/>
        </w:rPr>
        <w:t>The Premises:</w:t>
      </w:r>
    </w:p>
    <w:p>
      <w:pPr>
        <w:spacing w:after="0" w:line="75" w:lineRule="exact"/>
        <w:rPr>
          <w:rFonts w:ascii="Calibri" w:cs="Calibri" w:eastAsia="Calibri" w:hAnsi="Calibri"/>
          <w:sz w:val="13"/>
          <w:szCs w:val="13"/>
          <w:color w:val="auto"/>
        </w:rPr>
      </w:pPr>
    </w:p>
    <w:p>
      <w:pPr>
        <w:jc w:val="both"/>
        <w:ind w:firstLine="8"/>
        <w:spacing w:after="0" w:line="287" w:lineRule="auto"/>
        <w:tabs>
          <w:tab w:leader="none" w:pos="244" w:val="left"/>
        </w:tabs>
        <w:numPr>
          <w:ilvl w:val="0"/>
          <w:numId w:val="74"/>
        </w:numPr>
        <w:rPr>
          <w:rFonts w:ascii="MS PGothic" w:cs="MS PGothic" w:eastAsia="MS PGothic" w:hAnsi="MS PGothic"/>
          <w:sz w:val="13"/>
          <w:szCs w:val="13"/>
          <w:color w:val="auto"/>
        </w:rPr>
      </w:pPr>
      <w:r>
        <w:rPr>
          <w:rFonts w:ascii="Arial" w:cs="Arial" w:eastAsia="Arial" w:hAnsi="Arial"/>
          <w:sz w:val="13"/>
          <w:szCs w:val="13"/>
          <w:color w:val="auto"/>
        </w:rPr>
        <w:t>have not undergone an inspection by a Certified Access Specialist (CASp). Note: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w:t>
      </w:r>
    </w:p>
    <w:p>
      <w:pPr>
        <w:spacing w:after="0" w:line="11" w:lineRule="exact"/>
        <w:rPr>
          <w:sz w:val="20"/>
          <w:szCs w:val="20"/>
          <w:color w:val="auto"/>
        </w:rPr>
      </w:pPr>
    </w:p>
    <w:p>
      <w:pPr>
        <w:jc w:val="both"/>
        <w:ind w:firstLine="143"/>
        <w:spacing w:after="0" w:line="309" w:lineRule="auto"/>
        <w:rPr>
          <w:sz w:val="20"/>
          <w:szCs w:val="20"/>
          <w:color w:val="auto"/>
        </w:rPr>
      </w:pPr>
      <w:r>
        <w:rPr>
          <w:rFonts w:ascii="Arial" w:cs="Arial" w:eastAsia="Arial" w:hAnsi="Arial"/>
          <w:sz w:val="13"/>
          <w:szCs w:val="13"/>
          <w:color w:val="auto"/>
        </w:rPr>
        <w:t>have undergone an inspection by a Certified Access Specialist (CASp) and it was determined that the Premises met all applicable construction-related accessibility standards pursuant to California Civil Code §55.51 et seq. Lessee acknowledges that it received a copy of the inspection report at least 48 hours prior to executing this Lease and agrees to keep such report confidential.</w:t>
      </w:r>
    </w:p>
    <w:p>
      <w:pPr>
        <w:spacing w:after="0" w:line="182" w:lineRule="exact"/>
        <w:rPr>
          <w:sz w:val="20"/>
          <w:szCs w:val="20"/>
          <w:color w:val="auto"/>
        </w:rPr>
      </w:pPr>
    </w:p>
    <w:p>
      <w:pPr>
        <w:jc w:val="both"/>
        <w:ind w:firstLine="151"/>
        <w:spacing w:after="0" w:line="281" w:lineRule="auto"/>
        <w:rPr>
          <w:sz w:val="20"/>
          <w:szCs w:val="20"/>
          <w:color w:val="auto"/>
        </w:rPr>
      </w:pPr>
      <w:r>
        <w:rPr>
          <w:rFonts w:ascii="Arial" w:cs="Arial" w:eastAsia="Arial" w:hAnsi="Arial"/>
          <w:sz w:val="13"/>
          <w:szCs w:val="13"/>
          <w:color w:val="auto"/>
        </w:rPr>
        <w:t>have undergone an inspection by a Certified Access Specialist (CASp) and it was determined that the Premises did not meet all applicable construction-related accessibility standards pursuant to California Civil Code §55.51 et seq. Lessee acknowledges that it received a copy of the inspection report at least 48 hours prior to executing this Lease and agrees to keep such report confidential except as necessary to complete repairs and corrections of violations of construction related accessibility standards.</w:t>
      </w:r>
    </w:p>
    <w:p>
      <w:pPr>
        <w:spacing w:after="0" w:line="29" w:lineRule="exact"/>
        <w:rPr>
          <w:sz w:val="20"/>
          <w:szCs w:val="20"/>
          <w:color w:val="auto"/>
        </w:rPr>
      </w:pPr>
    </w:p>
    <w:p>
      <w:pPr>
        <w:spacing w:after="0" w:line="302" w:lineRule="auto"/>
        <w:rPr>
          <w:sz w:val="20"/>
          <w:szCs w:val="20"/>
          <w:color w:val="auto"/>
        </w:rPr>
      </w:pPr>
      <w:r>
        <w:rPr>
          <w:rFonts w:ascii="Arial" w:cs="Arial" w:eastAsia="Arial" w:hAnsi="Arial"/>
          <w:sz w:val="13"/>
          <w:szCs w:val="13"/>
          <w:color w:val="auto"/>
        </w:rPr>
        <w:t>In the event that the Premises have been issued an inspection report by a CASp the Lessor shall provide a copy of the disability access inspection certificate to Lessee within 7 days of the execution of this Lease.</w:t>
      </w:r>
    </w:p>
    <w:p>
      <w:pPr>
        <w:spacing w:after="0" w:line="15" w:lineRule="exact"/>
        <w:rPr>
          <w:sz w:val="20"/>
          <w:szCs w:val="20"/>
          <w:color w:val="auto"/>
        </w:rPr>
      </w:pPr>
    </w:p>
    <w:p>
      <w:pPr>
        <w:ind w:right="80" w:firstLine="841"/>
        <w:spacing w:after="0" w:line="286" w:lineRule="auto"/>
        <w:tabs>
          <w:tab w:leader="none" w:pos="1077" w:val="left"/>
        </w:tabs>
        <w:numPr>
          <w:ilvl w:val="0"/>
          <w:numId w:val="76"/>
        </w:numPr>
        <w:rPr>
          <w:rFonts w:ascii="Calibri" w:cs="Calibri" w:eastAsia="Calibri" w:hAnsi="Calibri"/>
          <w:sz w:val="13"/>
          <w:szCs w:val="13"/>
          <w:color w:val="auto"/>
        </w:rPr>
      </w:pPr>
      <w:r>
        <w:rPr>
          <w:rFonts w:ascii="Arial" w:cs="Arial" w:eastAsia="Arial" w:hAnsi="Arial"/>
          <w:sz w:val="13"/>
          <w:szCs w:val="13"/>
          <w:color w:val="auto"/>
        </w:rPr>
        <w:t>Since compliance with the Americans with Disabilities Act (ADA) or other state and local accessibility statutes are dependent upon Lessee’s specific use of the Premises, Lessor makes no warranty or representation as to whether or not the Premises comply with ADA or any similar legislation. In the event that Lessee’s use of the Premises requires modifications or additions to the Premises in order to be in compliance with ADA or other accessibility statutes, Lessee agrees to make any such necessary modifications and/or additions at Lessee’s expense.</w:t>
      </w:r>
    </w:p>
    <w:p>
      <w:pPr>
        <w:spacing w:after="0" w:line="195" w:lineRule="exact"/>
        <w:rPr>
          <w:sz w:val="20"/>
          <w:szCs w:val="20"/>
          <w:color w:val="auto"/>
        </w:rPr>
      </w:pPr>
    </w:p>
    <w:p>
      <w:pPr>
        <w:spacing w:after="0" w:line="314" w:lineRule="auto"/>
        <w:rPr>
          <w:sz w:val="20"/>
          <w:szCs w:val="20"/>
          <w:color w:val="auto"/>
        </w:rPr>
      </w:pPr>
      <w:r>
        <w:rPr>
          <w:rFonts w:ascii="Arial" w:cs="Arial" w:eastAsia="Arial" w:hAnsi="Arial"/>
          <w:sz w:val="13"/>
          <w:szCs w:val="13"/>
          <w:b w:val="1"/>
          <w:bCs w:val="1"/>
          <w:u w:val="single" w:color="auto"/>
          <w:color w:val="auto"/>
        </w:rPr>
        <w:t>ATTENTION</w:t>
      </w:r>
      <w:r>
        <w:rPr>
          <w:rFonts w:ascii="Arial" w:cs="Arial" w:eastAsia="Arial" w:hAnsi="Arial"/>
          <w:sz w:val="13"/>
          <w:szCs w:val="13"/>
          <w:b w:val="1"/>
          <w:bCs w:val="1"/>
          <w:color w:val="auto"/>
        </w:rPr>
        <w:t>: NO REPRESENTATION OR RECOMMENDATION IS MADE BY AIR CRE OR BY ANY REAL ESTATE BROKER AS TO THE LEGAL SUFFICIENCY, LEGAL EFFECT, OR TAX CONSEQUENCES OF THIS SUBLEASE OR THE TRANSACTION TO WHICH IT RELATES. THE PARTIES ARE URGED TO:</w:t>
      </w:r>
    </w:p>
    <w:p>
      <w:pPr>
        <w:ind w:left="260" w:hanging="252"/>
        <w:spacing w:after="0"/>
        <w:tabs>
          <w:tab w:leader="none" w:pos="260" w:val="left"/>
        </w:tabs>
        <w:numPr>
          <w:ilvl w:val="0"/>
          <w:numId w:val="77"/>
        </w:numPr>
        <w:rPr>
          <w:rFonts w:ascii="Calibri" w:cs="Calibri" w:eastAsia="Calibri" w:hAnsi="Calibri"/>
          <w:sz w:val="13"/>
          <w:szCs w:val="13"/>
          <w:b w:val="1"/>
          <w:bCs w:val="1"/>
          <w:color w:val="auto"/>
        </w:rPr>
      </w:pPr>
      <w:r>
        <w:rPr>
          <w:rFonts w:ascii="Arial" w:cs="Arial" w:eastAsia="Arial" w:hAnsi="Arial"/>
          <w:sz w:val="13"/>
          <w:szCs w:val="13"/>
          <w:b w:val="1"/>
          <w:bCs w:val="1"/>
          <w:color w:val="auto"/>
        </w:rPr>
        <w:t>SEEK ADVICE OF COUNSEL AS TO THE LEGAL AND TAX CONSEQUENCES OF THIS SUBLEASE.</w:t>
      </w:r>
    </w:p>
    <w:p>
      <w:pPr>
        <w:spacing w:after="0" w:line="27" w:lineRule="exact"/>
        <w:rPr>
          <w:rFonts w:ascii="Calibri" w:cs="Calibri" w:eastAsia="Calibri" w:hAnsi="Calibri"/>
          <w:sz w:val="13"/>
          <w:szCs w:val="13"/>
          <w:b w:val="1"/>
          <w:bCs w:val="1"/>
          <w:color w:val="auto"/>
        </w:rPr>
      </w:pPr>
    </w:p>
    <w:p>
      <w:pPr>
        <w:ind w:right="180" w:firstLine="8"/>
        <w:spacing w:after="0" w:line="293" w:lineRule="auto"/>
        <w:tabs>
          <w:tab w:leader="none" w:pos="244" w:val="left"/>
        </w:tabs>
        <w:numPr>
          <w:ilvl w:val="0"/>
          <w:numId w:val="77"/>
        </w:numPr>
        <w:rPr>
          <w:rFonts w:ascii="Calibri" w:cs="Calibri" w:eastAsia="Calibri" w:hAnsi="Calibri"/>
          <w:sz w:val="13"/>
          <w:szCs w:val="13"/>
          <w:b w:val="1"/>
          <w:bCs w:val="1"/>
          <w:color w:val="auto"/>
        </w:rPr>
      </w:pPr>
      <w:r>
        <w:rPr>
          <w:rFonts w:ascii="Arial" w:cs="Arial" w:eastAsia="Arial" w:hAnsi="Arial"/>
          <w:sz w:val="13"/>
          <w:szCs w:val="13"/>
          <w:b w:val="1"/>
          <w:bCs w:val="1"/>
          <w:color w:val="auto"/>
        </w:rPr>
        <w:t>RETAIN APPROPRIATE CONSULTANTS TO REVIEW AND INVESTIGATE THE CONDITION OF THE PREMISES. SAID INVESTIGATION SHOULD INCLUDE BUT NOT BE LIMITED TO: THE POSSIBLE PRESENCE OF HAZARDOUS SUBSTANCES, THE ZONING OF THE PROPERTY, THE STRUCTURAL INTEGRITY, THE CONDITION OF THE ROOF AND OPERATING SYSTEMS, AND THE SUITABILITY OF THE PREMISES FOR SUBLESSEE’S INTENDED USE.</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WARNING</w:t>
      </w:r>
      <w:r>
        <w:rPr>
          <w:rFonts w:ascii="Arial" w:cs="Arial" w:eastAsia="Arial" w:hAnsi="Arial"/>
          <w:sz w:val="13"/>
          <w:szCs w:val="13"/>
          <w:b w:val="1"/>
          <w:bCs w:val="1"/>
          <w:color w:val="auto"/>
        </w:rPr>
        <w:t>: IF THE SUBJECT PROPERTY IS LOCATED IN A STATE OTHER THAN CALIFORNIA, CERTAIN PROVISIONS OF THE SUBLEASE MAY NEED TO BE REVISED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325755</wp:posOffset>
            </wp:positionV>
            <wp:extent cx="505460" cy="402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05460" cy="40259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462915</wp:posOffset>
            </wp:positionV>
            <wp:extent cx="539750" cy="3943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3975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00" w:type="dxa"/>
            <w:vAlign w:val="bottom"/>
          </w:tcPr>
          <w:p>
            <w:pPr>
              <w:ind w:left="20"/>
              <w:spacing w:after="0"/>
              <w:rPr>
                <w:sz w:val="20"/>
                <w:szCs w:val="20"/>
                <w:color w:val="auto"/>
              </w:rPr>
            </w:pPr>
            <w:r>
              <w:rPr>
                <w:rFonts w:ascii="Arial" w:cs="Arial" w:eastAsia="Arial" w:hAnsi="Arial"/>
                <w:sz w:val="18"/>
                <w:szCs w:val="18"/>
                <w:color w:val="auto"/>
              </w:rPr>
              <w:t>INITIALS</w:t>
            </w:r>
          </w:p>
        </w:tc>
        <w:tc>
          <w:tcPr>
            <w:tcW w:w="3160" w:type="dxa"/>
            <w:vAlign w:val="bottom"/>
          </w:tcPr>
          <w:p>
            <w:pPr>
              <w:spacing w:after="0"/>
              <w:rPr>
                <w:sz w:val="17"/>
                <w:szCs w:val="17"/>
                <w:color w:val="auto"/>
              </w:rPr>
            </w:pPr>
          </w:p>
        </w:tc>
        <w:tc>
          <w:tcPr>
            <w:tcW w:w="3780" w:type="dxa"/>
            <w:vAlign w:val="bottom"/>
          </w:tcPr>
          <w:p>
            <w:pPr>
              <w:spacing w:after="0"/>
              <w:rPr>
                <w:sz w:val="17"/>
                <w:szCs w:val="17"/>
                <w:color w:val="auto"/>
              </w:rPr>
            </w:pPr>
          </w:p>
        </w:tc>
      </w:tr>
      <w:tr>
        <w:trPr>
          <w:trHeight w:val="216"/>
        </w:trPr>
        <w:tc>
          <w:tcPr>
            <w:tcW w:w="4300" w:type="dxa"/>
            <w:vAlign w:val="bottom"/>
          </w:tcPr>
          <w:p>
            <w:pPr>
              <w:ind w:left="20"/>
              <w:spacing w:after="0"/>
              <w:rPr>
                <w:sz w:val="20"/>
                <w:szCs w:val="20"/>
                <w:color w:val="auto"/>
              </w:rPr>
            </w:pPr>
            <w:r>
              <w:rPr>
                <w:rFonts w:ascii="Arial" w:cs="Arial" w:eastAsia="Arial" w:hAnsi="Arial"/>
                <w:sz w:val="18"/>
                <w:szCs w:val="18"/>
                <w:color w:val="auto"/>
              </w:rPr>
              <w:t>© 2019 AIR CRE. All Rights Reserved.</w:t>
            </w:r>
          </w:p>
        </w:tc>
        <w:tc>
          <w:tcPr>
            <w:tcW w:w="3160" w:type="dxa"/>
            <w:vAlign w:val="bottom"/>
          </w:tcPr>
          <w:p>
            <w:pPr>
              <w:ind w:left="1200"/>
              <w:spacing w:after="0"/>
              <w:rPr>
                <w:sz w:val="20"/>
                <w:szCs w:val="20"/>
                <w:color w:val="auto"/>
              </w:rPr>
            </w:pPr>
            <w:r>
              <w:rPr>
                <w:rFonts w:ascii="Arial" w:cs="Arial" w:eastAsia="Arial" w:hAnsi="Arial"/>
                <w:sz w:val="18"/>
                <w:szCs w:val="18"/>
                <w:color w:val="auto"/>
              </w:rPr>
              <w:t>INITIALS</w:t>
            </w:r>
          </w:p>
        </w:tc>
        <w:tc>
          <w:tcPr>
            <w:tcW w:w="3780" w:type="dxa"/>
            <w:vAlign w:val="bottom"/>
          </w:tcPr>
          <w:p>
            <w:pPr>
              <w:jc w:val="right"/>
              <w:spacing w:after="0"/>
              <w:rPr>
                <w:sz w:val="20"/>
                <w:szCs w:val="20"/>
                <w:color w:val="auto"/>
              </w:rPr>
            </w:pPr>
            <w:r>
              <w:rPr>
                <w:rFonts w:ascii="Arial" w:cs="Arial" w:eastAsia="Arial" w:hAnsi="Arial"/>
                <w:sz w:val="18"/>
                <w:szCs w:val="18"/>
                <w:color w:val="auto"/>
              </w:rPr>
              <w:t>Last Edited: 4/4/2022 10:50 AM</w:t>
            </w:r>
          </w:p>
        </w:tc>
      </w:tr>
      <w:tr>
        <w:trPr>
          <w:trHeight w:val="239"/>
        </w:trPr>
        <w:tc>
          <w:tcPr>
            <w:tcW w:w="4300" w:type="dxa"/>
            <w:vAlign w:val="bottom"/>
          </w:tcPr>
          <w:p>
            <w:pPr>
              <w:ind w:left="20"/>
              <w:spacing w:after="0"/>
              <w:rPr>
                <w:sz w:val="20"/>
                <w:szCs w:val="20"/>
                <w:color w:val="auto"/>
              </w:rPr>
            </w:pPr>
            <w:r>
              <w:rPr>
                <w:rFonts w:ascii="Arial" w:cs="Arial" w:eastAsia="Arial" w:hAnsi="Arial"/>
                <w:sz w:val="18"/>
                <w:szCs w:val="18"/>
                <w:color w:val="auto"/>
              </w:rPr>
              <w:t>SBMT-8.03, Revised 10-22-2020</w:t>
            </w:r>
          </w:p>
        </w:tc>
        <w:tc>
          <w:tcPr>
            <w:tcW w:w="3160" w:type="dxa"/>
            <w:vAlign w:val="bottom"/>
          </w:tcPr>
          <w:p>
            <w:pPr>
              <w:spacing w:after="0"/>
              <w:rPr>
                <w:sz w:val="20"/>
                <w:szCs w:val="20"/>
                <w:color w:val="auto"/>
              </w:rPr>
            </w:pPr>
          </w:p>
        </w:tc>
        <w:tc>
          <w:tcPr>
            <w:tcW w:w="3780" w:type="dxa"/>
            <w:vAlign w:val="bottom"/>
          </w:tcPr>
          <w:p>
            <w:pPr>
              <w:jc w:val="right"/>
              <w:spacing w:after="0"/>
              <w:rPr>
                <w:sz w:val="20"/>
                <w:szCs w:val="20"/>
                <w:color w:val="auto"/>
              </w:rPr>
            </w:pPr>
            <w:r>
              <w:rPr>
                <w:rFonts w:ascii="Arial" w:cs="Arial" w:eastAsia="Arial" w:hAnsi="Arial"/>
                <w:sz w:val="18"/>
                <w:szCs w:val="18"/>
                <w:color w:val="auto"/>
              </w:rPr>
              <w:t>Page 6 of 7</w:t>
            </w:r>
          </w:p>
        </w:tc>
      </w:tr>
      <w:tr>
        <w:trPr>
          <w:trHeight w:val="152"/>
        </w:trPr>
        <w:tc>
          <w:tcPr>
            <w:tcW w:w="4300" w:type="dxa"/>
            <w:vAlign w:val="bottom"/>
            <w:tcBorders>
              <w:bottom w:val="single" w:sz="8" w:color="9A9A9A"/>
            </w:tcBorders>
          </w:tcPr>
          <w:p>
            <w:pPr>
              <w:spacing w:after="0"/>
              <w:rPr>
                <w:sz w:val="13"/>
                <w:szCs w:val="13"/>
                <w:color w:val="auto"/>
              </w:rPr>
            </w:pPr>
          </w:p>
        </w:tc>
        <w:tc>
          <w:tcPr>
            <w:tcW w:w="3160" w:type="dxa"/>
            <w:vAlign w:val="bottom"/>
            <w:tcBorders>
              <w:bottom w:val="single" w:sz="8" w:color="9A9A9A"/>
            </w:tcBorders>
          </w:tcPr>
          <w:p>
            <w:pPr>
              <w:spacing w:after="0"/>
              <w:rPr>
                <w:sz w:val="13"/>
                <w:szCs w:val="13"/>
                <w:color w:val="auto"/>
              </w:rPr>
            </w:pPr>
          </w:p>
        </w:tc>
        <w:tc>
          <w:tcPr>
            <w:tcW w:w="378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10" w:name="page111"/>
    <w:bookmarkEnd w:id="1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217170</wp:posOffset>
            </wp:positionV>
            <wp:extent cx="6172200" cy="32404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172200" cy="324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Attn:___________</w:t>
      </w:r>
    </w:p>
    <w:p>
      <w:pPr>
        <w:ind w:left="20"/>
        <w:spacing w:after="0"/>
        <w:rPr>
          <w:sz w:val="20"/>
          <w:szCs w:val="20"/>
          <w:color w:val="auto"/>
        </w:rPr>
      </w:pPr>
      <w:r>
        <w:rPr>
          <w:rFonts w:ascii="Arial" w:cs="Arial" w:eastAsia="Arial" w:hAnsi="Arial"/>
          <w:sz w:val="13"/>
          <w:szCs w:val="13"/>
          <w:color w:val="auto"/>
        </w:rPr>
        <w:t xml:space="preserve">Title: </w:t>
      </w:r>
      <w:r>
        <w:rPr>
          <w:rFonts w:ascii="Arial" w:cs="Arial" w:eastAsia="Arial" w:hAnsi="Arial"/>
          <w:sz w:val="13"/>
          <w:szCs w:val="13"/>
          <w:u w:val="single" w:color="auto"/>
          <w:color w:val="auto"/>
        </w:rPr>
        <w:t>___________</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3"/>
          <w:szCs w:val="13"/>
          <w:color w:val="auto"/>
        </w:rPr>
        <w:t>Address: ___________</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Phone: ___________</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color w:val="auto"/>
        </w:rPr>
        <w:t>Fax: ___________</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Email: ___________</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color w:val="auto"/>
        </w:rPr>
        <w:t>Federal ID No.: ___________</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Broker DRE License #: ___________</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Agent DRE License#:___________</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3"/>
          <w:szCs w:val="13"/>
          <w:color w:val="auto"/>
        </w:rPr>
        <w:t>Consent to the above Sublease is hereby given.</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3"/>
          <w:szCs w:val="13"/>
          <w:color w:val="auto"/>
        </w:rPr>
        <w:t>Executed At: ___________</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Executed On: ___________</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3"/>
          <w:szCs w:val="13"/>
          <w:color w:val="auto"/>
        </w:rPr>
        <w:t>By Master Lessor:</w:t>
      </w:r>
    </w:p>
    <w:p>
      <w:pPr>
        <w:ind w:left="20"/>
        <w:spacing w:after="0"/>
        <w:rPr>
          <w:sz w:val="20"/>
          <w:szCs w:val="20"/>
          <w:color w:val="auto"/>
        </w:rPr>
      </w:pPr>
      <w:r>
        <w:rPr>
          <w:rFonts w:ascii="Arial" w:cs="Arial" w:eastAsia="Arial" w:hAnsi="Arial"/>
          <w:sz w:val="17"/>
          <w:szCs w:val="17"/>
          <w:u w:val="single" w:color="auto"/>
          <w:color w:val="auto"/>
        </w:rPr>
        <w:t>Clifford D. Downs</w:t>
      </w:r>
    </w:p>
    <w:p>
      <w:pPr>
        <w:spacing w:after="0" w:line="109"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u w:val="single" w:color="auto"/>
          <w:color w:val="auto"/>
        </w:rPr>
        <w:t>__________________________________________________________</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Name Printed: Title: ___________</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3"/>
          <w:szCs w:val="13"/>
          <w:color w:val="auto"/>
        </w:rPr>
        <w:t>Phone: ___________</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color w:val="auto"/>
        </w:rPr>
        <w:t>Fax: ___________</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Email: ___________</w:t>
      </w:r>
    </w:p>
    <w:p>
      <w:pPr>
        <w:spacing w:after="0" w:line="161"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u w:val="single" w:color="auto"/>
          <w:color w:val="auto"/>
        </w:rPr>
        <w:t>__________________________________________________________</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Name Printed: Title: ___________</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3"/>
          <w:szCs w:val="13"/>
          <w:color w:val="auto"/>
        </w:rPr>
        <w:t>Phone:</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color w:val="auto"/>
        </w:rPr>
        <w:t>Fax: ___________</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3"/>
          <w:szCs w:val="13"/>
          <w:color w:val="auto"/>
        </w:rPr>
        <w:t>Email:_________</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3"/>
          <w:szCs w:val="13"/>
          <w:color w:val="auto"/>
        </w:rPr>
        <w:t>Address:_________</w:t>
      </w:r>
    </w:p>
    <w:p>
      <w:pPr>
        <w:ind w:left="20"/>
        <w:spacing w:after="0"/>
        <w:rPr>
          <w:sz w:val="20"/>
          <w:szCs w:val="20"/>
          <w:color w:val="auto"/>
        </w:rPr>
      </w:pPr>
      <w:r>
        <w:rPr>
          <w:rFonts w:ascii="Arial" w:cs="Arial" w:eastAsia="Arial" w:hAnsi="Arial"/>
          <w:sz w:val="13"/>
          <w:szCs w:val="13"/>
          <w:color w:val="auto"/>
        </w:rPr>
        <w:t>Federal ID No.:_____________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3"/>
          <w:szCs w:val="13"/>
          <w:color w:val="auto"/>
        </w:rPr>
        <w:t>Attn: 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-170180</wp:posOffset>
            </wp:positionV>
            <wp:extent cx="94297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 xml:space="preserve">Title: </w:t>
      </w:r>
      <w:r>
        <w:rPr>
          <w:rFonts w:ascii="Arial" w:cs="Arial" w:eastAsia="Arial" w:hAnsi="Arial"/>
          <w:sz w:val="13"/>
          <w:szCs w:val="13"/>
          <w:u w:val="single" w:color="auto"/>
          <w:color w:val="auto"/>
        </w:rPr>
        <w:t>___________</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color w:val="auto"/>
        </w:rPr>
        <w:t>Address: ___________</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Phone: ___________</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Fax: ___________</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Email: ___________</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Federal ID No.: ___________</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Broker DRE License #: ___________</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Agent DRE License #:___________</w:t>
      </w:r>
    </w:p>
    <w:p>
      <w:pPr>
        <w:spacing w:after="0" w:line="377" w:lineRule="exact"/>
        <w:rPr>
          <w:sz w:val="20"/>
          <w:szCs w:val="20"/>
          <w:color w:val="auto"/>
        </w:rPr>
      </w:pPr>
    </w:p>
    <w:p>
      <w:pPr>
        <w:spacing w:after="0"/>
        <w:rPr>
          <w:sz w:val="20"/>
          <w:szCs w:val="20"/>
          <w:color w:val="auto"/>
        </w:rPr>
      </w:pPr>
      <w:r>
        <w:rPr>
          <w:rFonts w:ascii="Arial" w:cs="Arial" w:eastAsia="Arial" w:hAnsi="Arial"/>
          <w:sz w:val="13"/>
          <w:szCs w:val="13"/>
          <w:color w:val="auto"/>
        </w:rPr>
        <w:t>Executed At: ___________</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Executed On: ___________</w:t>
      </w:r>
    </w:p>
    <w:p>
      <w:pPr>
        <w:spacing w:after="0" w:line="78" w:lineRule="exact"/>
        <w:rPr>
          <w:sz w:val="20"/>
          <w:szCs w:val="20"/>
          <w:color w:val="auto"/>
        </w:rPr>
      </w:pPr>
    </w:p>
    <w:p>
      <w:pPr>
        <w:spacing w:after="0"/>
        <w:rPr>
          <w:sz w:val="20"/>
          <w:szCs w:val="20"/>
          <w:color w:val="auto"/>
        </w:rPr>
      </w:pPr>
      <w:r>
        <w:rPr>
          <w:rFonts w:ascii="Arial" w:cs="Arial" w:eastAsia="Arial" w:hAnsi="Arial"/>
          <w:sz w:val="13"/>
          <w:szCs w:val="13"/>
          <w:color w:val="auto"/>
        </w:rPr>
        <w:t>By Guarantor:</w:t>
      </w:r>
    </w:p>
    <w:p>
      <w:pPr>
        <w:ind w:left="40"/>
        <w:spacing w:after="0"/>
        <w:rPr>
          <w:sz w:val="20"/>
          <w:szCs w:val="20"/>
          <w:color w:val="auto"/>
        </w:rPr>
      </w:pPr>
      <w:r>
        <w:rPr>
          <w:rFonts w:ascii="Arial" w:cs="Arial" w:eastAsia="Arial" w:hAnsi="Arial"/>
          <w:sz w:val="13"/>
          <w:szCs w:val="13"/>
          <w:color w:val="auto"/>
        </w:rPr>
        <w:t>___________</w:t>
      </w:r>
    </w:p>
    <w:p>
      <w:pPr>
        <w:spacing w:after="0" w:line="203"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u w:val="single" w:color="auto"/>
          <w:color w:val="auto"/>
        </w:rPr>
        <w:t>__________________________________________________________</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Name Printed:</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Title: ___________</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Address: ___________</w:t>
      </w:r>
    </w:p>
    <w:p>
      <w:pPr>
        <w:spacing w:after="0" w:line="134" w:lineRule="exact"/>
        <w:rPr>
          <w:sz w:val="20"/>
          <w:szCs w:val="20"/>
          <w:color w:val="auto"/>
        </w:rPr>
      </w:pPr>
    </w:p>
    <w:p>
      <w:pPr>
        <w:spacing w:after="0"/>
        <w:tabs>
          <w:tab w:leader="none" w:pos="3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u w:val="single" w:color="auto"/>
          <w:color w:val="auto"/>
        </w:rPr>
        <w:t>__________________________________________________________</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Name Printed:</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Title: ___________</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Address: ___________</w:t>
      </w:r>
    </w:p>
    <w:p>
      <w:pPr>
        <w:spacing w:after="0" w:line="1022" w:lineRule="exact"/>
        <w:rPr>
          <w:sz w:val="20"/>
          <w:szCs w:val="20"/>
          <w:color w:val="auto"/>
        </w:rPr>
      </w:pPr>
    </w:p>
    <w:p>
      <w:pPr>
        <w:sectPr>
          <w:pgSz w:w="11900" w:h="16838" w:orient="portrait"/>
          <w:cols w:equalWidth="0" w:num="2">
            <w:col w:w="4920" w:space="720"/>
            <w:col w:w="5600"/>
          </w:cols>
          <w:pgMar w:left="320" w:top="1440"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 xml:space="preserve">AIR CRE * https://www.aircre.com </w:t>
      </w:r>
      <w:r>
        <w:rPr>
          <w:rFonts w:ascii="Arial" w:cs="Arial" w:eastAsia="Arial" w:hAnsi="Arial"/>
          <w:sz w:val="8"/>
          <w:szCs w:val="8"/>
          <w:b w:val="1"/>
          <w:bCs w:val="1"/>
          <w:i w:val="1"/>
          <w:iCs w:val="1"/>
          <w:color w:val="auto"/>
        </w:rPr>
        <w:t>*</w:t>
      </w:r>
      <w:r>
        <w:rPr>
          <w:rFonts w:ascii="Arial" w:cs="Arial" w:eastAsia="Arial" w:hAnsi="Arial"/>
          <w:sz w:val="15"/>
          <w:szCs w:val="15"/>
          <w:color w:val="auto"/>
        </w:rPr>
        <w:t xml:space="preserve"> 213-687-8777 * Email [***]</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NOTICE: No part of these works may be reproduced In any form without permission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348615</wp:posOffset>
            </wp:positionV>
            <wp:extent cx="505460" cy="402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05460" cy="40259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485775</wp:posOffset>
            </wp:positionV>
            <wp:extent cx="539750" cy="3943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3975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00" w:type="dxa"/>
            <w:vAlign w:val="bottom"/>
          </w:tcPr>
          <w:p>
            <w:pPr>
              <w:ind w:left="20"/>
              <w:spacing w:after="0"/>
              <w:rPr>
                <w:sz w:val="20"/>
                <w:szCs w:val="20"/>
                <w:color w:val="auto"/>
              </w:rPr>
            </w:pPr>
            <w:r>
              <w:rPr>
                <w:rFonts w:ascii="Arial" w:cs="Arial" w:eastAsia="Arial" w:hAnsi="Arial"/>
                <w:sz w:val="18"/>
                <w:szCs w:val="18"/>
                <w:color w:val="auto"/>
              </w:rPr>
              <w:t>INITIALS</w:t>
            </w:r>
          </w:p>
        </w:tc>
        <w:tc>
          <w:tcPr>
            <w:tcW w:w="3160" w:type="dxa"/>
            <w:vAlign w:val="bottom"/>
          </w:tcPr>
          <w:p>
            <w:pPr>
              <w:spacing w:after="0"/>
              <w:rPr>
                <w:sz w:val="18"/>
                <w:szCs w:val="18"/>
                <w:color w:val="auto"/>
              </w:rPr>
            </w:pPr>
          </w:p>
        </w:tc>
        <w:tc>
          <w:tcPr>
            <w:tcW w:w="3780" w:type="dxa"/>
            <w:vAlign w:val="bottom"/>
          </w:tcPr>
          <w:p>
            <w:pPr>
              <w:spacing w:after="0"/>
              <w:rPr>
                <w:sz w:val="18"/>
                <w:szCs w:val="18"/>
                <w:color w:val="auto"/>
              </w:rPr>
            </w:pPr>
          </w:p>
        </w:tc>
      </w:tr>
      <w:tr>
        <w:trPr>
          <w:trHeight w:val="208"/>
        </w:trPr>
        <w:tc>
          <w:tcPr>
            <w:tcW w:w="4300" w:type="dxa"/>
            <w:vAlign w:val="bottom"/>
          </w:tcPr>
          <w:p>
            <w:pPr>
              <w:ind w:left="20"/>
              <w:spacing w:after="0"/>
              <w:rPr>
                <w:sz w:val="20"/>
                <w:szCs w:val="20"/>
                <w:color w:val="auto"/>
              </w:rPr>
            </w:pPr>
            <w:r>
              <w:rPr>
                <w:rFonts w:ascii="Arial" w:cs="Arial" w:eastAsia="Arial" w:hAnsi="Arial"/>
                <w:sz w:val="18"/>
                <w:szCs w:val="18"/>
                <w:color w:val="auto"/>
              </w:rPr>
              <w:t>© 2019 AIR CRE. All Rights Reserved.</w:t>
            </w:r>
          </w:p>
        </w:tc>
        <w:tc>
          <w:tcPr>
            <w:tcW w:w="3160" w:type="dxa"/>
            <w:vAlign w:val="bottom"/>
          </w:tcPr>
          <w:p>
            <w:pPr>
              <w:ind w:left="1200"/>
              <w:spacing w:after="0"/>
              <w:rPr>
                <w:sz w:val="20"/>
                <w:szCs w:val="20"/>
                <w:color w:val="auto"/>
              </w:rPr>
            </w:pPr>
            <w:r>
              <w:rPr>
                <w:rFonts w:ascii="Arial" w:cs="Arial" w:eastAsia="Arial" w:hAnsi="Arial"/>
                <w:sz w:val="18"/>
                <w:szCs w:val="18"/>
                <w:color w:val="auto"/>
              </w:rPr>
              <w:t>INITIALS</w:t>
            </w:r>
          </w:p>
        </w:tc>
        <w:tc>
          <w:tcPr>
            <w:tcW w:w="3780" w:type="dxa"/>
            <w:vAlign w:val="bottom"/>
          </w:tcPr>
          <w:p>
            <w:pPr>
              <w:jc w:val="right"/>
              <w:spacing w:after="0"/>
              <w:rPr>
                <w:sz w:val="20"/>
                <w:szCs w:val="20"/>
                <w:color w:val="auto"/>
              </w:rPr>
            </w:pPr>
            <w:r>
              <w:rPr>
                <w:rFonts w:ascii="Arial" w:cs="Arial" w:eastAsia="Arial" w:hAnsi="Arial"/>
                <w:sz w:val="18"/>
                <w:szCs w:val="18"/>
                <w:color w:val="auto"/>
              </w:rPr>
              <w:t>Last Edited: 4/4/2022 10:50 AM</w:t>
            </w:r>
          </w:p>
        </w:tc>
      </w:tr>
      <w:tr>
        <w:trPr>
          <w:trHeight w:val="247"/>
        </w:trPr>
        <w:tc>
          <w:tcPr>
            <w:tcW w:w="4300" w:type="dxa"/>
            <w:vAlign w:val="bottom"/>
          </w:tcPr>
          <w:p>
            <w:pPr>
              <w:ind w:left="20"/>
              <w:spacing w:after="0"/>
              <w:rPr>
                <w:sz w:val="20"/>
                <w:szCs w:val="20"/>
                <w:color w:val="auto"/>
              </w:rPr>
            </w:pPr>
            <w:r>
              <w:rPr>
                <w:rFonts w:ascii="Arial" w:cs="Arial" w:eastAsia="Arial" w:hAnsi="Arial"/>
                <w:sz w:val="18"/>
                <w:szCs w:val="18"/>
                <w:color w:val="auto"/>
              </w:rPr>
              <w:t>SBMT-8.03, Revised 10-22-2020</w:t>
            </w:r>
          </w:p>
        </w:tc>
        <w:tc>
          <w:tcPr>
            <w:tcW w:w="3160" w:type="dxa"/>
            <w:vAlign w:val="bottom"/>
          </w:tcPr>
          <w:p>
            <w:pPr>
              <w:spacing w:after="0"/>
              <w:rPr>
                <w:sz w:val="21"/>
                <w:szCs w:val="21"/>
                <w:color w:val="auto"/>
              </w:rPr>
            </w:pPr>
          </w:p>
        </w:tc>
        <w:tc>
          <w:tcPr>
            <w:tcW w:w="3780" w:type="dxa"/>
            <w:vAlign w:val="bottom"/>
          </w:tcPr>
          <w:p>
            <w:pPr>
              <w:jc w:val="right"/>
              <w:spacing w:after="0"/>
              <w:rPr>
                <w:sz w:val="20"/>
                <w:szCs w:val="20"/>
                <w:color w:val="auto"/>
              </w:rPr>
            </w:pPr>
            <w:r>
              <w:rPr>
                <w:rFonts w:ascii="Arial" w:cs="Arial" w:eastAsia="Arial" w:hAnsi="Arial"/>
                <w:sz w:val="18"/>
                <w:szCs w:val="18"/>
                <w:color w:val="auto"/>
              </w:rPr>
              <w:t>Page 7 of 7</w:t>
            </w:r>
          </w:p>
        </w:tc>
      </w:tr>
      <w:tr>
        <w:trPr>
          <w:trHeight w:val="138"/>
        </w:trPr>
        <w:tc>
          <w:tcPr>
            <w:tcW w:w="4300" w:type="dxa"/>
            <w:vAlign w:val="bottom"/>
            <w:tcBorders>
              <w:bottom w:val="single" w:sz="8" w:color="9A9A9A"/>
            </w:tcBorders>
          </w:tcPr>
          <w:p>
            <w:pPr>
              <w:spacing w:after="0"/>
              <w:rPr>
                <w:sz w:val="12"/>
                <w:szCs w:val="12"/>
                <w:color w:val="auto"/>
              </w:rPr>
            </w:pPr>
          </w:p>
        </w:tc>
        <w:tc>
          <w:tcPr>
            <w:tcW w:w="3160" w:type="dxa"/>
            <w:vAlign w:val="bottom"/>
            <w:tcBorders>
              <w:bottom w:val="single" w:sz="8" w:color="9A9A9A"/>
            </w:tcBorders>
          </w:tcPr>
          <w:p>
            <w:pPr>
              <w:spacing w:after="0"/>
              <w:rPr>
                <w:sz w:val="12"/>
                <w:szCs w:val="12"/>
                <w:color w:val="auto"/>
              </w:rPr>
            </w:pPr>
          </w:p>
        </w:tc>
        <w:tc>
          <w:tcPr>
            <w:tcW w:w="37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11" w:name="page112"/>
    <w:bookmarkEnd w:id="111"/>
    <w:tbl>
      <w:tblPr>
        <w:tblLayout w:type="fixed"/>
        <w:tblInd w:w="620" w:type="dxa"/>
        <w:tblCellMar>
          <w:top w:w="0" w:type="dxa"/>
          <w:left w:w="0" w:type="dxa"/>
          <w:bottom w:w="0" w:type="dxa"/>
          <w:right w:w="0" w:type="dxa"/>
        </w:tblCellMar>
      </w:tblPr>
      <w:tr>
        <w:trPr>
          <w:trHeight w:val="208"/>
        </w:trPr>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20" w:type="dxa"/>
            <w:vAlign w:val="bottom"/>
            <w:gridSpan w:val="2"/>
          </w:tcPr>
          <w:p>
            <w:pPr>
              <w:jc w:val="center"/>
              <w:ind w:right="3500"/>
              <w:spacing w:after="0"/>
              <w:rPr>
                <w:sz w:val="20"/>
                <w:szCs w:val="20"/>
                <w:color w:val="auto"/>
              </w:rPr>
            </w:pPr>
            <w:r>
              <w:rPr>
                <w:rFonts w:ascii="Arial" w:cs="Arial" w:eastAsia="Arial" w:hAnsi="Arial"/>
                <w:sz w:val="18"/>
                <w:szCs w:val="18"/>
                <w:color w:val="auto"/>
              </w:rPr>
              <w:t>RENT ADJUSTMENT(S)</w:t>
            </w:r>
          </w:p>
        </w:tc>
      </w:tr>
      <w:tr>
        <w:trPr>
          <w:trHeight w:val="249"/>
        </w:trPr>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220" w:type="dxa"/>
            <w:vAlign w:val="bottom"/>
            <w:gridSpan w:val="2"/>
          </w:tcPr>
          <w:p>
            <w:pPr>
              <w:jc w:val="center"/>
              <w:ind w:right="3500"/>
              <w:spacing w:after="0"/>
              <w:rPr>
                <w:sz w:val="20"/>
                <w:szCs w:val="20"/>
                <w:color w:val="auto"/>
              </w:rPr>
            </w:pPr>
            <w:r>
              <w:rPr>
                <w:rFonts w:ascii="Arial" w:cs="Arial" w:eastAsia="Arial" w:hAnsi="Arial"/>
                <w:sz w:val="19"/>
                <w:szCs w:val="19"/>
                <w:color w:val="auto"/>
                <w:w w:val="99"/>
              </w:rPr>
              <w:t>STANDARD LEASE ADDENDUM</w:t>
            </w:r>
          </w:p>
        </w:tc>
      </w:tr>
      <w:tr>
        <w:trPr>
          <w:trHeight w:val="683"/>
        </w:trPr>
        <w:tc>
          <w:tcPr>
            <w:tcW w:w="1120" w:type="dxa"/>
            <w:vAlign w:val="bottom"/>
            <w:gridSpan w:val="4"/>
          </w:tcPr>
          <w:p>
            <w:pPr>
              <w:spacing w:after="0"/>
              <w:rPr>
                <w:sz w:val="20"/>
                <w:szCs w:val="20"/>
                <w:color w:val="auto"/>
              </w:rPr>
            </w:pPr>
            <w:r>
              <w:rPr>
                <w:rFonts w:ascii="Arial" w:cs="Arial" w:eastAsia="Arial" w:hAnsi="Arial"/>
                <w:sz w:val="22"/>
                <w:szCs w:val="22"/>
                <w:color w:val="auto"/>
              </w:rPr>
              <w:t>Dated:</w:t>
            </w:r>
          </w:p>
        </w:tc>
        <w:tc>
          <w:tcPr>
            <w:tcW w:w="3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ind w:left="440"/>
              <w:spacing w:after="0"/>
              <w:rPr>
                <w:sz w:val="20"/>
                <w:szCs w:val="20"/>
                <w:color w:val="auto"/>
              </w:rPr>
            </w:pPr>
            <w:r>
              <w:rPr>
                <w:rFonts w:ascii="Arial" w:cs="Arial" w:eastAsia="Arial" w:hAnsi="Arial"/>
                <w:sz w:val="16"/>
                <w:szCs w:val="16"/>
                <w:color w:val="auto"/>
              </w:rPr>
              <w:t>4/4/22</w:t>
            </w:r>
          </w:p>
        </w:tc>
        <w:tc>
          <w:tcPr>
            <w:tcW w:w="186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237"/>
        </w:trPr>
        <w:tc>
          <w:tcPr>
            <w:tcW w:w="1460" w:type="dxa"/>
            <w:vAlign w:val="bottom"/>
            <w:gridSpan w:val="5"/>
          </w:tcPr>
          <w:p>
            <w:pPr>
              <w:spacing w:after="0"/>
              <w:rPr>
                <w:sz w:val="20"/>
                <w:szCs w:val="20"/>
                <w:color w:val="auto"/>
              </w:rPr>
            </w:pPr>
            <w:r>
              <w:rPr>
                <w:rFonts w:ascii="Arial" w:cs="Arial" w:eastAsia="Arial" w:hAnsi="Arial"/>
                <w:sz w:val="17"/>
                <w:szCs w:val="17"/>
                <w:i w:val="1"/>
                <w:iCs w:val="1"/>
                <w:color w:val="auto"/>
              </w:rPr>
              <w:t>By and Between</w:t>
            </w: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360" w:type="dxa"/>
            <w:vAlign w:val="bottom"/>
          </w:tcPr>
          <w:p>
            <w:pPr>
              <w:spacing w:after="0"/>
              <w:rPr>
                <w:sz w:val="20"/>
                <w:szCs w:val="20"/>
                <w:color w:val="auto"/>
              </w:rPr>
            </w:pPr>
          </w:p>
        </w:tc>
      </w:tr>
      <w:tr>
        <w:trPr>
          <w:trHeight w:val="243"/>
        </w:trPr>
        <w:tc>
          <w:tcPr>
            <w:tcW w:w="100" w:type="dxa"/>
            <w:vAlign w:val="bottom"/>
          </w:tcPr>
          <w:p>
            <w:pPr>
              <w:spacing w:after="0"/>
              <w:rPr>
                <w:sz w:val="21"/>
                <w:szCs w:val="21"/>
                <w:color w:val="auto"/>
              </w:rPr>
            </w:pPr>
          </w:p>
        </w:tc>
        <w:tc>
          <w:tcPr>
            <w:tcW w:w="1360" w:type="dxa"/>
            <w:vAlign w:val="bottom"/>
            <w:gridSpan w:val="4"/>
          </w:tcPr>
          <w:p>
            <w:pPr>
              <w:spacing w:after="0" w:line="223" w:lineRule="exact"/>
              <w:rPr>
                <w:sz w:val="20"/>
                <w:szCs w:val="20"/>
                <w:color w:val="auto"/>
              </w:rPr>
            </w:pPr>
            <w:r>
              <w:rPr>
                <w:rFonts w:ascii="Arial" w:cs="Arial" w:eastAsia="Arial" w:hAnsi="Arial"/>
                <w:sz w:val="22"/>
                <w:szCs w:val="22"/>
                <w:color w:val="FF0000"/>
              </w:rPr>
              <w:t>Sub</w:t>
            </w:r>
            <w:r>
              <w:rPr>
                <w:rFonts w:ascii="Arial" w:cs="Arial" w:eastAsia="Arial" w:hAnsi="Arial"/>
                <w:sz w:val="17"/>
                <w:szCs w:val="17"/>
                <w:color w:val="000000"/>
              </w:rPr>
              <w:t>Lessor:</w:t>
            </w:r>
          </w:p>
        </w:tc>
        <w:tc>
          <w:tcPr>
            <w:tcW w:w="8900" w:type="dxa"/>
            <w:vAlign w:val="bottom"/>
            <w:gridSpan w:val="4"/>
          </w:tcPr>
          <w:p>
            <w:pPr>
              <w:spacing w:after="0"/>
              <w:rPr>
                <w:sz w:val="20"/>
                <w:szCs w:val="20"/>
                <w:color w:val="auto"/>
              </w:rPr>
            </w:pPr>
            <w:r>
              <w:rPr>
                <w:rFonts w:ascii="Arial" w:cs="Arial" w:eastAsia="Arial" w:hAnsi="Arial"/>
                <w:sz w:val="15"/>
                <w:szCs w:val="15"/>
                <w:color w:val="auto"/>
              </w:rPr>
              <w:t>RxSight, Inc. (Lessor)</w:t>
            </w:r>
          </w:p>
        </w:tc>
      </w:tr>
      <w:tr>
        <w:trPr>
          <w:trHeight w:val="27"/>
        </w:trPr>
        <w:tc>
          <w:tcPr>
            <w:tcW w:w="100" w:type="dxa"/>
            <w:vAlign w:val="bottom"/>
          </w:tcPr>
          <w:p>
            <w:pPr>
              <w:spacing w:after="0"/>
              <w:rPr>
                <w:sz w:val="2"/>
                <w:szCs w:val="2"/>
                <w:color w:val="auto"/>
              </w:rPr>
            </w:pPr>
          </w:p>
        </w:tc>
        <w:tc>
          <w:tcPr>
            <w:tcW w:w="380" w:type="dxa"/>
            <w:vAlign w:val="bottom"/>
            <w:shd w:val="clear" w:color="auto" w:fill="FF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Borders>
              <w:left w:val="single" w:sz="8" w:color="auto"/>
            </w:tcBorders>
            <w:gridSpan w:val="2"/>
          </w:tcPr>
          <w:p>
            <w:pPr>
              <w:spacing w:after="0"/>
              <w:rPr>
                <w:sz w:val="2"/>
                <w:szCs w:val="2"/>
                <w:color w:val="auto"/>
              </w:rPr>
            </w:pPr>
          </w:p>
        </w:tc>
        <w:tc>
          <w:tcPr>
            <w:tcW w:w="8900" w:type="dxa"/>
            <w:vAlign w:val="bottom"/>
            <w:gridSpan w:val="4"/>
            <w:shd w:val="clear" w:color="auto" w:fill="000000"/>
          </w:tcPr>
          <w:p>
            <w:pPr>
              <w:spacing w:after="0"/>
              <w:rPr>
                <w:sz w:val="2"/>
                <w:szCs w:val="2"/>
                <w:color w:val="auto"/>
              </w:rPr>
            </w:pPr>
          </w:p>
        </w:tc>
      </w:tr>
      <w:tr>
        <w:trPr>
          <w:trHeight w:val="229"/>
        </w:trPr>
        <w:tc>
          <w:tcPr>
            <w:tcW w:w="100" w:type="dxa"/>
            <w:vAlign w:val="bottom"/>
          </w:tcPr>
          <w:p>
            <w:pPr>
              <w:spacing w:after="0"/>
              <w:rPr>
                <w:sz w:val="19"/>
                <w:szCs w:val="19"/>
                <w:color w:val="auto"/>
              </w:rPr>
            </w:pPr>
          </w:p>
        </w:tc>
        <w:tc>
          <w:tcPr>
            <w:tcW w:w="1360" w:type="dxa"/>
            <w:vAlign w:val="bottom"/>
            <w:gridSpan w:val="4"/>
          </w:tcPr>
          <w:p>
            <w:pPr>
              <w:spacing w:after="0" w:line="209" w:lineRule="exact"/>
              <w:rPr>
                <w:sz w:val="20"/>
                <w:szCs w:val="20"/>
                <w:color w:val="auto"/>
              </w:rPr>
            </w:pPr>
            <w:r>
              <w:rPr>
                <w:rFonts w:ascii="Arial" w:cs="Arial" w:eastAsia="Arial" w:hAnsi="Arial"/>
                <w:sz w:val="22"/>
                <w:szCs w:val="22"/>
                <w:color w:val="FF0000"/>
              </w:rPr>
              <w:t>Sub</w:t>
            </w:r>
            <w:r>
              <w:rPr>
                <w:rFonts w:ascii="Arial" w:cs="Arial" w:eastAsia="Arial" w:hAnsi="Arial"/>
                <w:sz w:val="17"/>
                <w:szCs w:val="17"/>
                <w:color w:val="000000"/>
              </w:rPr>
              <w:t>lessee:</w:t>
            </w:r>
          </w:p>
        </w:tc>
        <w:tc>
          <w:tcPr>
            <w:tcW w:w="8900" w:type="dxa"/>
            <w:vAlign w:val="bottom"/>
            <w:gridSpan w:val="4"/>
          </w:tcPr>
          <w:p>
            <w:pPr>
              <w:spacing w:after="0"/>
              <w:rPr>
                <w:sz w:val="20"/>
                <w:szCs w:val="20"/>
                <w:color w:val="auto"/>
              </w:rPr>
            </w:pPr>
            <w:r>
              <w:rPr>
                <w:rFonts w:ascii="Arial" w:cs="Arial" w:eastAsia="Arial" w:hAnsi="Arial"/>
                <w:sz w:val="15"/>
                <w:szCs w:val="15"/>
                <w:color w:val="auto"/>
              </w:rPr>
              <w:t>Compass Bible Church (Lessee)</w:t>
            </w:r>
          </w:p>
        </w:tc>
      </w:tr>
      <w:tr>
        <w:trPr>
          <w:trHeight w:val="27"/>
        </w:trPr>
        <w:tc>
          <w:tcPr>
            <w:tcW w:w="100" w:type="dxa"/>
            <w:vAlign w:val="bottom"/>
          </w:tcPr>
          <w:p>
            <w:pPr>
              <w:spacing w:after="0"/>
              <w:rPr>
                <w:sz w:val="2"/>
                <w:szCs w:val="2"/>
                <w:color w:val="auto"/>
              </w:rPr>
            </w:pPr>
          </w:p>
        </w:tc>
        <w:tc>
          <w:tcPr>
            <w:tcW w:w="380" w:type="dxa"/>
            <w:vAlign w:val="bottom"/>
            <w:shd w:val="clear" w:color="auto" w:fill="FF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gridSpan w:val="2"/>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440" w:type="dxa"/>
            <w:vAlign w:val="bottom"/>
            <w:gridSpan w:val="3"/>
            <w:shd w:val="clear" w:color="auto" w:fill="000000"/>
          </w:tcPr>
          <w:p>
            <w:pPr>
              <w:spacing w:after="0"/>
              <w:rPr>
                <w:sz w:val="2"/>
                <w:szCs w:val="2"/>
                <w:color w:val="auto"/>
              </w:rPr>
            </w:pPr>
          </w:p>
        </w:tc>
      </w:tr>
      <w:tr>
        <w:trPr>
          <w:trHeight w:val="226"/>
        </w:trPr>
        <w:tc>
          <w:tcPr>
            <w:tcW w:w="1460" w:type="dxa"/>
            <w:vAlign w:val="bottom"/>
            <w:gridSpan w:val="5"/>
          </w:tcPr>
          <w:p>
            <w:pPr>
              <w:spacing w:after="0"/>
              <w:rPr>
                <w:sz w:val="20"/>
                <w:szCs w:val="20"/>
                <w:color w:val="auto"/>
              </w:rPr>
            </w:pPr>
            <w:r>
              <w:rPr>
                <w:rFonts w:ascii="Arial" w:cs="Arial" w:eastAsia="Arial" w:hAnsi="Arial"/>
                <w:sz w:val="15"/>
                <w:szCs w:val="15"/>
                <w:color w:val="auto"/>
              </w:rPr>
              <w:t>Property Address:</w:t>
            </w:r>
          </w:p>
        </w:tc>
        <w:tc>
          <w:tcPr>
            <w:tcW w:w="460" w:type="dxa"/>
            <w:vAlign w:val="bottom"/>
          </w:tcPr>
          <w:p>
            <w:pPr>
              <w:spacing w:after="0"/>
              <w:rPr>
                <w:sz w:val="19"/>
                <w:szCs w:val="19"/>
                <w:color w:val="auto"/>
              </w:rPr>
            </w:pPr>
          </w:p>
        </w:tc>
        <w:tc>
          <w:tcPr>
            <w:tcW w:w="308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5 Columbia, Aliso Viejo, CA</w:t>
            </w:r>
          </w:p>
        </w:tc>
        <w:tc>
          <w:tcPr>
            <w:tcW w:w="536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900" w:type="dxa"/>
            <w:vAlign w:val="bottom"/>
            <w:gridSpan w:val="4"/>
          </w:tcPr>
          <w:p>
            <w:pPr>
              <w:ind w:left="380"/>
              <w:spacing w:after="0"/>
              <w:rPr>
                <w:sz w:val="20"/>
                <w:szCs w:val="20"/>
                <w:color w:val="auto"/>
              </w:rPr>
            </w:pPr>
            <w:r>
              <w:rPr>
                <w:rFonts w:ascii="Arial" w:cs="Arial" w:eastAsia="Arial" w:hAnsi="Arial"/>
                <w:sz w:val="13"/>
                <w:szCs w:val="13"/>
                <w:color w:val="auto"/>
              </w:rPr>
              <w:t>(street address, city, state, zip)</w:t>
            </w:r>
          </w:p>
        </w:tc>
      </w:tr>
    </w:tbl>
    <w:p>
      <w:pPr>
        <w:spacing w:after="0" w:line="2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637030" cy="50546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clrChange>
                        <a:clrFrom>
                          <a:srgbClr val="FFFFFF"/>
                        </a:clrFrom>
                        <a:clrTo>
                          <a:srgbClr val="FFFFFF">
                            <a:alpha val="0"/>
                          </a:srgbClr>
                        </a:clrTo>
                      </a:clrChange>
                      <a:extLst>
                        <a:ext uri="{28A0092B-C50C-407E-A947-70E740481C1C}"/>
                      </a:extLst>
                    </a:blip>
                    <a:srcRect/>
                    <a:stretch>
                      <a:fillRect/>
                    </a:stretch>
                  </pic:blipFill>
                  <pic:spPr bwMode="auto">
                    <a:xfrm>
                      <a:off x="0" y="0"/>
                      <a:ext cx="1637030" cy="505460"/>
                    </a:xfrm>
                    <a:prstGeom prst="rect">
                      <a:avLst/>
                    </a:prstGeom>
                    <a:noFill/>
                  </pic:spPr>
                </pic:pic>
              </a:graphicData>
            </a:graphic>
          </wp:anchor>
        </w:drawing>
      </w:r>
    </w:p>
    <w:p>
      <w:pPr>
        <w:spacing w:after="0"/>
        <w:tabs>
          <w:tab w:leader="none" w:pos="880" w:val="left"/>
        </w:tabs>
        <w:rPr>
          <w:sz w:val="20"/>
          <w:szCs w:val="20"/>
          <w:color w:val="auto"/>
        </w:rPr>
      </w:pPr>
      <w:r>
        <w:rPr>
          <w:rFonts w:ascii="Arial" w:cs="Arial" w:eastAsia="Arial" w:hAnsi="Arial"/>
          <w:sz w:val="13"/>
          <w:szCs w:val="13"/>
          <w:color w:val="auto"/>
        </w:rPr>
        <w:t>Paragraph:</w:t>
      </w:r>
      <w:r>
        <w:rPr>
          <w:sz w:val="20"/>
          <w:szCs w:val="20"/>
          <w:color w:val="auto"/>
        </w:rPr>
        <w:tab/>
      </w:r>
      <w:r>
        <w:rPr>
          <w:rFonts w:ascii="Arial" w:cs="Arial" w:eastAsia="Arial" w:hAnsi="Arial"/>
          <w:sz w:val="17"/>
          <w:szCs w:val="17"/>
          <w:u w:val="single" w:color="auto"/>
          <w:color w:val="auto"/>
        </w:rPr>
        <w:t>14</w:t>
      </w:r>
    </w:p>
    <w:p>
      <w:pPr>
        <w:spacing w:after="0" w:line="55" w:lineRule="exact"/>
        <w:rPr>
          <w:sz w:val="20"/>
          <w:szCs w:val="20"/>
          <w:color w:val="auto"/>
        </w:rPr>
      </w:pPr>
    </w:p>
    <w:p>
      <w:pPr>
        <w:ind w:left="260" w:hanging="252"/>
        <w:spacing w:after="0"/>
        <w:tabs>
          <w:tab w:leader="none" w:pos="260" w:val="left"/>
        </w:tabs>
        <w:numPr>
          <w:ilvl w:val="0"/>
          <w:numId w:val="78"/>
        </w:numPr>
        <w:rPr>
          <w:rFonts w:ascii="Calibri" w:cs="Calibri" w:eastAsia="Calibri" w:hAnsi="Calibri"/>
          <w:sz w:val="13"/>
          <w:szCs w:val="13"/>
          <w:b w:val="1"/>
          <w:bCs w:val="1"/>
          <w:color w:val="auto"/>
        </w:rPr>
      </w:pPr>
      <w:r>
        <w:rPr>
          <w:rFonts w:ascii="Arial" w:cs="Arial" w:eastAsia="Arial" w:hAnsi="Arial"/>
          <w:sz w:val="13"/>
          <w:szCs w:val="13"/>
          <w:b w:val="1"/>
          <w:bCs w:val="1"/>
          <w:color w:val="auto"/>
        </w:rPr>
        <w:t>RENT ADJUSTMENTS</w:t>
      </w:r>
    </w:p>
    <w:p>
      <w:pPr>
        <w:spacing w:after="0" w:line="4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monthly rent for each month of the adjustment period(s) specified below shall be increased using the method(s) indicated below:</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(Check Method(s) to be Used and Fill in Appropriately)</w:t>
      </w:r>
    </w:p>
    <w:p>
      <w:pPr>
        <w:spacing w:after="0" w:line="128"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I.Cost of Living Adjustment(s) (COLA)</w:t>
      </w:r>
    </w:p>
    <w:p>
      <w:pPr>
        <w:spacing w:after="0" w:line="234" w:lineRule="exact"/>
        <w:rPr>
          <w:sz w:val="20"/>
          <w:szCs w:val="20"/>
          <w:color w:val="auto"/>
        </w:rPr>
      </w:pPr>
    </w:p>
    <w:p>
      <w:pPr>
        <w:ind w:left="1020" w:hanging="254"/>
        <w:spacing w:after="0"/>
        <w:tabs>
          <w:tab w:leader="none" w:pos="1020" w:val="left"/>
        </w:tabs>
        <w:numPr>
          <w:ilvl w:val="0"/>
          <w:numId w:val="80"/>
        </w:numPr>
        <w:rPr>
          <w:rFonts w:ascii="Arial" w:cs="Arial" w:eastAsia="Arial" w:hAnsi="Arial"/>
          <w:sz w:val="13"/>
          <w:szCs w:val="13"/>
          <w:color w:val="auto"/>
        </w:rPr>
      </w:pPr>
      <w:r>
        <w:rPr>
          <w:rFonts w:ascii="Arial" w:cs="Arial" w:eastAsia="Arial" w:hAnsi="Arial"/>
          <w:sz w:val="13"/>
          <w:szCs w:val="13"/>
          <w:color w:val="auto"/>
        </w:rPr>
        <w:t>On (Fill in COLA Dates):____________the Base Rent shall be adjusted by the change, if any, from the Base Month specified below, in the Consumer Price Index of the</w:t>
      </w:r>
    </w:p>
    <w:p>
      <w:pPr>
        <w:spacing w:after="0" w:line="27" w:lineRule="exact"/>
        <w:rPr>
          <w:sz w:val="20"/>
          <w:szCs w:val="20"/>
          <w:color w:val="auto"/>
        </w:rPr>
      </w:pPr>
    </w:p>
    <w:p>
      <w:pPr>
        <w:spacing w:after="0"/>
        <w:tabs>
          <w:tab w:leader="none" w:pos="4800" w:val="left"/>
          <w:tab w:leader="none" w:pos="8320" w:val="left"/>
        </w:tabs>
        <w:rPr>
          <w:sz w:val="20"/>
          <w:szCs w:val="20"/>
          <w:color w:val="auto"/>
        </w:rPr>
      </w:pPr>
      <w:r>
        <w:rPr>
          <w:rFonts w:ascii="Arial" w:cs="Arial" w:eastAsia="Arial" w:hAnsi="Arial"/>
          <w:sz w:val="13"/>
          <w:szCs w:val="13"/>
          <w:color w:val="auto"/>
        </w:rPr>
        <w:t>Bureau of Labor Statistics of the U.S. Department of Labor for (select one):</w:t>
      </w:r>
      <w:r>
        <w:rPr>
          <w:sz w:val="20"/>
          <w:szCs w:val="20"/>
          <w:color w:val="auto"/>
        </w:rPr>
        <w:tab/>
      </w:r>
      <w:r>
        <w:rPr>
          <w:rFonts w:ascii="Arial" w:cs="Arial" w:eastAsia="Arial" w:hAnsi="Arial"/>
          <w:sz w:val="13"/>
          <w:szCs w:val="13"/>
          <w:color w:val="auto"/>
        </w:rPr>
        <w:t>CPI W (Urban Wage Earners and Clerical Workers) or</w:t>
      </w:r>
      <w:r>
        <w:rPr>
          <w:sz w:val="20"/>
          <w:szCs w:val="20"/>
          <w:color w:val="auto"/>
        </w:rPr>
        <w:tab/>
      </w:r>
      <w:r>
        <w:rPr>
          <w:rFonts w:ascii="Arial" w:cs="Arial" w:eastAsia="Arial" w:hAnsi="Arial"/>
          <w:sz w:val="13"/>
          <w:szCs w:val="13"/>
          <w:color w:val="auto"/>
        </w:rPr>
        <w:t>CPI U (All Urban Consumers), for (Fill in Urban</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Area):__________, All Items (1982-1984 = 100), herein referred to as “CPI”.</w:t>
      </w:r>
    </w:p>
    <w:p>
      <w:pPr>
        <w:spacing w:after="0" w:line="149" w:lineRule="exact"/>
        <w:rPr>
          <w:sz w:val="20"/>
          <w:szCs w:val="20"/>
          <w:color w:val="auto"/>
        </w:rPr>
      </w:pPr>
    </w:p>
    <w:p>
      <w:pPr>
        <w:ind w:right="260" w:firstLine="778"/>
        <w:spacing w:after="0" w:line="262" w:lineRule="auto"/>
        <w:tabs>
          <w:tab w:leader="none" w:pos="1014" w:val="left"/>
        </w:tabs>
        <w:numPr>
          <w:ilvl w:val="0"/>
          <w:numId w:val="81"/>
        </w:numPr>
        <w:rPr>
          <w:rFonts w:ascii="Calibri" w:cs="Calibri" w:eastAsia="Calibri" w:hAnsi="Calibri"/>
          <w:sz w:val="13"/>
          <w:szCs w:val="13"/>
          <w:color w:val="auto"/>
        </w:rPr>
      </w:pPr>
      <w:r>
        <w:rPr>
          <w:rFonts w:ascii="Arial" w:cs="Arial" w:eastAsia="Arial" w:hAnsi="Arial"/>
          <w:sz w:val="13"/>
          <w:szCs w:val="13"/>
          <w:color w:val="auto"/>
        </w:rPr>
        <w:t>The monthly Base Rent payable in accordance with paragraph A.I.a. of this Addendum shall be calculated as follows: the Base Rent set forth in paragraph 1.5 of the attached Lease, shall be multiplied by a fraction the numerator of which shall be the CPI of the calendar month 2 months prior to the month(s) specified in paragraph A.I.a. above during which the adjustment is to take effect, and the denominator of which shall be the CPI of the calendar month which is 2</w:t>
      </w:r>
    </w:p>
    <w:p>
      <w:pPr>
        <w:spacing w:after="0" w:line="1" w:lineRule="exact"/>
        <w:rPr>
          <w:sz w:val="20"/>
          <w:szCs w:val="20"/>
          <w:color w:val="auto"/>
        </w:rPr>
      </w:pPr>
    </w:p>
    <w:p>
      <w:pPr>
        <w:spacing w:after="0"/>
        <w:tabs>
          <w:tab w:leader="none" w:pos="2100" w:val="left"/>
          <w:tab w:leader="none" w:pos="7260" w:val="left"/>
        </w:tabs>
        <w:rPr>
          <w:sz w:val="20"/>
          <w:szCs w:val="20"/>
          <w:color w:val="auto"/>
        </w:rPr>
      </w:pPr>
      <w:r>
        <w:rPr>
          <w:rFonts w:ascii="Arial" w:cs="Arial" w:eastAsia="Arial" w:hAnsi="Arial"/>
          <w:sz w:val="13"/>
          <w:szCs w:val="13"/>
          <w:color w:val="auto"/>
        </w:rPr>
        <w:t>months prior to (select one): the</w:t>
        <w:tab/>
        <w:t>first month of the term of this Lease as set forth in paragraph 1.3 (“Base Month”) or</w:t>
      </w:r>
      <w:r>
        <w:rPr>
          <w:sz w:val="20"/>
          <w:szCs w:val="20"/>
          <w:color w:val="auto"/>
        </w:rPr>
        <w:tab/>
      </w:r>
      <w:r>
        <w:rPr>
          <w:rFonts w:ascii="Arial" w:cs="Arial" w:eastAsia="Arial" w:hAnsi="Arial"/>
          <w:sz w:val="13"/>
          <w:szCs w:val="13"/>
          <w:color w:val="auto"/>
        </w:rPr>
        <w:t>(Fill in Other “Base Month”):</w:t>
      </w:r>
    </w:p>
    <w:p>
      <w:pPr>
        <w:spacing w:after="0" w:line="51" w:lineRule="exact"/>
        <w:rPr>
          <w:sz w:val="20"/>
          <w:szCs w:val="20"/>
          <w:color w:val="auto"/>
        </w:rPr>
      </w:pPr>
    </w:p>
    <w:p>
      <w:pPr>
        <w:ind w:left="700" w:right="20" w:hanging="392"/>
        <w:spacing w:after="0" w:line="283" w:lineRule="auto"/>
        <w:tabs>
          <w:tab w:leader="none" w:pos="398" w:val="left"/>
        </w:tabs>
        <w:numPr>
          <w:ilvl w:val="1"/>
          <w:numId w:val="82"/>
        </w:numPr>
        <w:rPr>
          <w:rFonts w:ascii="Arial" w:cs="Arial" w:eastAsia="Arial" w:hAnsi="Arial"/>
          <w:sz w:val="13"/>
          <w:szCs w:val="13"/>
          <w:color w:val="auto"/>
        </w:rPr>
      </w:pPr>
      <w:r>
        <w:rPr>
          <w:rFonts w:ascii="Arial" w:cs="Arial" w:eastAsia="Arial" w:hAnsi="Arial"/>
          <w:sz w:val="13"/>
          <w:szCs w:val="13"/>
          <w:color w:val="auto"/>
        </w:rPr>
        <w:t>The sum so calculated shall constitute the new monthly Base Rent hereunder, but in no event, shall any such new monthly Base Rent be less than the Base Rent payable for the month immediately preceding the Base Rent adjustment.</w:t>
      </w:r>
    </w:p>
    <w:p>
      <w:pPr>
        <w:spacing w:after="0" w:line="107" w:lineRule="exact"/>
        <w:rPr>
          <w:rFonts w:ascii="Arial" w:cs="Arial" w:eastAsia="Arial" w:hAnsi="Arial"/>
          <w:sz w:val="13"/>
          <w:szCs w:val="13"/>
          <w:color w:val="auto"/>
        </w:rPr>
      </w:pPr>
    </w:p>
    <w:p>
      <w:pPr>
        <w:ind w:right="40" w:firstLine="778"/>
        <w:spacing w:after="0" w:line="261" w:lineRule="auto"/>
        <w:tabs>
          <w:tab w:leader="none" w:pos="1014" w:val="left"/>
        </w:tabs>
        <w:numPr>
          <w:ilvl w:val="2"/>
          <w:numId w:val="82"/>
        </w:numPr>
        <w:rPr>
          <w:rFonts w:ascii="Calibri" w:cs="Calibri" w:eastAsia="Calibri" w:hAnsi="Calibri"/>
          <w:sz w:val="13"/>
          <w:szCs w:val="13"/>
          <w:color w:val="auto"/>
        </w:rPr>
      </w:pPr>
      <w:r>
        <w:rPr>
          <w:rFonts w:ascii="Arial" w:cs="Arial" w:eastAsia="Arial" w:hAnsi="Arial"/>
          <w:sz w:val="13"/>
          <w:szCs w:val="13"/>
          <w:color w:val="auto"/>
        </w:rPr>
        <w:t>In the event the compilation and/or publication of the CPI shall be transferred to any other governmental department or bureau or agency or shall be discontinued, then the index most nearly the same as the CPI shall be used to make such calculation. In the event that the Parties cannot agree on such alternative index, then the matter shall be submitted for decision to the American Arbitration Association in accordance with the then rules of said Association and the decision of the arbitrators shall be binding upon the parties. The cost of said Arbitration shall be paid equally by the Parties.</w:t>
      </w:r>
    </w:p>
    <w:p>
      <w:pPr>
        <w:spacing w:after="0" w:line="117" w:lineRule="exact"/>
        <w:rPr>
          <w:rFonts w:ascii="Calibri" w:cs="Calibri" w:eastAsia="Calibri" w:hAnsi="Calibri"/>
          <w:sz w:val="13"/>
          <w:szCs w:val="13"/>
          <w:color w:val="auto"/>
        </w:rPr>
      </w:pPr>
    </w:p>
    <w:p>
      <w:pPr>
        <w:spacing w:after="0"/>
        <w:rPr>
          <w:rFonts w:ascii="Calibri" w:cs="Calibri" w:eastAsia="Calibri" w:hAnsi="Calibri"/>
          <w:sz w:val="13"/>
          <w:szCs w:val="13"/>
          <w:color w:val="auto"/>
        </w:rPr>
      </w:pPr>
      <w:r>
        <w:rPr>
          <w:rFonts w:ascii="Arial" w:cs="Arial" w:eastAsia="Arial" w:hAnsi="Arial"/>
          <w:sz w:val="13"/>
          <w:szCs w:val="13"/>
          <w:b w:val="1"/>
          <w:bCs w:val="1"/>
          <w:color w:val="auto"/>
        </w:rPr>
        <w:t>II.Market Rental Value Adjustment(s) (MRV)</w:t>
      </w:r>
    </w:p>
    <w:p>
      <w:pPr>
        <w:spacing w:after="0" w:line="193" w:lineRule="exact"/>
        <w:rPr>
          <w:rFonts w:ascii="Calibri" w:cs="Calibri" w:eastAsia="Calibri" w:hAnsi="Calibri"/>
          <w:sz w:val="13"/>
          <w:szCs w:val="13"/>
          <w:color w:val="auto"/>
        </w:rPr>
      </w:pPr>
    </w:p>
    <w:p>
      <w:pPr>
        <w:ind w:left="1000" w:hanging="228"/>
        <w:spacing w:after="0"/>
        <w:tabs>
          <w:tab w:leader="none" w:pos="1000" w:val="left"/>
        </w:tabs>
        <w:numPr>
          <w:ilvl w:val="2"/>
          <w:numId w:val="83"/>
        </w:numPr>
        <w:rPr>
          <w:rFonts w:ascii="Arial" w:cs="Arial" w:eastAsia="Arial" w:hAnsi="Arial"/>
          <w:sz w:val="13"/>
          <w:szCs w:val="13"/>
          <w:color w:val="auto"/>
        </w:rPr>
      </w:pPr>
      <w:r>
        <w:rPr>
          <w:rFonts w:ascii="Arial" w:cs="Arial" w:eastAsia="Arial" w:hAnsi="Arial"/>
          <w:sz w:val="13"/>
          <w:szCs w:val="13"/>
          <w:color w:val="auto"/>
        </w:rPr>
        <w:t>On (Fill in MRV Adjustment Date(s):_____________ the Base Rent shall be adjusted to the “Market Rental Value” of the property as follows:</w:t>
      </w:r>
    </w:p>
    <w:p>
      <w:pPr>
        <w:spacing w:after="0" w:line="255" w:lineRule="exact"/>
        <w:rPr>
          <w:rFonts w:ascii="Arial" w:cs="Arial" w:eastAsia="Arial" w:hAnsi="Arial"/>
          <w:sz w:val="13"/>
          <w:szCs w:val="13"/>
          <w:color w:val="auto"/>
        </w:rPr>
      </w:pPr>
    </w:p>
    <w:p>
      <w:pPr>
        <w:ind w:right="620" w:firstLine="1131"/>
        <w:spacing w:after="0" w:line="288" w:lineRule="auto"/>
        <w:tabs>
          <w:tab w:leader="none" w:pos="1367" w:val="left"/>
        </w:tabs>
        <w:numPr>
          <w:ilvl w:val="3"/>
          <w:numId w:val="83"/>
        </w:numPr>
        <w:rPr>
          <w:rFonts w:ascii="Calibri" w:cs="Calibri" w:eastAsia="Calibri" w:hAnsi="Calibri"/>
          <w:sz w:val="13"/>
          <w:szCs w:val="13"/>
          <w:color w:val="auto"/>
        </w:rPr>
      </w:pPr>
      <w:r>
        <w:rPr>
          <w:rFonts w:ascii="Arial" w:cs="Arial" w:eastAsia="Arial" w:hAnsi="Arial"/>
          <w:sz w:val="13"/>
          <w:szCs w:val="13"/>
          <w:color w:val="auto"/>
        </w:rPr>
        <w:t>Four months prior to each Market Rental Value Adjustment Date described above, the Parties shall attempt to agree upon what the new MRV will be on the adjustment date. If agreement cannot be reached within thirty days, then:</w:t>
      </w:r>
    </w:p>
    <w:p>
      <w:pPr>
        <w:spacing w:after="0" w:line="8" w:lineRule="exact"/>
        <w:rPr>
          <w:rFonts w:ascii="Calibri" w:cs="Calibri" w:eastAsia="Calibri" w:hAnsi="Calibri"/>
          <w:sz w:val="13"/>
          <w:szCs w:val="13"/>
          <w:color w:val="auto"/>
        </w:rPr>
      </w:pPr>
    </w:p>
    <w:p>
      <w:pPr>
        <w:ind w:right="320" w:firstLine="1485"/>
        <w:spacing w:after="0" w:line="288" w:lineRule="auto"/>
        <w:tabs>
          <w:tab w:leader="none" w:pos="1721" w:val="left"/>
        </w:tabs>
        <w:numPr>
          <w:ilvl w:val="4"/>
          <w:numId w:val="83"/>
        </w:numPr>
        <w:rPr>
          <w:rFonts w:ascii="Calibri" w:cs="Calibri" w:eastAsia="Calibri" w:hAnsi="Calibri"/>
          <w:sz w:val="13"/>
          <w:szCs w:val="13"/>
          <w:color w:val="auto"/>
        </w:rPr>
      </w:pPr>
      <w:r>
        <w:rPr>
          <w:rFonts w:ascii="Arial" w:cs="Arial" w:eastAsia="Arial" w:hAnsi="Arial"/>
          <w:sz w:val="13"/>
          <w:szCs w:val="13"/>
          <w:color w:val="auto"/>
        </w:rPr>
        <w:t>Lessor and Lessee shall immediately appoint a mutually acceptable appraiser or broker to establish the new MRV within the next 30 days. Any associated costs will be split equally between the Parties, or</w:t>
      </w:r>
    </w:p>
    <w:p>
      <w:pPr>
        <w:spacing w:after="0" w:line="8" w:lineRule="exact"/>
        <w:rPr>
          <w:rFonts w:ascii="Calibri" w:cs="Calibri" w:eastAsia="Calibri" w:hAnsi="Calibri"/>
          <w:sz w:val="13"/>
          <w:szCs w:val="13"/>
          <w:color w:val="auto"/>
        </w:rPr>
      </w:pPr>
    </w:p>
    <w:p>
      <w:pPr>
        <w:ind w:right="440" w:firstLine="1485"/>
        <w:spacing w:after="0" w:line="288" w:lineRule="auto"/>
        <w:tabs>
          <w:tab w:leader="none" w:pos="1721" w:val="left"/>
        </w:tabs>
        <w:numPr>
          <w:ilvl w:val="4"/>
          <w:numId w:val="83"/>
        </w:numPr>
        <w:rPr>
          <w:rFonts w:ascii="Calibri" w:cs="Calibri" w:eastAsia="Calibri" w:hAnsi="Calibri"/>
          <w:sz w:val="13"/>
          <w:szCs w:val="13"/>
          <w:color w:val="auto"/>
        </w:rPr>
      </w:pPr>
      <w:r>
        <w:rPr>
          <w:rFonts w:ascii="Arial" w:cs="Arial" w:eastAsia="Arial" w:hAnsi="Arial"/>
          <w:sz w:val="13"/>
          <w:szCs w:val="13"/>
          <w:color w:val="auto"/>
        </w:rPr>
        <w:t>Both Lessor and Lessee shall each immediately make a reasonable determination of the MRV and submit such determination, in writing, to arbitration in accordance with the following provisions:</w:t>
      </w:r>
    </w:p>
    <w:p>
      <w:pPr>
        <w:spacing w:after="0" w:line="3" w:lineRule="exact"/>
        <w:rPr>
          <w:sz w:val="20"/>
          <w:szCs w:val="20"/>
          <w:color w:val="auto"/>
        </w:rPr>
      </w:pPr>
    </w:p>
    <w:p>
      <w:pPr>
        <w:ind w:left="700" w:right="120" w:hanging="692"/>
        <w:spacing w:after="0" w:line="292" w:lineRule="auto"/>
        <w:tabs>
          <w:tab w:leader="none" w:pos="330" w:val="left"/>
        </w:tabs>
        <w:numPr>
          <w:ilvl w:val="0"/>
          <w:numId w:val="84"/>
        </w:numPr>
        <w:rPr>
          <w:rFonts w:ascii="Calibri" w:cs="Calibri" w:eastAsia="Calibri" w:hAnsi="Calibri"/>
          <w:sz w:val="13"/>
          <w:szCs w:val="13"/>
          <w:color w:val="auto"/>
        </w:rPr>
      </w:pPr>
      <w:r>
        <w:rPr>
          <w:rFonts w:ascii="Arial" w:cs="Arial" w:eastAsia="Arial" w:hAnsi="Arial"/>
          <w:sz w:val="13"/>
          <w:szCs w:val="13"/>
          <w:color w:val="auto"/>
        </w:rPr>
        <w:t>Within 15 days thereafter, Lessor and Lessee shall each select an independent third party appraiser orbroker (“Consultant” - check one) of their choice to act as an arbitrator (Note: the parties may not select either of the Brokers that was involved in negotiating the Lease). The two arbitrators so appointed shall immediately select a third mutually acceptable Consultant to act as a third arbitrator.</w:t>
      </w:r>
    </w:p>
    <w:p>
      <w:pPr>
        <w:spacing w:after="0" w:line="180" w:lineRule="exact"/>
        <w:rPr>
          <w:rFonts w:ascii="Calibri" w:cs="Calibri" w:eastAsia="Calibri" w:hAnsi="Calibri"/>
          <w:sz w:val="13"/>
          <w:szCs w:val="13"/>
          <w:color w:val="auto"/>
        </w:rPr>
      </w:pPr>
    </w:p>
    <w:p>
      <w:pPr>
        <w:ind w:right="120" w:firstLine="1859"/>
        <w:spacing w:after="0" w:line="247" w:lineRule="auto"/>
        <w:tabs>
          <w:tab w:leader="none" w:pos="2095" w:val="left"/>
        </w:tabs>
        <w:numPr>
          <w:ilvl w:val="2"/>
          <w:numId w:val="84"/>
        </w:numPr>
        <w:rPr>
          <w:rFonts w:ascii="Calibri" w:cs="Calibri" w:eastAsia="Calibri" w:hAnsi="Calibri"/>
          <w:sz w:val="13"/>
          <w:szCs w:val="13"/>
          <w:color w:val="auto"/>
        </w:rPr>
      </w:pPr>
      <w:r>
        <w:rPr>
          <w:rFonts w:ascii="Arial" w:cs="Arial" w:eastAsia="Arial" w:hAnsi="Arial"/>
          <w:sz w:val="13"/>
          <w:szCs w:val="13"/>
          <w:color w:val="auto"/>
        </w:rPr>
        <w:t>The 3 arbitrators shall within 30 days of the appointment of the third arbitrator reach a decision as to what the actual MRV for the Premises is, and whether Lessor’s or Lessee’s submitted MRV is the closest thereto. The decision of a majority of the arbitrators shall be binding on the Parties. The submitted MRV which is determined to be the closest to the actual MRV shall thereafter be used by the Parties.</w:t>
      </w:r>
    </w:p>
    <w:p>
      <w:pPr>
        <w:spacing w:after="0" w:line="1" w:lineRule="exact"/>
        <w:rPr>
          <w:rFonts w:ascii="Calibri" w:cs="Calibri" w:eastAsia="Calibri" w:hAnsi="Calibri"/>
          <w:sz w:val="13"/>
          <w:szCs w:val="13"/>
          <w:color w:val="auto"/>
        </w:rPr>
      </w:pPr>
    </w:p>
    <w:p>
      <w:pPr>
        <w:ind w:right="100" w:firstLine="1859"/>
        <w:spacing w:after="0" w:line="252" w:lineRule="auto"/>
        <w:tabs>
          <w:tab w:leader="none" w:pos="2170" w:val="left"/>
        </w:tabs>
        <w:numPr>
          <w:ilvl w:val="2"/>
          <w:numId w:val="84"/>
        </w:numPr>
        <w:rPr>
          <w:rFonts w:ascii="Calibri" w:cs="Calibri" w:eastAsia="Calibri" w:hAnsi="Calibri"/>
          <w:sz w:val="13"/>
          <w:szCs w:val="13"/>
          <w:color w:val="auto"/>
        </w:rPr>
      </w:pPr>
      <w:r>
        <w:rPr>
          <w:rFonts w:ascii="Arial" w:cs="Arial" w:eastAsia="Arial" w:hAnsi="Arial"/>
          <w:sz w:val="13"/>
          <w:szCs w:val="13"/>
          <w:color w:val="auto"/>
        </w:rPr>
        <w:t>If either of the Parties fails to appoint an arbitrator within the specified 15 days, the arbitrator timely appointed by one of them shall reach a decision on his or her own, and said decision shall be binding on the Parties.</w:t>
      </w:r>
    </w:p>
    <w:p>
      <w:pPr>
        <w:ind w:left="1420" w:hanging="247"/>
        <w:spacing w:after="0"/>
        <w:tabs>
          <w:tab w:leader="none" w:pos="1420" w:val="left"/>
        </w:tabs>
        <w:numPr>
          <w:ilvl w:val="1"/>
          <w:numId w:val="84"/>
        </w:numPr>
        <w:rPr>
          <w:rFonts w:ascii="Calibri" w:cs="Calibri" w:eastAsia="Calibri" w:hAnsi="Calibri"/>
          <w:sz w:val="13"/>
          <w:szCs w:val="13"/>
          <w:color w:val="auto"/>
        </w:rPr>
      </w:pPr>
      <w:r>
        <w:rPr>
          <w:rFonts w:ascii="Arial" w:cs="Arial" w:eastAsia="Arial" w:hAnsi="Arial"/>
          <w:sz w:val="13"/>
          <w:szCs w:val="13"/>
          <w:color w:val="auto"/>
        </w:rPr>
        <w:t>The entire cost of such arbitration shall be paid by the party whose submitted MRV is not selected, i.e., the one that is NOT the</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closest to the actual MRV.</w:t>
      </w:r>
    </w:p>
    <w:p>
      <w:pPr>
        <w:spacing w:after="0" w:line="106" w:lineRule="exact"/>
        <w:rPr>
          <w:sz w:val="20"/>
          <w:szCs w:val="20"/>
          <w:color w:val="auto"/>
        </w:rPr>
      </w:pPr>
    </w:p>
    <w:p>
      <w:pPr>
        <w:ind w:left="1380" w:hanging="249"/>
        <w:spacing w:after="0"/>
        <w:tabs>
          <w:tab w:leader="none" w:pos="1380" w:val="left"/>
        </w:tabs>
        <w:numPr>
          <w:ilvl w:val="0"/>
          <w:numId w:val="85"/>
        </w:numPr>
        <w:rPr>
          <w:rFonts w:ascii="Calibri" w:cs="Calibri" w:eastAsia="Calibri" w:hAnsi="Calibri"/>
          <w:sz w:val="13"/>
          <w:szCs w:val="13"/>
          <w:color w:val="auto"/>
        </w:rPr>
      </w:pPr>
      <w:r>
        <w:rPr>
          <w:rFonts w:ascii="Arial" w:cs="Arial" w:eastAsia="Arial" w:hAnsi="Arial"/>
          <w:sz w:val="13"/>
          <w:szCs w:val="13"/>
          <w:color w:val="auto"/>
        </w:rPr>
        <w:t>When determining MRV, the Lessor, Lessee and Consultants shall consider the terms of comparable market transactions which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258445</wp:posOffset>
            </wp:positionV>
            <wp:extent cx="505460" cy="402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05460" cy="40259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395605</wp:posOffset>
            </wp:positionV>
            <wp:extent cx="539750" cy="3943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3975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00" w:type="dxa"/>
            <w:vAlign w:val="bottom"/>
          </w:tcPr>
          <w:p>
            <w:pPr>
              <w:ind w:left="20"/>
              <w:spacing w:after="0"/>
              <w:rPr>
                <w:sz w:val="20"/>
                <w:szCs w:val="20"/>
                <w:color w:val="auto"/>
              </w:rPr>
            </w:pPr>
            <w:r>
              <w:rPr>
                <w:rFonts w:ascii="Arial" w:cs="Arial" w:eastAsia="Arial" w:hAnsi="Arial"/>
                <w:sz w:val="18"/>
                <w:szCs w:val="18"/>
                <w:color w:val="auto"/>
              </w:rPr>
              <w:t>INITIALS</w:t>
            </w:r>
          </w:p>
        </w:tc>
        <w:tc>
          <w:tcPr>
            <w:tcW w:w="3160" w:type="dxa"/>
            <w:vAlign w:val="bottom"/>
          </w:tcPr>
          <w:p>
            <w:pPr>
              <w:spacing w:after="0"/>
              <w:rPr>
                <w:sz w:val="18"/>
                <w:szCs w:val="18"/>
                <w:color w:val="auto"/>
              </w:rPr>
            </w:pPr>
          </w:p>
        </w:tc>
        <w:tc>
          <w:tcPr>
            <w:tcW w:w="3780" w:type="dxa"/>
            <w:vAlign w:val="bottom"/>
          </w:tcPr>
          <w:p>
            <w:pPr>
              <w:spacing w:after="0"/>
              <w:rPr>
                <w:sz w:val="18"/>
                <w:szCs w:val="18"/>
                <w:color w:val="auto"/>
              </w:rPr>
            </w:pPr>
          </w:p>
        </w:tc>
      </w:tr>
      <w:tr>
        <w:trPr>
          <w:trHeight w:val="208"/>
        </w:trPr>
        <w:tc>
          <w:tcPr>
            <w:tcW w:w="4300" w:type="dxa"/>
            <w:vAlign w:val="bottom"/>
          </w:tcPr>
          <w:p>
            <w:pPr>
              <w:ind w:left="20"/>
              <w:spacing w:after="0"/>
              <w:rPr>
                <w:sz w:val="20"/>
                <w:szCs w:val="20"/>
                <w:color w:val="auto"/>
              </w:rPr>
            </w:pPr>
            <w:r>
              <w:rPr>
                <w:rFonts w:ascii="Arial" w:cs="Arial" w:eastAsia="Arial" w:hAnsi="Arial"/>
                <w:sz w:val="18"/>
                <w:szCs w:val="18"/>
                <w:color w:val="auto"/>
              </w:rPr>
              <w:t>© 2017 AIR CRE. All Rights Reserved.</w:t>
            </w:r>
          </w:p>
        </w:tc>
        <w:tc>
          <w:tcPr>
            <w:tcW w:w="3160" w:type="dxa"/>
            <w:vAlign w:val="bottom"/>
          </w:tcPr>
          <w:p>
            <w:pPr>
              <w:ind w:left="1200"/>
              <w:spacing w:after="0"/>
              <w:rPr>
                <w:sz w:val="20"/>
                <w:szCs w:val="20"/>
                <w:color w:val="auto"/>
              </w:rPr>
            </w:pPr>
            <w:r>
              <w:rPr>
                <w:rFonts w:ascii="Arial" w:cs="Arial" w:eastAsia="Arial" w:hAnsi="Arial"/>
                <w:sz w:val="18"/>
                <w:szCs w:val="18"/>
                <w:color w:val="auto"/>
              </w:rPr>
              <w:t>INITIALS</w:t>
            </w:r>
          </w:p>
        </w:tc>
        <w:tc>
          <w:tcPr>
            <w:tcW w:w="3780" w:type="dxa"/>
            <w:vAlign w:val="bottom"/>
          </w:tcPr>
          <w:p>
            <w:pPr>
              <w:jc w:val="right"/>
              <w:spacing w:after="0"/>
              <w:rPr>
                <w:sz w:val="20"/>
                <w:szCs w:val="20"/>
                <w:color w:val="auto"/>
              </w:rPr>
            </w:pPr>
            <w:r>
              <w:rPr>
                <w:rFonts w:ascii="Arial" w:cs="Arial" w:eastAsia="Arial" w:hAnsi="Arial"/>
                <w:sz w:val="18"/>
                <w:szCs w:val="18"/>
                <w:color w:val="auto"/>
              </w:rPr>
              <w:t>Last Edited: 4/4/2022 10:50 AM</w:t>
            </w:r>
          </w:p>
        </w:tc>
      </w:tr>
      <w:tr>
        <w:trPr>
          <w:trHeight w:val="247"/>
        </w:trPr>
        <w:tc>
          <w:tcPr>
            <w:tcW w:w="4300" w:type="dxa"/>
            <w:vAlign w:val="bottom"/>
          </w:tcPr>
          <w:p>
            <w:pPr>
              <w:ind w:left="20"/>
              <w:spacing w:after="0"/>
              <w:rPr>
                <w:sz w:val="20"/>
                <w:szCs w:val="20"/>
                <w:color w:val="auto"/>
              </w:rPr>
            </w:pPr>
            <w:r>
              <w:rPr>
                <w:rFonts w:ascii="Arial" w:cs="Arial" w:eastAsia="Arial" w:hAnsi="Arial"/>
                <w:sz w:val="18"/>
                <w:szCs w:val="18"/>
                <w:color w:val="auto"/>
              </w:rPr>
              <w:t>RA-7.03, Revised 10-22-2020</w:t>
            </w:r>
          </w:p>
        </w:tc>
        <w:tc>
          <w:tcPr>
            <w:tcW w:w="3160" w:type="dxa"/>
            <w:vAlign w:val="bottom"/>
          </w:tcPr>
          <w:p>
            <w:pPr>
              <w:spacing w:after="0"/>
              <w:rPr>
                <w:sz w:val="21"/>
                <w:szCs w:val="21"/>
                <w:color w:val="auto"/>
              </w:rPr>
            </w:pPr>
          </w:p>
        </w:tc>
        <w:tc>
          <w:tcPr>
            <w:tcW w:w="3780" w:type="dxa"/>
            <w:vAlign w:val="bottom"/>
          </w:tcPr>
          <w:p>
            <w:pPr>
              <w:jc w:val="right"/>
              <w:spacing w:after="0"/>
              <w:rPr>
                <w:sz w:val="20"/>
                <w:szCs w:val="20"/>
                <w:color w:val="auto"/>
              </w:rPr>
            </w:pPr>
            <w:r>
              <w:rPr>
                <w:rFonts w:ascii="Arial" w:cs="Arial" w:eastAsia="Arial" w:hAnsi="Arial"/>
                <w:sz w:val="18"/>
                <w:szCs w:val="18"/>
                <w:color w:val="auto"/>
              </w:rPr>
              <w:t>Page 1 of 2</w:t>
            </w:r>
          </w:p>
        </w:tc>
      </w:tr>
      <w:tr>
        <w:trPr>
          <w:trHeight w:val="138"/>
        </w:trPr>
        <w:tc>
          <w:tcPr>
            <w:tcW w:w="4300" w:type="dxa"/>
            <w:vAlign w:val="bottom"/>
            <w:tcBorders>
              <w:bottom w:val="single" w:sz="8" w:color="9A9A9A"/>
            </w:tcBorders>
          </w:tcPr>
          <w:p>
            <w:pPr>
              <w:spacing w:after="0"/>
              <w:rPr>
                <w:sz w:val="12"/>
                <w:szCs w:val="12"/>
                <w:color w:val="auto"/>
              </w:rPr>
            </w:pPr>
          </w:p>
        </w:tc>
        <w:tc>
          <w:tcPr>
            <w:tcW w:w="3160" w:type="dxa"/>
            <w:vAlign w:val="bottom"/>
            <w:tcBorders>
              <w:bottom w:val="single" w:sz="8" w:color="9A9A9A"/>
            </w:tcBorders>
          </w:tcPr>
          <w:p>
            <w:pPr>
              <w:spacing w:after="0"/>
              <w:rPr>
                <w:sz w:val="12"/>
                <w:szCs w:val="12"/>
                <w:color w:val="auto"/>
              </w:rPr>
            </w:pPr>
          </w:p>
        </w:tc>
        <w:tc>
          <w:tcPr>
            <w:tcW w:w="37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112" w:name="page113"/>
    <w:bookmarkEnd w:id="112"/>
    <w:p>
      <w:pPr>
        <w:spacing w:after="0"/>
        <w:rPr>
          <w:sz w:val="20"/>
          <w:szCs w:val="20"/>
          <w:color w:val="auto"/>
        </w:rPr>
      </w:pPr>
      <w:r>
        <w:rPr>
          <w:rFonts w:ascii="Arial" w:cs="Arial" w:eastAsia="Arial" w:hAnsi="Arial"/>
          <w:sz w:val="13"/>
          <w:szCs w:val="13"/>
          <w:color w:val="auto"/>
        </w:rPr>
        <w:t>include, but not be limited to, rent, rental adjustments, abated rent, lease term and financial condition of tenants.</w:t>
      </w:r>
    </w:p>
    <w:p>
      <w:pPr>
        <w:spacing w:after="0" w:line="120" w:lineRule="exact"/>
        <w:rPr>
          <w:sz w:val="20"/>
          <w:szCs w:val="20"/>
          <w:color w:val="auto"/>
        </w:rPr>
      </w:pPr>
    </w:p>
    <w:p>
      <w:pPr>
        <w:jc w:val="right"/>
        <w:ind w:right="1260"/>
        <w:spacing w:after="0"/>
        <w:rPr>
          <w:sz w:val="20"/>
          <w:szCs w:val="20"/>
          <w:color w:val="auto"/>
        </w:rPr>
      </w:pPr>
      <w:r>
        <w:rPr>
          <w:rFonts w:ascii="Times New Roman" w:cs="Times New Roman" w:eastAsia="Times New Roman" w:hAnsi="Times New Roman"/>
          <w:sz w:val="13"/>
          <w:szCs w:val="13"/>
          <w:color w:val="auto"/>
        </w:rPr>
        <w:t>3</w:t>
      </w:r>
      <w:r>
        <w:rPr>
          <w:rFonts w:ascii="Arial" w:cs="Arial" w:eastAsia="Arial" w:hAnsi="Arial"/>
          <w:sz w:val="13"/>
          <w:szCs w:val="13"/>
          <w:color w:val="auto"/>
        </w:rPr>
        <w:t>) Notwithstanding the foregoing, the new Base Rent shall not be less than the rent payable for the month immediately preceding the rent adjustment.</w:t>
      </w:r>
    </w:p>
    <w:p>
      <w:pPr>
        <w:spacing w:after="0" w:line="93" w:lineRule="exact"/>
        <w:rPr>
          <w:sz w:val="20"/>
          <w:szCs w:val="20"/>
          <w:color w:val="auto"/>
        </w:rPr>
      </w:pPr>
    </w:p>
    <w:p>
      <w:pPr>
        <w:ind w:left="1200" w:hanging="450"/>
        <w:spacing w:after="0"/>
        <w:tabs>
          <w:tab w:leader="none" w:pos="1200" w:val="left"/>
        </w:tabs>
        <w:numPr>
          <w:ilvl w:val="1"/>
          <w:numId w:val="86"/>
        </w:numPr>
        <w:rPr>
          <w:rFonts w:ascii="Arial" w:cs="Arial" w:eastAsia="Arial" w:hAnsi="Arial"/>
          <w:sz w:val="13"/>
          <w:szCs w:val="13"/>
          <w:color w:val="auto"/>
        </w:rPr>
      </w:pPr>
      <w:r>
        <w:rPr>
          <w:rFonts w:ascii="Arial" w:cs="Arial" w:eastAsia="Arial" w:hAnsi="Arial"/>
          <w:sz w:val="13"/>
          <w:szCs w:val="13"/>
          <w:color w:val="auto"/>
        </w:rPr>
        <w:t>Upon the establishment of each New Market Rental Value:</w:t>
      </w:r>
    </w:p>
    <w:p>
      <w:pPr>
        <w:spacing w:after="0" w:line="93" w:lineRule="exact"/>
        <w:rPr>
          <w:rFonts w:ascii="Arial" w:cs="Arial" w:eastAsia="Arial" w:hAnsi="Arial"/>
          <w:sz w:val="13"/>
          <w:szCs w:val="13"/>
          <w:color w:val="auto"/>
        </w:rPr>
      </w:pPr>
    </w:p>
    <w:p>
      <w:pPr>
        <w:ind w:left="1200" w:hanging="303"/>
        <w:spacing w:after="0"/>
        <w:tabs>
          <w:tab w:leader="none" w:pos="1200" w:val="left"/>
        </w:tabs>
        <w:numPr>
          <w:ilvl w:val="2"/>
          <w:numId w:val="86"/>
        </w:numPr>
        <w:rPr>
          <w:rFonts w:ascii="Calibri" w:cs="Calibri" w:eastAsia="Calibri" w:hAnsi="Calibri"/>
          <w:sz w:val="13"/>
          <w:szCs w:val="13"/>
          <w:color w:val="auto"/>
        </w:rPr>
      </w:pPr>
      <w:r>
        <w:rPr>
          <w:rFonts w:ascii="Arial" w:cs="Arial" w:eastAsia="Arial" w:hAnsi="Arial"/>
          <w:sz w:val="13"/>
          <w:szCs w:val="13"/>
          <w:color w:val="auto"/>
        </w:rPr>
        <w:t>the new MRV will become the new “Base Rent” for the purpose of calculating any further Adjustments, and</w:t>
      </w:r>
    </w:p>
    <w:p>
      <w:pPr>
        <w:spacing w:after="0" w:line="97" w:lineRule="exact"/>
        <w:rPr>
          <w:rFonts w:ascii="Calibri" w:cs="Calibri" w:eastAsia="Calibri" w:hAnsi="Calibri"/>
          <w:sz w:val="13"/>
          <w:szCs w:val="13"/>
          <w:color w:val="auto"/>
        </w:rPr>
      </w:pPr>
    </w:p>
    <w:p>
      <w:pPr>
        <w:ind w:left="1200" w:hanging="303"/>
        <w:spacing w:after="0"/>
        <w:tabs>
          <w:tab w:leader="none" w:pos="1200" w:val="left"/>
        </w:tabs>
        <w:numPr>
          <w:ilvl w:val="2"/>
          <w:numId w:val="86"/>
        </w:numPr>
        <w:rPr>
          <w:rFonts w:ascii="Calibri" w:cs="Calibri" w:eastAsia="Calibri" w:hAnsi="Calibri"/>
          <w:sz w:val="13"/>
          <w:szCs w:val="13"/>
          <w:color w:val="auto"/>
        </w:rPr>
      </w:pPr>
      <w:r>
        <w:rPr>
          <w:rFonts w:ascii="Arial" w:cs="Arial" w:eastAsia="Arial" w:hAnsi="Arial"/>
          <w:sz w:val="13"/>
          <w:szCs w:val="13"/>
          <w:color w:val="auto"/>
        </w:rPr>
        <w:t>the first month of each Market Rental Value term shall become the new ‘Base Month’ for the purpose of calculating any further Adjustments.</w:t>
      </w:r>
    </w:p>
    <w:p>
      <w:pPr>
        <w:spacing w:after="0" w:line="165" w:lineRule="exact"/>
        <w:rPr>
          <w:rFonts w:ascii="Calibri" w:cs="Calibri" w:eastAsia="Calibri" w:hAnsi="Calibri"/>
          <w:sz w:val="13"/>
          <w:szCs w:val="13"/>
          <w:color w:val="auto"/>
        </w:rPr>
      </w:pPr>
    </w:p>
    <w:p>
      <w:pPr>
        <w:ind w:left="220" w:hanging="212"/>
        <w:spacing w:after="0"/>
        <w:tabs>
          <w:tab w:leader="none" w:pos="220" w:val="left"/>
        </w:tabs>
        <w:numPr>
          <w:ilvl w:val="0"/>
          <w:numId w:val="86"/>
        </w:numPr>
        <w:rPr>
          <w:rFonts w:ascii="MS PGothic" w:cs="MS PGothic" w:eastAsia="MS PGothic" w:hAnsi="MS PGothic"/>
          <w:sz w:val="13"/>
          <w:szCs w:val="13"/>
          <w:color w:val="auto"/>
        </w:rPr>
      </w:pPr>
      <w:r>
        <w:rPr>
          <w:rFonts w:ascii="Arial" w:cs="Arial" w:eastAsia="Arial" w:hAnsi="Arial"/>
          <w:sz w:val="13"/>
          <w:szCs w:val="13"/>
          <w:color w:val="auto"/>
        </w:rPr>
        <w:t>III. Fixed Rental Adjustment(s) (FRA)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60" w:type="dxa"/>
            <w:vAlign w:val="bottom"/>
            <w:gridSpan w:val="4"/>
          </w:tcPr>
          <w:p>
            <w:pPr>
              <w:spacing w:after="0"/>
              <w:rPr>
                <w:sz w:val="20"/>
                <w:szCs w:val="20"/>
                <w:color w:val="auto"/>
              </w:rPr>
            </w:pPr>
            <w:r>
              <w:rPr>
                <w:rFonts w:ascii="Arial" w:cs="Arial" w:eastAsia="Arial" w:hAnsi="Arial"/>
                <w:sz w:val="13"/>
                <w:szCs w:val="13"/>
                <w:color w:val="auto"/>
              </w:rPr>
              <w:t>The Base Rent shall be increased to the following amounts on the dates set forth below:</w:t>
            </w:r>
          </w:p>
        </w:tc>
        <w:tc>
          <w:tcPr>
            <w:tcW w:w="1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300"/>
        </w:trPr>
        <w:tc>
          <w:tcPr>
            <w:tcW w:w="1460" w:type="dxa"/>
            <w:vAlign w:val="bottom"/>
          </w:tcPr>
          <w:p>
            <w:pPr>
              <w:spacing w:after="0"/>
              <w:rPr>
                <w:sz w:val="24"/>
                <w:szCs w:val="24"/>
                <w:color w:val="auto"/>
              </w:rPr>
            </w:pPr>
          </w:p>
        </w:tc>
        <w:tc>
          <w:tcPr>
            <w:tcW w:w="3900" w:type="dxa"/>
            <w:vAlign w:val="bottom"/>
            <w:gridSpan w:val="3"/>
          </w:tcPr>
          <w:p>
            <w:pPr>
              <w:jc w:val="center"/>
              <w:spacing w:after="0"/>
              <w:rPr>
                <w:sz w:val="20"/>
                <w:szCs w:val="20"/>
                <w:color w:val="auto"/>
              </w:rPr>
            </w:pPr>
            <w:r>
              <w:rPr>
                <w:rFonts w:ascii="Arial" w:cs="Arial" w:eastAsia="Arial" w:hAnsi="Arial"/>
                <w:sz w:val="13"/>
                <w:szCs w:val="13"/>
                <w:color w:val="auto"/>
              </w:rPr>
              <w:t>On (Fill in FRA Adjustment Date(s)):</w:t>
            </w:r>
          </w:p>
        </w:tc>
        <w:tc>
          <w:tcPr>
            <w:tcW w:w="1660" w:type="dxa"/>
            <w:vAlign w:val="bottom"/>
          </w:tcPr>
          <w:p>
            <w:pPr>
              <w:spacing w:after="0"/>
              <w:rPr>
                <w:sz w:val="24"/>
                <w:szCs w:val="24"/>
                <w:color w:val="auto"/>
              </w:rPr>
            </w:pPr>
          </w:p>
        </w:tc>
        <w:tc>
          <w:tcPr>
            <w:tcW w:w="1940" w:type="dxa"/>
            <w:vAlign w:val="bottom"/>
            <w:gridSpan w:val="3"/>
          </w:tcPr>
          <w:p>
            <w:pPr>
              <w:jc w:val="center"/>
              <w:spacing w:after="0"/>
              <w:rPr>
                <w:sz w:val="20"/>
                <w:szCs w:val="20"/>
                <w:color w:val="auto"/>
              </w:rPr>
            </w:pPr>
            <w:r>
              <w:rPr>
                <w:rFonts w:ascii="Arial" w:cs="Arial" w:eastAsia="Arial" w:hAnsi="Arial"/>
                <w:sz w:val="13"/>
                <w:szCs w:val="13"/>
                <w:color w:val="auto"/>
              </w:rPr>
              <w:t>The New Base Rent shall be:</w:t>
            </w:r>
          </w:p>
        </w:tc>
      </w:tr>
      <w:tr>
        <w:trPr>
          <w:trHeight w:val="211"/>
        </w:trPr>
        <w:tc>
          <w:tcPr>
            <w:tcW w:w="1460" w:type="dxa"/>
            <w:vAlign w:val="bottom"/>
          </w:tcPr>
          <w:p>
            <w:pPr>
              <w:spacing w:after="0"/>
              <w:rPr>
                <w:sz w:val="18"/>
                <w:szCs w:val="18"/>
                <w:color w:val="auto"/>
              </w:rPr>
            </w:pPr>
          </w:p>
        </w:tc>
        <w:tc>
          <w:tcPr>
            <w:tcW w:w="390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rPr>
              <w:t>April 1, 2023 - March 31, 2024</w:t>
            </w:r>
          </w:p>
        </w:tc>
        <w:tc>
          <w:tcPr>
            <w:tcW w:w="1660" w:type="dxa"/>
            <w:vAlign w:val="bottom"/>
          </w:tcPr>
          <w:p>
            <w:pPr>
              <w:spacing w:after="0"/>
              <w:rPr>
                <w:sz w:val="18"/>
                <w:szCs w:val="18"/>
                <w:color w:val="auto"/>
              </w:rPr>
            </w:pPr>
          </w:p>
        </w:tc>
        <w:tc>
          <w:tcPr>
            <w:tcW w:w="1660" w:type="dxa"/>
            <w:vAlign w:val="bottom"/>
            <w:tcBorders>
              <w:bottom w:val="single" w:sz="8" w:color="auto"/>
            </w:tcBorders>
            <w:gridSpan w:val="2"/>
          </w:tcPr>
          <w:p>
            <w:pPr>
              <w:jc w:val="center"/>
              <w:ind w:left="204"/>
              <w:spacing w:after="0"/>
              <w:rPr>
                <w:sz w:val="20"/>
                <w:szCs w:val="20"/>
                <w:color w:val="auto"/>
              </w:rPr>
            </w:pPr>
            <w:r>
              <w:rPr>
                <w:rFonts w:ascii="Arial" w:cs="Arial" w:eastAsia="Arial" w:hAnsi="Arial"/>
                <w:sz w:val="17"/>
                <w:szCs w:val="17"/>
                <w:color w:val="auto"/>
              </w:rPr>
              <w:t>$13,329.67</w:t>
            </w:r>
          </w:p>
        </w:tc>
        <w:tc>
          <w:tcPr>
            <w:tcW w:w="280" w:type="dxa"/>
            <w:vAlign w:val="bottom"/>
            <w:tcBorders>
              <w:bottom w:val="single" w:sz="8" w:color="auto"/>
            </w:tcBorders>
          </w:tcPr>
          <w:p>
            <w:pPr>
              <w:spacing w:after="0"/>
              <w:rPr>
                <w:sz w:val="18"/>
                <w:szCs w:val="18"/>
                <w:color w:val="auto"/>
              </w:rPr>
            </w:pPr>
          </w:p>
        </w:tc>
      </w:tr>
      <w:tr>
        <w:trPr>
          <w:trHeight w:val="237"/>
        </w:trPr>
        <w:tc>
          <w:tcPr>
            <w:tcW w:w="1460" w:type="dxa"/>
            <w:vAlign w:val="bottom"/>
          </w:tcPr>
          <w:p>
            <w:pPr>
              <w:spacing w:after="0"/>
              <w:rPr>
                <w:sz w:val="20"/>
                <w:szCs w:val="20"/>
                <w:color w:val="auto"/>
              </w:rPr>
            </w:pPr>
          </w:p>
        </w:tc>
        <w:tc>
          <w:tcPr>
            <w:tcW w:w="3900" w:type="dxa"/>
            <w:vAlign w:val="bottom"/>
            <w:gridSpan w:val="3"/>
          </w:tcPr>
          <w:p>
            <w:pPr>
              <w:jc w:val="center"/>
              <w:spacing w:after="0"/>
              <w:rPr>
                <w:sz w:val="20"/>
                <w:szCs w:val="20"/>
                <w:color w:val="auto"/>
              </w:rPr>
            </w:pPr>
            <w:r>
              <w:rPr>
                <w:rFonts w:ascii="Arial" w:cs="Arial" w:eastAsia="Arial" w:hAnsi="Arial"/>
                <w:sz w:val="17"/>
                <w:szCs w:val="17"/>
                <w:color w:val="auto"/>
              </w:rPr>
              <w:t>April 1, 2024 - March 31, 2025</w:t>
            </w:r>
          </w:p>
        </w:tc>
        <w:tc>
          <w:tcPr>
            <w:tcW w:w="3320" w:type="dxa"/>
            <w:vAlign w:val="bottom"/>
            <w:gridSpan w:val="3"/>
          </w:tcPr>
          <w:p>
            <w:pPr>
              <w:jc w:val="center"/>
              <w:ind w:left="1855"/>
              <w:spacing w:after="0"/>
              <w:rPr>
                <w:sz w:val="20"/>
                <w:szCs w:val="20"/>
                <w:color w:val="auto"/>
              </w:rPr>
            </w:pPr>
            <w:r>
              <w:rPr>
                <w:rFonts w:ascii="Arial" w:cs="Arial" w:eastAsia="Arial" w:hAnsi="Arial"/>
                <w:sz w:val="17"/>
                <w:szCs w:val="17"/>
                <w:color w:val="auto"/>
              </w:rPr>
              <w:t>$13,862.86</w:t>
            </w:r>
          </w:p>
        </w:tc>
        <w:tc>
          <w:tcPr>
            <w:tcW w:w="280" w:type="dxa"/>
            <w:vAlign w:val="bottom"/>
          </w:tcPr>
          <w:p>
            <w:pPr>
              <w:spacing w:after="0"/>
              <w:rPr>
                <w:sz w:val="20"/>
                <w:szCs w:val="20"/>
                <w:color w:val="auto"/>
              </w:rPr>
            </w:pPr>
          </w:p>
        </w:tc>
      </w:tr>
      <w:tr>
        <w:trPr>
          <w:trHeight w:val="237"/>
        </w:trPr>
        <w:tc>
          <w:tcPr>
            <w:tcW w:w="1460" w:type="dxa"/>
            <w:vAlign w:val="bottom"/>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60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6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r>
      <w:tr>
        <w:trPr>
          <w:trHeight w:val="237"/>
        </w:trPr>
        <w:tc>
          <w:tcPr>
            <w:tcW w:w="1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r>
      <w:tr>
        <w:trPr>
          <w:trHeight w:val="236"/>
        </w:trPr>
        <w:tc>
          <w:tcPr>
            <w:tcW w:w="1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r>
      <w:tr>
        <w:trPr>
          <w:trHeight w:val="237"/>
        </w:trPr>
        <w:tc>
          <w:tcPr>
            <w:tcW w:w="1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r>
      <w:tr>
        <w:trPr>
          <w:trHeight w:val="237"/>
        </w:trPr>
        <w:tc>
          <w:tcPr>
            <w:tcW w:w="1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r>
      <w:tr>
        <w:trPr>
          <w:trHeight w:val="237"/>
        </w:trPr>
        <w:tc>
          <w:tcPr>
            <w:tcW w:w="1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r>
      <w:tr>
        <w:trPr>
          <w:trHeight w:val="236"/>
        </w:trPr>
        <w:tc>
          <w:tcPr>
            <w:tcW w:w="1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r>
      <w:tr>
        <w:trPr>
          <w:trHeight w:val="237"/>
        </w:trPr>
        <w:tc>
          <w:tcPr>
            <w:tcW w:w="1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r>
    </w:tbl>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3"/>
          <w:szCs w:val="13"/>
          <w:color w:val="auto"/>
        </w:rPr>
        <w:t>B. NOTICE</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Unless specified otherwise herein, notice of any rental adjustments, other than Fixed Rental Adjustments, shall be made as specified in paragraph 23 of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 xml:space="preserve">AIR CRE * https://www.aircre.com * 213-687-8777 * </w:t>
      </w:r>
      <w:r>
        <w:rPr>
          <w:rFonts w:ascii="Calibri" w:cs="Calibri" w:eastAsia="Calibri" w:hAnsi="Calibri"/>
          <w:sz w:val="13"/>
          <w:szCs w:val="13"/>
          <w:b w:val="1"/>
          <w:bCs w:val="1"/>
          <w:color w:val="auto"/>
        </w:rPr>
        <w:t>Email</w:t>
      </w:r>
      <w:r>
        <w:rPr>
          <w:rFonts w:ascii="Times New Roman" w:cs="Times New Roman" w:eastAsia="Times New Roman" w:hAnsi="Times New Roman"/>
          <w:sz w:val="13"/>
          <w:szCs w:val="13"/>
          <w:b w:val="1"/>
          <w:bCs w:val="1"/>
          <w:color w:val="auto"/>
        </w:rPr>
        <w:t xml:space="preserve"> </w:t>
      </w:r>
      <w:r>
        <w:rPr>
          <w:rFonts w:ascii="Calibri" w:cs="Calibri" w:eastAsia="Calibri" w:hAnsi="Calibri"/>
          <w:sz w:val="17"/>
          <w:szCs w:val="17"/>
          <w:b w:val="1"/>
          <w:bCs w:val="1"/>
          <w:color w:val="auto"/>
        </w:rPr>
        <w: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NOTICE: No part of these works may be reproduced in any form without permission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682625</wp:posOffset>
            </wp:positionV>
            <wp:extent cx="505460" cy="40322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05460" cy="40322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819785</wp:posOffset>
            </wp:positionV>
            <wp:extent cx="539750" cy="3943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3975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00" w:type="dxa"/>
            <w:vAlign w:val="bottom"/>
          </w:tcPr>
          <w:p>
            <w:pPr>
              <w:ind w:left="20"/>
              <w:spacing w:after="0"/>
              <w:rPr>
                <w:sz w:val="20"/>
                <w:szCs w:val="20"/>
                <w:color w:val="auto"/>
              </w:rPr>
            </w:pPr>
            <w:r>
              <w:rPr>
                <w:rFonts w:ascii="Arial" w:cs="Arial" w:eastAsia="Arial" w:hAnsi="Arial"/>
                <w:sz w:val="18"/>
                <w:szCs w:val="18"/>
                <w:color w:val="auto"/>
              </w:rPr>
              <w:t>INITIALS</w:t>
            </w:r>
          </w:p>
        </w:tc>
        <w:tc>
          <w:tcPr>
            <w:tcW w:w="3160" w:type="dxa"/>
            <w:vAlign w:val="bottom"/>
          </w:tcPr>
          <w:p>
            <w:pPr>
              <w:spacing w:after="0"/>
              <w:rPr>
                <w:sz w:val="18"/>
                <w:szCs w:val="18"/>
                <w:color w:val="auto"/>
              </w:rPr>
            </w:pPr>
          </w:p>
        </w:tc>
        <w:tc>
          <w:tcPr>
            <w:tcW w:w="3780" w:type="dxa"/>
            <w:vAlign w:val="bottom"/>
          </w:tcPr>
          <w:p>
            <w:pPr>
              <w:spacing w:after="0"/>
              <w:rPr>
                <w:sz w:val="18"/>
                <w:szCs w:val="18"/>
                <w:color w:val="auto"/>
              </w:rPr>
            </w:pPr>
          </w:p>
        </w:tc>
      </w:tr>
      <w:tr>
        <w:trPr>
          <w:trHeight w:val="208"/>
        </w:trPr>
        <w:tc>
          <w:tcPr>
            <w:tcW w:w="4300" w:type="dxa"/>
            <w:vAlign w:val="bottom"/>
          </w:tcPr>
          <w:p>
            <w:pPr>
              <w:ind w:left="20"/>
              <w:spacing w:after="0"/>
              <w:rPr>
                <w:sz w:val="20"/>
                <w:szCs w:val="20"/>
                <w:color w:val="auto"/>
              </w:rPr>
            </w:pPr>
            <w:r>
              <w:rPr>
                <w:rFonts w:ascii="Arial" w:cs="Arial" w:eastAsia="Arial" w:hAnsi="Arial"/>
                <w:sz w:val="18"/>
                <w:szCs w:val="18"/>
                <w:color w:val="auto"/>
              </w:rPr>
              <w:t>© 2017 AIR CRE. All Rights Reserved.</w:t>
            </w:r>
          </w:p>
        </w:tc>
        <w:tc>
          <w:tcPr>
            <w:tcW w:w="3160" w:type="dxa"/>
            <w:vAlign w:val="bottom"/>
          </w:tcPr>
          <w:p>
            <w:pPr>
              <w:ind w:left="1200"/>
              <w:spacing w:after="0"/>
              <w:rPr>
                <w:sz w:val="20"/>
                <w:szCs w:val="20"/>
                <w:color w:val="auto"/>
              </w:rPr>
            </w:pPr>
            <w:r>
              <w:rPr>
                <w:rFonts w:ascii="Arial" w:cs="Arial" w:eastAsia="Arial" w:hAnsi="Arial"/>
                <w:sz w:val="18"/>
                <w:szCs w:val="18"/>
                <w:color w:val="auto"/>
              </w:rPr>
              <w:t>INITIALS</w:t>
            </w:r>
          </w:p>
        </w:tc>
        <w:tc>
          <w:tcPr>
            <w:tcW w:w="3780" w:type="dxa"/>
            <w:vAlign w:val="bottom"/>
          </w:tcPr>
          <w:p>
            <w:pPr>
              <w:jc w:val="right"/>
              <w:spacing w:after="0"/>
              <w:rPr>
                <w:sz w:val="20"/>
                <w:szCs w:val="20"/>
                <w:color w:val="auto"/>
              </w:rPr>
            </w:pPr>
            <w:r>
              <w:rPr>
                <w:rFonts w:ascii="Arial" w:cs="Arial" w:eastAsia="Arial" w:hAnsi="Arial"/>
                <w:sz w:val="18"/>
                <w:szCs w:val="18"/>
                <w:color w:val="auto"/>
              </w:rPr>
              <w:t>Last Edited: 4/4/2022 10:50 AM</w:t>
            </w:r>
          </w:p>
        </w:tc>
      </w:tr>
      <w:tr>
        <w:trPr>
          <w:trHeight w:val="247"/>
        </w:trPr>
        <w:tc>
          <w:tcPr>
            <w:tcW w:w="4300" w:type="dxa"/>
            <w:vAlign w:val="bottom"/>
          </w:tcPr>
          <w:p>
            <w:pPr>
              <w:ind w:left="20"/>
              <w:spacing w:after="0"/>
              <w:rPr>
                <w:sz w:val="20"/>
                <w:szCs w:val="20"/>
                <w:color w:val="auto"/>
              </w:rPr>
            </w:pPr>
            <w:r>
              <w:rPr>
                <w:rFonts w:ascii="Arial" w:cs="Arial" w:eastAsia="Arial" w:hAnsi="Arial"/>
                <w:sz w:val="18"/>
                <w:szCs w:val="18"/>
                <w:color w:val="auto"/>
              </w:rPr>
              <w:t>RA-7.03, Revised 10-22-2020</w:t>
            </w:r>
          </w:p>
        </w:tc>
        <w:tc>
          <w:tcPr>
            <w:tcW w:w="3160" w:type="dxa"/>
            <w:vAlign w:val="bottom"/>
          </w:tcPr>
          <w:p>
            <w:pPr>
              <w:spacing w:after="0"/>
              <w:rPr>
                <w:sz w:val="21"/>
                <w:szCs w:val="21"/>
                <w:color w:val="auto"/>
              </w:rPr>
            </w:pPr>
          </w:p>
        </w:tc>
        <w:tc>
          <w:tcPr>
            <w:tcW w:w="3780" w:type="dxa"/>
            <w:vAlign w:val="bottom"/>
          </w:tcPr>
          <w:p>
            <w:pPr>
              <w:jc w:val="right"/>
              <w:spacing w:after="0"/>
              <w:rPr>
                <w:sz w:val="20"/>
                <w:szCs w:val="20"/>
                <w:color w:val="auto"/>
              </w:rPr>
            </w:pPr>
            <w:r>
              <w:rPr>
                <w:rFonts w:ascii="Arial" w:cs="Arial" w:eastAsia="Arial" w:hAnsi="Arial"/>
                <w:sz w:val="18"/>
                <w:szCs w:val="18"/>
                <w:color w:val="auto"/>
              </w:rPr>
              <w:t>Page 2 of 2</w:t>
            </w:r>
          </w:p>
        </w:tc>
      </w:tr>
      <w:tr>
        <w:trPr>
          <w:trHeight w:val="138"/>
        </w:trPr>
        <w:tc>
          <w:tcPr>
            <w:tcW w:w="4300" w:type="dxa"/>
            <w:vAlign w:val="bottom"/>
            <w:tcBorders>
              <w:bottom w:val="single" w:sz="8" w:color="9A9A9A"/>
            </w:tcBorders>
          </w:tcPr>
          <w:p>
            <w:pPr>
              <w:spacing w:after="0"/>
              <w:rPr>
                <w:sz w:val="12"/>
                <w:szCs w:val="12"/>
                <w:color w:val="auto"/>
              </w:rPr>
            </w:pPr>
          </w:p>
        </w:tc>
        <w:tc>
          <w:tcPr>
            <w:tcW w:w="3160" w:type="dxa"/>
            <w:vAlign w:val="bottom"/>
            <w:tcBorders>
              <w:bottom w:val="single" w:sz="8" w:color="9A9A9A"/>
            </w:tcBorders>
          </w:tcPr>
          <w:p>
            <w:pPr>
              <w:spacing w:after="0"/>
              <w:rPr>
                <w:sz w:val="12"/>
                <w:szCs w:val="12"/>
                <w:color w:val="auto"/>
              </w:rPr>
            </w:pPr>
          </w:p>
        </w:tc>
        <w:tc>
          <w:tcPr>
            <w:tcW w:w="37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8" w:right="339" w:bottom="1440" w:gutter="0" w:footer="0" w:header="0"/>
        </w:sectPr>
      </w:pPr>
    </w:p>
    <w:bookmarkStart w:id="113" w:name="page114"/>
    <w:bookmarkEnd w:id="113"/>
    <w:p>
      <w:pPr>
        <w:spacing w:after="0" w:line="273"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ARBITRATION AGREEMENT</w:t>
      </w:r>
    </w:p>
    <w:p>
      <w:pPr>
        <w:spacing w:after="0" w:line="54"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STANDARD LEASE ADDENDUM</w:t>
      </w:r>
    </w:p>
    <w:p>
      <w:pPr>
        <w:spacing w:after="0" w:line="124" w:lineRule="exact"/>
        <w:rPr>
          <w:sz w:val="20"/>
          <w:szCs w:val="20"/>
          <w:color w:val="auto"/>
        </w:rPr>
      </w:pPr>
    </w:p>
    <w:p>
      <w:pPr>
        <w:ind w:left="1520"/>
        <w:spacing w:after="0"/>
        <w:tabs>
          <w:tab w:leader="none" w:pos="2360" w:val="left"/>
        </w:tabs>
        <w:rPr>
          <w:sz w:val="20"/>
          <w:szCs w:val="20"/>
          <w:color w:val="auto"/>
        </w:rPr>
      </w:pPr>
      <w:r>
        <w:rPr>
          <w:rFonts w:ascii="Arial" w:cs="Arial" w:eastAsia="Arial" w:hAnsi="Arial"/>
          <w:sz w:val="16"/>
          <w:szCs w:val="16"/>
          <w:b w:val="1"/>
          <w:bCs w:val="1"/>
          <w:color w:val="auto"/>
        </w:rPr>
        <w:t>Dated:</w:t>
      </w:r>
      <w:r>
        <w:rPr>
          <w:sz w:val="20"/>
          <w:szCs w:val="20"/>
          <w:color w:val="auto"/>
        </w:rPr>
        <w:tab/>
      </w:r>
      <w:r>
        <w:rPr>
          <w:rFonts w:ascii="Arial" w:cs="Arial" w:eastAsia="Arial" w:hAnsi="Arial"/>
          <w:sz w:val="16"/>
          <w:szCs w:val="16"/>
          <w:i w:val="1"/>
          <w:iCs w:val="1"/>
          <w:color w:val="auto"/>
        </w:rPr>
        <w:t>4/4/22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1425575</wp:posOffset>
            </wp:positionH>
            <wp:positionV relativeFrom="paragraph">
              <wp:posOffset>-4445</wp:posOffset>
            </wp:positionV>
            <wp:extent cx="37147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71475" cy="8255"/>
                    </a:xfrm>
                    <a:prstGeom prst="rect">
                      <a:avLst/>
                    </a:prstGeom>
                    <a:noFill/>
                  </pic:spPr>
                </pic:pic>
              </a:graphicData>
            </a:graphic>
          </wp:anchor>
        </w:drawing>
      </w:r>
    </w:p>
    <w:p>
      <w:pPr>
        <w:spacing w:after="0" w:line="53" w:lineRule="exact"/>
        <w:rPr>
          <w:sz w:val="20"/>
          <w:szCs w:val="20"/>
          <w:color w:val="auto"/>
        </w:rPr>
      </w:pPr>
    </w:p>
    <w:p>
      <w:pPr>
        <w:ind w:left="1520"/>
        <w:spacing w:after="0"/>
        <w:rPr>
          <w:sz w:val="20"/>
          <w:szCs w:val="20"/>
          <w:color w:val="auto"/>
        </w:rPr>
      </w:pPr>
      <w:r>
        <w:rPr>
          <w:rFonts w:ascii="Arial" w:cs="Arial" w:eastAsia="Arial" w:hAnsi="Arial"/>
          <w:sz w:val="16"/>
          <w:szCs w:val="16"/>
          <w:b w:val="1"/>
          <w:bCs w:val="1"/>
          <w:color w:val="auto"/>
        </w:rPr>
        <w:t>By and Between</w:t>
      </w:r>
    </w:p>
    <w:p>
      <w:pPr>
        <w:spacing w:after="0" w:line="37" w:lineRule="exact"/>
        <w:rPr>
          <w:sz w:val="20"/>
          <w:szCs w:val="20"/>
          <w:color w:val="auto"/>
        </w:rPr>
      </w:pPr>
    </w:p>
    <w:p>
      <w:pPr>
        <w:ind w:left="1720"/>
        <w:spacing w:after="0"/>
        <w:tabs>
          <w:tab w:leader="none" w:pos="2840" w:val="left"/>
        </w:tabs>
        <w:rPr>
          <w:sz w:val="20"/>
          <w:szCs w:val="20"/>
          <w:color w:val="auto"/>
        </w:rPr>
      </w:pPr>
      <w:r>
        <w:rPr>
          <w:rFonts w:ascii="Arial" w:cs="Arial" w:eastAsia="Arial" w:hAnsi="Arial"/>
          <w:sz w:val="19"/>
          <w:szCs w:val="19"/>
          <w:b w:val="1"/>
          <w:bCs w:val="1"/>
          <w:color w:val="FF0000"/>
        </w:rPr>
        <w:t>Sub</w:t>
      </w:r>
      <w:r>
        <w:rPr>
          <w:rFonts w:ascii="Arial" w:cs="Arial" w:eastAsia="Arial" w:hAnsi="Arial"/>
          <w:sz w:val="17"/>
          <w:szCs w:val="17"/>
          <w:b w:val="1"/>
          <w:bCs w:val="1"/>
          <w:color w:val="000000"/>
        </w:rPr>
        <w:t>lessor:</w:t>
      </w:r>
      <w:r>
        <w:rPr>
          <w:sz w:val="20"/>
          <w:szCs w:val="20"/>
          <w:color w:val="auto"/>
        </w:rPr>
        <w:tab/>
      </w:r>
      <w:r>
        <w:rPr>
          <w:rFonts w:ascii="Arial" w:cs="Arial" w:eastAsia="Arial" w:hAnsi="Arial"/>
          <w:sz w:val="17"/>
          <w:szCs w:val="17"/>
          <w:i w:val="1"/>
          <w:iCs w:val="1"/>
          <w:color w:val="auto"/>
        </w:rPr>
        <w:t xml:space="preserve">RxSight, </w:t>
      </w:r>
      <w:r>
        <w:rPr>
          <w:rFonts w:ascii="Arial" w:cs="Arial" w:eastAsia="Arial" w:hAnsi="Arial"/>
          <w:sz w:val="17"/>
          <w:szCs w:val="17"/>
          <w:color w:val="auto"/>
        </w:rPr>
        <w:t>I n c.,</w:t>
      </w:r>
      <w:r>
        <w:rPr>
          <w:rFonts w:ascii="Arial" w:cs="Arial" w:eastAsia="Arial" w:hAnsi="Arial"/>
          <w:sz w:val="17"/>
          <w:szCs w:val="17"/>
          <w:i w:val="1"/>
          <w:iCs w:val="1"/>
          <w:color w:val="auto"/>
        </w:rPr>
        <w:t xml:space="preserve"> (Lessor</w:t>
      </w:r>
      <w:r>
        <w:rPr>
          <w:rFonts w:ascii="Arial" w:cs="Arial" w:eastAsia="Arial" w:hAnsi="Arial"/>
          <w:sz w:val="8"/>
          <w:szCs w:val="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1671320</wp:posOffset>
            </wp:positionH>
            <wp:positionV relativeFrom="paragraph">
              <wp:posOffset>-20955</wp:posOffset>
            </wp:positionV>
            <wp:extent cx="131889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318895" cy="8890"/>
                    </a:xfrm>
                    <a:prstGeom prst="rect">
                      <a:avLst/>
                    </a:prstGeom>
                    <a:noFill/>
                  </pic:spPr>
                </pic:pic>
              </a:graphicData>
            </a:graphic>
          </wp:anchor>
        </w:drawing>
      </w:r>
    </w:p>
    <w:p>
      <w:pPr>
        <w:spacing w:after="0" w:line="3" w:lineRule="exact"/>
        <w:rPr>
          <w:sz w:val="20"/>
          <w:szCs w:val="20"/>
          <w:color w:val="auto"/>
        </w:rPr>
      </w:pPr>
    </w:p>
    <w:p>
      <w:pPr>
        <w:ind w:left="1720"/>
        <w:spacing w:after="0"/>
        <w:tabs>
          <w:tab w:leader="none" w:pos="2840" w:val="left"/>
        </w:tabs>
        <w:rPr>
          <w:sz w:val="20"/>
          <w:szCs w:val="20"/>
          <w:color w:val="auto"/>
        </w:rPr>
      </w:pPr>
      <w:r>
        <w:rPr>
          <w:rFonts w:ascii="Arial" w:cs="Arial" w:eastAsia="Arial" w:hAnsi="Arial"/>
          <w:sz w:val="19"/>
          <w:szCs w:val="19"/>
          <w:b w:val="1"/>
          <w:bCs w:val="1"/>
          <w:color w:val="FF0000"/>
        </w:rPr>
        <w:t>Sub</w:t>
      </w:r>
      <w:r>
        <w:rPr>
          <w:rFonts w:ascii="Arial" w:cs="Arial" w:eastAsia="Arial" w:hAnsi="Arial"/>
          <w:sz w:val="17"/>
          <w:szCs w:val="17"/>
          <w:b w:val="1"/>
          <w:bCs w:val="1"/>
          <w:color w:val="000000"/>
        </w:rPr>
        <w:t>lessee:</w:t>
      </w:r>
      <w:r>
        <w:rPr>
          <w:sz w:val="20"/>
          <w:szCs w:val="20"/>
          <w:color w:val="auto"/>
        </w:rPr>
        <w:tab/>
      </w:r>
      <w:r>
        <w:rPr>
          <w:rFonts w:ascii="Arial" w:cs="Arial" w:eastAsia="Arial" w:hAnsi="Arial"/>
          <w:sz w:val="17"/>
          <w:szCs w:val="17"/>
          <w:i w:val="1"/>
          <w:iCs w:val="1"/>
          <w:u w:val="single" w:color="auto"/>
          <w:color w:val="auto"/>
        </w:rPr>
        <w:t xml:space="preserve">Compass </w:t>
      </w:r>
      <w:r>
        <w:rPr>
          <w:rFonts w:ascii="Arial" w:cs="Arial" w:eastAsia="Arial" w:hAnsi="Arial"/>
          <w:sz w:val="17"/>
          <w:szCs w:val="17"/>
          <w:u w:val="single" w:color="auto"/>
          <w:color w:val="auto"/>
        </w:rPr>
        <w:t>Bible</w:t>
      </w:r>
      <w:r>
        <w:rPr>
          <w:rFonts w:ascii="Arial" w:cs="Arial" w:eastAsia="Arial" w:hAnsi="Arial"/>
          <w:sz w:val="17"/>
          <w:szCs w:val="17"/>
          <w:i w:val="1"/>
          <w:iCs w:val="1"/>
          <w:u w:val="single" w:color="auto"/>
          <w:color w:val="auto"/>
        </w:rPr>
        <w:t xml:space="preserve"> Church </w:t>
      </w:r>
      <w:r>
        <w:rPr>
          <w:rFonts w:ascii="Arial" w:cs="Arial" w:eastAsia="Arial" w:hAnsi="Arial"/>
          <w:sz w:val="17"/>
          <w:szCs w:val="17"/>
          <w:u w:val="single" w:color="auto"/>
          <w:color w:val="auto"/>
        </w:rPr>
        <w:t>(Lessee)</w:t>
      </w:r>
    </w:p>
    <w:p>
      <w:pPr>
        <w:spacing w:after="0" w:line="27" w:lineRule="exact"/>
        <w:rPr>
          <w:sz w:val="20"/>
          <w:szCs w:val="20"/>
          <w:color w:val="auto"/>
        </w:rPr>
      </w:pPr>
    </w:p>
    <w:p>
      <w:pPr>
        <w:ind w:left="1520"/>
        <w:spacing w:after="0"/>
        <w:rPr>
          <w:sz w:val="20"/>
          <w:szCs w:val="20"/>
          <w:color w:val="auto"/>
        </w:rPr>
      </w:pPr>
      <w:r>
        <w:rPr>
          <w:rFonts w:ascii="Arial" w:cs="Arial" w:eastAsia="Arial" w:hAnsi="Arial"/>
          <w:sz w:val="16"/>
          <w:szCs w:val="16"/>
          <w:b w:val="1"/>
          <w:bCs w:val="1"/>
          <w:color w:val="auto"/>
        </w:rPr>
        <w:t xml:space="preserve">Property Address: </w:t>
      </w:r>
      <w:r>
        <w:rPr>
          <w:rFonts w:ascii="Arial" w:cs="Arial" w:eastAsia="Arial" w:hAnsi="Arial"/>
          <w:sz w:val="17"/>
          <w:szCs w:val="17"/>
          <w:color w:val="auto"/>
        </w:rPr>
        <w:t>5</w:t>
      </w:r>
      <w:r>
        <w:rPr>
          <w:rFonts w:ascii="Arial" w:cs="Arial" w:eastAsia="Arial" w:hAnsi="Arial"/>
          <w:sz w:val="16"/>
          <w:szCs w:val="16"/>
          <w:b w:val="1"/>
          <w:bCs w:val="1"/>
          <w:color w:val="auto"/>
        </w:rPr>
        <w:t xml:space="preserve"> </w:t>
      </w:r>
      <w:r>
        <w:rPr>
          <w:rFonts w:ascii="Arial" w:cs="Arial" w:eastAsia="Arial" w:hAnsi="Arial"/>
          <w:sz w:val="17"/>
          <w:szCs w:val="17"/>
          <w:i w:val="1"/>
          <w:iCs w:val="1"/>
          <w:color w:val="auto"/>
        </w:rPr>
        <w:t>Columbia,</w:t>
      </w:r>
      <w:r>
        <w:rPr>
          <w:rFonts w:ascii="Arial" w:cs="Arial" w:eastAsia="Arial" w:hAnsi="Arial"/>
          <w:sz w:val="16"/>
          <w:szCs w:val="16"/>
          <w:b w:val="1"/>
          <w:bCs w:val="1"/>
          <w:color w:val="auto"/>
        </w:rPr>
        <w:t xml:space="preserve"> </w:t>
      </w:r>
      <w:r>
        <w:rPr>
          <w:rFonts w:ascii="Arial" w:cs="Arial" w:eastAsia="Arial" w:hAnsi="Arial"/>
          <w:sz w:val="17"/>
          <w:szCs w:val="17"/>
          <w:color w:val="auto"/>
        </w:rPr>
        <w:t>Aliso</w:t>
      </w:r>
      <w:r>
        <w:rPr>
          <w:rFonts w:ascii="Arial" w:cs="Arial" w:eastAsia="Arial" w:hAnsi="Arial"/>
          <w:sz w:val="16"/>
          <w:szCs w:val="16"/>
          <w:b w:val="1"/>
          <w:bCs w:val="1"/>
          <w:color w:val="auto"/>
        </w:rPr>
        <w:t xml:space="preserve"> </w:t>
      </w:r>
      <w:r>
        <w:rPr>
          <w:rFonts w:ascii="Arial" w:cs="Arial" w:eastAsia="Arial" w:hAnsi="Arial"/>
          <w:sz w:val="17"/>
          <w:szCs w:val="17"/>
          <w:i w:val="1"/>
          <w:iCs w:val="1"/>
          <w:color w:val="auto"/>
        </w:rPr>
        <w:t>Viejo, 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1880235</wp:posOffset>
            </wp:positionH>
            <wp:positionV relativeFrom="paragraph">
              <wp:posOffset>-6350</wp:posOffset>
            </wp:positionV>
            <wp:extent cx="149606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496060" cy="8890"/>
                    </a:xfrm>
                    <a:prstGeom prst="rect">
                      <a:avLst/>
                    </a:prstGeom>
                    <a:noFill/>
                  </pic:spPr>
                </pic:pic>
              </a:graphicData>
            </a:graphic>
          </wp:anchor>
        </w:drawing>
      </w:r>
    </w:p>
    <w:p>
      <w:pPr>
        <w:ind w:left="3980"/>
        <w:spacing w:after="0"/>
        <w:rPr>
          <w:sz w:val="20"/>
          <w:szCs w:val="20"/>
          <w:color w:val="auto"/>
        </w:rPr>
      </w:pPr>
      <w:r>
        <w:rPr>
          <w:rFonts w:ascii="Arial" w:cs="Arial" w:eastAsia="Arial" w:hAnsi="Arial"/>
          <w:sz w:val="13"/>
          <w:szCs w:val="13"/>
          <w:color w:val="auto"/>
        </w:rPr>
        <w:t>(street address, city, state, zip)</w:t>
      </w:r>
    </w:p>
    <w:p>
      <w:pPr>
        <w:spacing w:after="0" w:line="149"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13"/>
          <w:szCs w:val="13"/>
          <w:color w:val="auto"/>
        </w:rPr>
        <w:t>Paragraph:</w:t>
      </w:r>
      <w:r>
        <w:rPr>
          <w:sz w:val="20"/>
          <w:szCs w:val="20"/>
          <w:color w:val="auto"/>
        </w:rPr>
        <w:tab/>
      </w: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886460</wp:posOffset>
            </wp:positionH>
            <wp:positionV relativeFrom="paragraph">
              <wp:posOffset>-635</wp:posOffset>
            </wp:positionV>
            <wp:extent cx="26225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62255" cy="8255"/>
                    </a:xfrm>
                    <a:prstGeom prst="rect">
                      <a:avLst/>
                    </a:prstGeom>
                    <a:noFill/>
                  </pic:spPr>
                </pic:pic>
              </a:graphicData>
            </a:graphic>
          </wp:anchor>
        </w:drawing>
      </w:r>
    </w:p>
    <w:p>
      <w:pPr>
        <w:spacing w:after="0" w:line="31" w:lineRule="exact"/>
        <w:rPr>
          <w:sz w:val="20"/>
          <w:szCs w:val="20"/>
          <w:color w:val="auto"/>
        </w:rPr>
      </w:pPr>
    </w:p>
    <w:p>
      <w:pPr>
        <w:ind w:left="660"/>
        <w:spacing w:after="0"/>
        <w:rPr>
          <w:sz w:val="20"/>
          <w:szCs w:val="20"/>
          <w:color w:val="auto"/>
        </w:rPr>
      </w:pPr>
      <w:r>
        <w:rPr>
          <w:rFonts w:ascii="Calibri" w:cs="Calibri" w:eastAsia="Calibri" w:hAnsi="Calibri"/>
          <w:sz w:val="13"/>
          <w:szCs w:val="13"/>
          <w:color w:val="auto"/>
        </w:rPr>
        <w:t>A.</w:t>
      </w:r>
      <w:r>
        <w:rPr>
          <w:rFonts w:ascii="Arial" w:cs="Arial" w:eastAsia="Arial" w:hAnsi="Arial"/>
          <w:sz w:val="13"/>
          <w:szCs w:val="13"/>
          <w:b w:val="1"/>
          <w:bCs w:val="1"/>
          <w:color w:val="auto"/>
        </w:rPr>
        <w:t>ARBITRATION OF DISPUTE5:</w:t>
      </w:r>
    </w:p>
    <w:p>
      <w:pPr>
        <w:spacing w:after="0" w:line="46" w:lineRule="exact"/>
        <w:rPr>
          <w:sz w:val="20"/>
          <w:szCs w:val="20"/>
          <w:color w:val="auto"/>
        </w:rPr>
      </w:pPr>
    </w:p>
    <w:p>
      <w:pPr>
        <w:jc w:val="both"/>
        <w:ind w:left="660" w:right="380"/>
        <w:spacing w:after="0" w:line="281" w:lineRule="auto"/>
        <w:rPr>
          <w:sz w:val="20"/>
          <w:szCs w:val="20"/>
          <w:color w:val="auto"/>
        </w:rPr>
      </w:pPr>
      <w:r>
        <w:rPr>
          <w:rFonts w:ascii="Arial" w:cs="Arial" w:eastAsia="Arial" w:hAnsi="Arial"/>
          <w:sz w:val="13"/>
          <w:szCs w:val="13"/>
          <w:color w:val="auto"/>
        </w:rPr>
        <w:t>Except as provided in Paragraph B below, the Parties agree to resolve any and all claims, disputes or disagreements arising under this Lease, including, but not limited to any matter relating to Lessor’s failure to approve an assignment, sublease or other transfer of Lessee’s interest in the Lease under Paragraph 12 of this Lease, any other defaults by Lessor, or any defaults by Lessee by and through arbitration as provided below and irrevocably waive any and all rights to the contrary. The Parties agree to at all times conduct themselves in strict, full, complete and timely accordance with the terms hereof and that any attempt to circumvent the terms of this Arbitration Agreement shall be absolutely null and void and of no force or effect whatsoever,</w:t>
      </w:r>
    </w:p>
    <w:p>
      <w:pPr>
        <w:spacing w:after="0" w:line="81" w:lineRule="exact"/>
        <w:rPr>
          <w:sz w:val="20"/>
          <w:szCs w:val="20"/>
          <w:color w:val="auto"/>
        </w:rPr>
      </w:pPr>
    </w:p>
    <w:p>
      <w:pPr>
        <w:ind w:left="660"/>
        <w:spacing w:after="0"/>
        <w:rPr>
          <w:sz w:val="20"/>
          <w:szCs w:val="20"/>
          <w:color w:val="auto"/>
        </w:rPr>
      </w:pPr>
      <w:r>
        <w:rPr>
          <w:rFonts w:ascii="Calibri" w:cs="Calibri" w:eastAsia="Calibri" w:hAnsi="Calibri"/>
          <w:sz w:val="13"/>
          <w:szCs w:val="13"/>
          <w:color w:val="auto"/>
        </w:rPr>
        <w:t>B.</w:t>
      </w:r>
      <w:r>
        <w:rPr>
          <w:rFonts w:ascii="Arial" w:cs="Arial" w:eastAsia="Arial" w:hAnsi="Arial"/>
          <w:sz w:val="13"/>
          <w:szCs w:val="13"/>
          <w:b w:val="1"/>
          <w:bCs w:val="1"/>
          <w:color w:val="auto"/>
        </w:rPr>
        <w:t>DISPUTES EXCLUDED FROM ARBITRATION:</w:t>
      </w:r>
    </w:p>
    <w:p>
      <w:pPr>
        <w:spacing w:after="0" w:line="59" w:lineRule="exact"/>
        <w:rPr>
          <w:sz w:val="20"/>
          <w:szCs w:val="20"/>
          <w:color w:val="auto"/>
        </w:rPr>
      </w:pPr>
    </w:p>
    <w:p>
      <w:pPr>
        <w:ind w:left="660" w:right="480"/>
        <w:spacing w:after="0" w:line="274" w:lineRule="auto"/>
        <w:rPr>
          <w:sz w:val="20"/>
          <w:szCs w:val="20"/>
          <w:color w:val="auto"/>
        </w:rPr>
      </w:pPr>
      <w:r>
        <w:rPr>
          <w:rFonts w:ascii="Arial" w:cs="Arial" w:eastAsia="Arial" w:hAnsi="Arial"/>
          <w:sz w:val="13"/>
          <w:szCs w:val="13"/>
          <w:color w:val="auto"/>
        </w:rPr>
        <w:t>The following claims, disputes or disagreements under this Lease are expressly excluded from the arbitration procedures set forth herein: 1. Disputes for which a different resolution determination is specifically set forth in this Lease, 2. All claims by either party which (a) seek anything other than enforcement or determination of rights under this Lease, or (b) are primarily founded upon matters of fraud, willful misconduct, bad faith or any other allegations of tortious action, and seek the award of punitive or exemplary damages, 3. Claims relating to (a) Lessor’s exercise of any unlawful detainer rights pursuant to applicable law or (b) rights or remedies used by Lessor to gain possession of the Premises or terminate Lessee’s right of possession to the Premises, all of which disputes shall be resolved by suit filed in the applicable court of jurisdiction, the decision of which court shall be subject to appeal pursuant to applicable law 4. Any claim or dispute that is within the jurisdiction of the Small Claims Court and 5. All claims arising under Paragraph 39 of this Lease.</w:t>
      </w:r>
    </w:p>
    <w:p>
      <w:pPr>
        <w:spacing w:after="0" w:line="99" w:lineRule="exact"/>
        <w:rPr>
          <w:sz w:val="20"/>
          <w:szCs w:val="20"/>
          <w:color w:val="auto"/>
        </w:rPr>
      </w:pPr>
    </w:p>
    <w:p>
      <w:pPr>
        <w:ind w:left="660"/>
        <w:spacing w:after="0"/>
        <w:rPr>
          <w:sz w:val="20"/>
          <w:szCs w:val="20"/>
          <w:color w:val="auto"/>
        </w:rPr>
      </w:pPr>
      <w:r>
        <w:rPr>
          <w:rFonts w:ascii="Calibri" w:cs="Calibri" w:eastAsia="Calibri" w:hAnsi="Calibri"/>
          <w:sz w:val="13"/>
          <w:szCs w:val="13"/>
          <w:color w:val="auto"/>
        </w:rPr>
        <w:t>C.</w:t>
      </w:r>
      <w:r>
        <w:rPr>
          <w:rFonts w:ascii="Arial" w:cs="Arial" w:eastAsia="Arial" w:hAnsi="Arial"/>
          <w:sz w:val="13"/>
          <w:szCs w:val="13"/>
          <w:b w:val="1"/>
          <w:bCs w:val="1"/>
          <w:color w:val="auto"/>
        </w:rPr>
        <w:t>APPOINTMENT OF AN ARBITRATOR:</w:t>
      </w:r>
    </w:p>
    <w:p>
      <w:pPr>
        <w:spacing w:after="0" w:line="36" w:lineRule="exact"/>
        <w:rPr>
          <w:sz w:val="20"/>
          <w:szCs w:val="20"/>
          <w:color w:val="auto"/>
        </w:rPr>
      </w:pPr>
    </w:p>
    <w:p>
      <w:pPr>
        <w:ind w:left="660" w:right="200"/>
        <w:spacing w:after="0" w:line="225" w:lineRule="exact"/>
        <w:rPr>
          <w:sz w:val="20"/>
          <w:szCs w:val="20"/>
          <w:color w:val="auto"/>
        </w:rPr>
      </w:pPr>
      <w:r>
        <w:rPr>
          <w:rFonts w:ascii="Arial" w:cs="Arial" w:eastAsia="Arial" w:hAnsi="Arial"/>
          <w:sz w:val="13"/>
          <w:szCs w:val="13"/>
          <w:color w:val="auto"/>
        </w:rPr>
        <w:t xml:space="preserve">All disputes subject to this Arbitration Agreement, shall be determined by binding arbitration before: </w:t>
      </w:r>
      <w:r>
        <w:rPr>
          <w:rFonts w:ascii="MS PGothic" w:cs="MS PGothic" w:eastAsia="MS PGothic" w:hAnsi="MS PGothic"/>
          <w:sz w:val="13"/>
          <w:szCs w:val="13"/>
          <w:color w:val="auto"/>
        </w:rPr>
        <w:t>☑</w:t>
      </w:r>
      <w:r>
        <w:rPr>
          <w:rFonts w:ascii="Arial" w:cs="Arial" w:eastAsia="Arial" w:hAnsi="Arial"/>
          <w:sz w:val="13"/>
          <w:szCs w:val="13"/>
          <w:color w:val="auto"/>
        </w:rPr>
        <w:t xml:space="preserve"> a retired judge of the applicable court of jurisdiction (e.g., the Superior Court of the State of California) affiliated with Judicial Arbitration &amp; Mediation Services, Inc. </w:t>
      </w:r>
      <w:r>
        <w:rPr>
          <w:rFonts w:ascii="Arial" w:cs="Arial" w:eastAsia="Arial" w:hAnsi="Arial"/>
          <w:sz w:val="13"/>
          <w:szCs w:val="13"/>
          <w:b w:val="1"/>
          <w:bCs w:val="1"/>
          <w:color w:val="auto"/>
        </w:rPr>
        <w:t>(“JAMS”),</w:t>
      </w:r>
      <w:r>
        <w:rPr>
          <w:rFonts w:ascii="Arial" w:cs="Arial" w:eastAsia="Arial" w:hAnsi="Arial"/>
          <w:sz w:val="13"/>
          <w:szCs w:val="13"/>
          <w:color w:val="auto"/>
        </w:rPr>
        <w:t xml:space="preserve"> the American Arbitration Association </w:t>
      </w:r>
      <w:r>
        <w:rPr>
          <w:rFonts w:ascii="Arial" w:cs="Arial" w:eastAsia="Arial" w:hAnsi="Arial"/>
          <w:sz w:val="13"/>
          <w:szCs w:val="13"/>
          <w:b w:val="1"/>
          <w:bCs w:val="1"/>
          <w:color w:val="auto"/>
        </w:rPr>
        <w:t>(“AAA”)</w:t>
      </w:r>
      <w:r>
        <w:rPr>
          <w:rFonts w:ascii="Arial" w:cs="Arial" w:eastAsia="Arial" w:hAnsi="Arial"/>
          <w:sz w:val="13"/>
          <w:szCs w:val="13"/>
          <w:color w:val="auto"/>
        </w:rPr>
        <w:t xml:space="preserve"> under its commercial</w:t>
      </w:r>
    </w:p>
    <w:p>
      <w:pPr>
        <w:spacing w:after="0" w:line="1"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13"/>
          <w:szCs w:val="13"/>
          <w:color w:val="auto"/>
        </w:rPr>
        <w:t>arbitration rules,</w:t>
      </w:r>
      <w:r>
        <w:rPr>
          <w:sz w:val="20"/>
          <w:szCs w:val="20"/>
          <w:color w:val="auto"/>
        </w:rPr>
        <w:tab/>
      </w:r>
      <w:r>
        <w:rPr>
          <w:rFonts w:ascii="Arial" w:cs="Arial" w:eastAsia="Arial" w:hAnsi="Arial"/>
          <w:sz w:val="13"/>
          <w:szCs w:val="13"/>
          <w:color w:val="auto"/>
        </w:rPr>
        <w:t xml:space="preserve">, or as may be otherwise mutually agreed by Lessor and Lessee (the </w:t>
      </w:r>
      <w:r>
        <w:rPr>
          <w:rFonts w:ascii="Arial" w:cs="Arial" w:eastAsia="Arial" w:hAnsi="Arial"/>
          <w:sz w:val="13"/>
          <w:szCs w:val="13"/>
          <w:b w:val="1"/>
          <w:bCs w:val="1"/>
          <w:color w:val="auto"/>
        </w:rPr>
        <w:t>“Arbitrator”).</w:t>
      </w:r>
      <w:r>
        <w:rPr>
          <w:rFonts w:ascii="Arial" w:cs="Arial" w:eastAsia="Arial" w:hAnsi="Arial"/>
          <w:sz w:val="13"/>
          <w:szCs w:val="13"/>
          <w:color w:val="auto"/>
        </w:rPr>
        <w:t xml:space="preserve"> In the event that the parties elect to use an arbitrator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35560</wp:posOffset>
            </wp:positionV>
            <wp:extent cx="43116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31165" cy="8255"/>
                    </a:xfrm>
                    <a:prstGeom prst="rect">
                      <a:avLst/>
                    </a:prstGeom>
                    <a:noFill/>
                  </pic:spPr>
                </pic:pic>
              </a:graphicData>
            </a:graphic>
          </wp:anchor>
        </w:drawing>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3"/>
          <w:szCs w:val="13"/>
          <w:color w:val="auto"/>
        </w:rPr>
        <w:t>than one affiliated with JAMS or AAA then such arbitrator shall be obligated to comply with the Code of Ethics for Arbitrators in Commercial Disputes (see:</w:t>
      </w:r>
    </w:p>
    <w:p>
      <w:pPr>
        <w:spacing w:after="0" w:line="13" w:lineRule="exact"/>
        <w:rPr>
          <w:sz w:val="20"/>
          <w:szCs w:val="20"/>
          <w:color w:val="auto"/>
        </w:rPr>
      </w:pPr>
    </w:p>
    <w:p>
      <w:pPr>
        <w:ind w:left="660"/>
        <w:spacing w:after="0" w:line="249" w:lineRule="auto"/>
        <w:rPr>
          <w:sz w:val="20"/>
          <w:szCs w:val="20"/>
          <w:color w:val="auto"/>
        </w:rPr>
      </w:pPr>
      <w:r>
        <w:rPr>
          <w:rFonts w:ascii="Arial" w:cs="Arial" w:eastAsia="Arial" w:hAnsi="Arial"/>
          <w:sz w:val="13"/>
          <w:szCs w:val="13"/>
          <w:color w:val="auto"/>
        </w:rPr>
        <w:t>http://www,adr.org/aaa/ShowProperty?nodeld=/UCM/ADRSTG_003367), Such arbitration shall be initiated by the Parties, or either of them, within ten (10) days after either party sends written notice (the “</w:t>
      </w:r>
      <w:r>
        <w:rPr>
          <w:rFonts w:ascii="Arial" w:cs="Arial" w:eastAsia="Arial" w:hAnsi="Arial"/>
          <w:sz w:val="13"/>
          <w:szCs w:val="13"/>
          <w:b w:val="1"/>
          <w:bCs w:val="1"/>
          <w:color w:val="auto"/>
        </w:rPr>
        <w:t>Arbitration Notice</w:t>
      </w:r>
      <w:r>
        <w:rPr>
          <w:rFonts w:ascii="Arial" w:cs="Arial" w:eastAsia="Arial" w:hAnsi="Arial"/>
          <w:sz w:val="13"/>
          <w:szCs w:val="13"/>
          <w:color w:val="auto"/>
        </w:rPr>
        <w:t>”) of a demand to arbitrate by registered or certified mail to the other party and to the Arbitrator. The Arbitration Notice shall contain a</w:t>
      </w:r>
    </w:p>
    <w:p>
      <w:pPr>
        <w:ind w:left="660" w:right="220"/>
        <w:spacing w:after="0" w:line="249" w:lineRule="auto"/>
        <w:rPr>
          <w:sz w:val="20"/>
          <w:szCs w:val="20"/>
          <w:color w:val="auto"/>
        </w:rPr>
      </w:pPr>
      <w:r>
        <w:rPr>
          <w:rFonts w:ascii="Arial" w:cs="Arial" w:eastAsia="Arial" w:hAnsi="Arial"/>
          <w:sz w:val="13"/>
          <w:szCs w:val="13"/>
          <w:color w:val="auto"/>
        </w:rPr>
        <w:t>description of the subject matter of the arbitration, the dispute with respect thereto, the amount involved, if any, and the remedy or determination sought. If the Parties have agreed to use JAMS they may agree on a retired judge from the JAMS panel. If they are unable to agree within ten days, JAMS will provide a list of three available judges and</w:t>
      </w:r>
    </w:p>
    <w:p>
      <w:pPr>
        <w:ind w:left="660" w:right="200"/>
        <w:spacing w:after="0" w:line="249" w:lineRule="auto"/>
        <w:rPr>
          <w:sz w:val="20"/>
          <w:szCs w:val="20"/>
          <w:color w:val="auto"/>
        </w:rPr>
      </w:pPr>
      <w:r>
        <w:rPr>
          <w:rFonts w:ascii="Arial" w:cs="Arial" w:eastAsia="Arial" w:hAnsi="Arial"/>
          <w:sz w:val="13"/>
          <w:szCs w:val="13"/>
          <w:color w:val="auto"/>
        </w:rPr>
        <w:t>each party may strike one. The remaining judge (or if there are two, the one selected by JAMS) will serve as the Arbitrator. If the Parties have elected to utilize AAA or some other organization, the Arbitrator shall be selected in accordance with said organization’s rules. In the event the Arbitrator is not selected as provided for above for any reason,</w:t>
      </w:r>
    </w:p>
    <w:p>
      <w:pPr>
        <w:ind w:left="660"/>
        <w:spacing w:after="0"/>
        <w:rPr>
          <w:sz w:val="20"/>
          <w:szCs w:val="20"/>
          <w:color w:val="auto"/>
        </w:rPr>
      </w:pPr>
      <w:r>
        <w:rPr>
          <w:rFonts w:ascii="Arial" w:cs="Arial" w:eastAsia="Arial" w:hAnsi="Arial"/>
          <w:sz w:val="13"/>
          <w:szCs w:val="13"/>
          <w:color w:val="auto"/>
        </w:rPr>
        <w:t>the party initiating arbitration shall apply to the appropriate Court for the appointment of a qualified retired judge to act as the Arbitrator.</w:t>
      </w:r>
    </w:p>
    <w:p>
      <w:pPr>
        <w:spacing w:after="0" w:line="134" w:lineRule="exact"/>
        <w:rPr>
          <w:sz w:val="20"/>
          <w:szCs w:val="20"/>
          <w:color w:val="auto"/>
        </w:rPr>
      </w:pPr>
    </w:p>
    <w:p>
      <w:pPr>
        <w:ind w:left="660"/>
        <w:spacing w:after="0"/>
        <w:rPr>
          <w:sz w:val="20"/>
          <w:szCs w:val="20"/>
          <w:color w:val="auto"/>
        </w:rPr>
      </w:pPr>
      <w:r>
        <w:rPr>
          <w:rFonts w:ascii="Calibri" w:cs="Calibri" w:eastAsia="Calibri" w:hAnsi="Calibri"/>
          <w:sz w:val="13"/>
          <w:szCs w:val="13"/>
          <w:color w:val="auto"/>
        </w:rPr>
        <w:t>D.</w:t>
      </w:r>
      <w:r>
        <w:rPr>
          <w:rFonts w:ascii="Arial" w:cs="Arial" w:eastAsia="Arial" w:hAnsi="Arial"/>
          <w:sz w:val="13"/>
          <w:szCs w:val="13"/>
          <w:b w:val="1"/>
          <w:bCs w:val="1"/>
          <w:color w:val="auto"/>
        </w:rPr>
        <w:t>ARBITRATION PROCEDURE:</w:t>
      </w:r>
    </w:p>
    <w:p>
      <w:pPr>
        <w:spacing w:after="0" w:line="57" w:lineRule="exact"/>
        <w:rPr>
          <w:sz w:val="20"/>
          <w:szCs w:val="20"/>
          <w:color w:val="auto"/>
        </w:rPr>
      </w:pPr>
    </w:p>
    <w:p>
      <w:pPr>
        <w:ind w:left="660" w:right="340" w:firstLine="351"/>
        <w:spacing w:after="0" w:line="278" w:lineRule="auto"/>
        <w:tabs>
          <w:tab w:leader="none" w:pos="1369" w:val="left"/>
        </w:tabs>
        <w:numPr>
          <w:ilvl w:val="0"/>
          <w:numId w:val="87"/>
        </w:numPr>
        <w:rPr>
          <w:rFonts w:ascii="Calibri" w:cs="Calibri" w:eastAsia="Calibri" w:hAnsi="Calibri"/>
          <w:sz w:val="13"/>
          <w:szCs w:val="13"/>
          <w:color w:val="auto"/>
        </w:rPr>
      </w:pPr>
      <w:r>
        <w:rPr>
          <w:rFonts w:ascii="Arial" w:cs="Arial" w:eastAsia="Arial" w:hAnsi="Arial"/>
          <w:sz w:val="13"/>
          <w:szCs w:val="13"/>
          <w:b w:val="1"/>
          <w:bCs w:val="1"/>
          <w:color w:val="auto"/>
        </w:rPr>
        <w:t xml:space="preserve">PRE-HEARING ACTIONS. </w:t>
      </w:r>
      <w:r>
        <w:rPr>
          <w:rFonts w:ascii="Arial" w:cs="Arial" w:eastAsia="Arial" w:hAnsi="Arial"/>
          <w:sz w:val="13"/>
          <w:szCs w:val="13"/>
          <w:color w:val="auto"/>
        </w:rPr>
        <w:t>The Arbitrator shall schedule a pre-hearing conference to resolve procedural matters, arrange for the exchange of information,</w:t>
      </w:r>
      <w:r>
        <w:rPr>
          <w:rFonts w:ascii="Arial" w:cs="Arial" w:eastAsia="Arial" w:hAnsi="Arial"/>
          <w:sz w:val="13"/>
          <w:szCs w:val="13"/>
          <w:b w:val="1"/>
          <w:bCs w:val="1"/>
          <w:color w:val="auto"/>
        </w:rPr>
        <w:t xml:space="preserve"> </w:t>
      </w:r>
      <w:r>
        <w:rPr>
          <w:rFonts w:ascii="Arial" w:cs="Arial" w:eastAsia="Arial" w:hAnsi="Arial"/>
          <w:sz w:val="13"/>
          <w:szCs w:val="13"/>
          <w:color w:val="auto"/>
        </w:rPr>
        <w:t>obtain stipulations, and narrow the issues. The Parties will submit proposed discovery schedules to the Arbitrator at the pre-hearing conference. The scope and duration of discovery will be within the sole discretion of the Arbitrator. The Arbitrator shall have the discretion to order a pre-hearing exchange of information by the Parties, including, without limitation, production of requested documents, exchange of summaries of testimony of proposed witnesses, and examination by deposition of parties and third-party witnesses. This discretion shall be exercised in favor of discovery reasonable under the circumstances. The Arbitrator shall issue subpoenas and subpoenas duces tecum as provided for in the applicable statutory or case law (e.g., in California Code of Civil Procedure Section 1282.6).</w:t>
      </w:r>
    </w:p>
    <w:p>
      <w:pPr>
        <w:spacing w:after="0" w:line="84" w:lineRule="exact"/>
        <w:rPr>
          <w:rFonts w:ascii="Calibri" w:cs="Calibri" w:eastAsia="Calibri" w:hAnsi="Calibri"/>
          <w:sz w:val="13"/>
          <w:szCs w:val="13"/>
          <w:color w:val="auto"/>
        </w:rPr>
      </w:pPr>
    </w:p>
    <w:p>
      <w:pPr>
        <w:jc w:val="both"/>
        <w:ind w:left="660" w:right="320" w:firstLine="351"/>
        <w:spacing w:after="0" w:line="285" w:lineRule="auto"/>
        <w:tabs>
          <w:tab w:leader="none" w:pos="1369" w:val="left"/>
        </w:tabs>
        <w:numPr>
          <w:ilvl w:val="0"/>
          <w:numId w:val="87"/>
        </w:numPr>
        <w:rPr>
          <w:rFonts w:ascii="Calibri" w:cs="Calibri" w:eastAsia="Calibri" w:hAnsi="Calibri"/>
          <w:sz w:val="13"/>
          <w:szCs w:val="13"/>
          <w:color w:val="auto"/>
        </w:rPr>
      </w:pPr>
      <w:r>
        <w:rPr>
          <w:rFonts w:ascii="Arial" w:cs="Arial" w:eastAsia="Arial" w:hAnsi="Arial"/>
          <w:sz w:val="13"/>
          <w:szCs w:val="13"/>
          <w:b w:val="1"/>
          <w:bCs w:val="1"/>
          <w:color w:val="auto"/>
        </w:rPr>
        <w:t xml:space="preserve">THE DECISION. </w:t>
      </w:r>
      <w:r>
        <w:rPr>
          <w:rFonts w:ascii="Arial" w:cs="Arial" w:eastAsia="Arial" w:hAnsi="Arial"/>
          <w:sz w:val="13"/>
          <w:szCs w:val="13"/>
          <w:color w:val="auto"/>
        </w:rPr>
        <w:t>The arbitration shall be conducted in the city or county within which the Premises are located at a reasonably convenient site. Any Party maybe</w:t>
      </w:r>
      <w:r>
        <w:rPr>
          <w:rFonts w:ascii="Arial" w:cs="Arial" w:eastAsia="Arial" w:hAnsi="Arial"/>
          <w:sz w:val="13"/>
          <w:szCs w:val="13"/>
          <w:b w:val="1"/>
          <w:bCs w:val="1"/>
          <w:color w:val="auto"/>
        </w:rPr>
        <w:t xml:space="preserve"> </w:t>
      </w:r>
      <w:r>
        <w:rPr>
          <w:rFonts w:ascii="Arial" w:cs="Arial" w:eastAsia="Arial" w:hAnsi="Arial"/>
          <w:sz w:val="13"/>
          <w:szCs w:val="13"/>
          <w:color w:val="auto"/>
        </w:rPr>
        <w:t>represented by counsel or other authorized representative. In rendering a decision(s), the Arbitrator shall determine the rights and obligations of the Parties according to the substantive laws and the terms and provisions of this Lease. The Arbitrator s decision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161290</wp:posOffset>
            </wp:positionV>
            <wp:extent cx="497205" cy="38608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97205" cy="38608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161290</wp:posOffset>
            </wp:positionV>
            <wp:extent cx="574040" cy="40322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7404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980" w:type="dxa"/>
            <w:vAlign w:val="bottom"/>
          </w:tcPr>
          <w:p>
            <w:pPr>
              <w:ind w:left="20"/>
              <w:spacing w:after="0"/>
              <w:rPr>
                <w:sz w:val="20"/>
                <w:szCs w:val="20"/>
                <w:color w:val="auto"/>
              </w:rPr>
            </w:pPr>
            <w:r>
              <w:rPr>
                <w:rFonts w:ascii="Arial" w:cs="Arial" w:eastAsia="Arial" w:hAnsi="Arial"/>
                <w:sz w:val="15"/>
                <w:szCs w:val="15"/>
                <w:color w:val="auto"/>
              </w:rPr>
              <w:t>INITIALS</w:t>
            </w:r>
          </w:p>
        </w:tc>
        <w:tc>
          <w:tcPr>
            <w:tcW w:w="3600" w:type="dxa"/>
            <w:vAlign w:val="bottom"/>
          </w:tcPr>
          <w:p>
            <w:pPr>
              <w:ind w:left="1340"/>
              <w:spacing w:after="0"/>
              <w:rPr>
                <w:sz w:val="20"/>
                <w:szCs w:val="20"/>
                <w:color w:val="auto"/>
              </w:rPr>
            </w:pPr>
            <w:r>
              <w:rPr>
                <w:rFonts w:ascii="Arial" w:cs="Arial" w:eastAsia="Arial" w:hAnsi="Arial"/>
                <w:sz w:val="15"/>
                <w:szCs w:val="15"/>
                <w:color w:val="auto"/>
              </w:rPr>
              <w:t>INITIALS</w:t>
            </w:r>
          </w:p>
        </w:tc>
        <w:tc>
          <w:tcPr>
            <w:tcW w:w="3660" w:type="dxa"/>
            <w:vAlign w:val="bottom"/>
          </w:tcPr>
          <w:p>
            <w:pPr>
              <w:jc w:val="right"/>
              <w:spacing w:after="0"/>
              <w:rPr>
                <w:sz w:val="20"/>
                <w:szCs w:val="20"/>
                <w:color w:val="auto"/>
              </w:rPr>
            </w:pPr>
            <w:r>
              <w:rPr>
                <w:rFonts w:ascii="Arial" w:cs="Arial" w:eastAsia="Arial" w:hAnsi="Arial"/>
                <w:sz w:val="14"/>
                <w:szCs w:val="14"/>
                <w:color w:val="auto"/>
              </w:rPr>
              <w:t>Last Edited: 4/4/2022 10:50 AM</w:t>
            </w:r>
          </w:p>
        </w:tc>
      </w:tr>
      <w:tr>
        <w:trPr>
          <w:trHeight w:val="216"/>
        </w:trPr>
        <w:tc>
          <w:tcPr>
            <w:tcW w:w="3980" w:type="dxa"/>
            <w:vAlign w:val="bottom"/>
          </w:tcPr>
          <w:p>
            <w:pPr>
              <w:ind w:left="20"/>
              <w:spacing w:after="0"/>
              <w:rPr>
                <w:sz w:val="20"/>
                <w:szCs w:val="20"/>
                <w:color w:val="auto"/>
              </w:rPr>
            </w:pPr>
            <w:r>
              <w:rPr>
                <w:rFonts w:ascii="Arial" w:cs="Arial" w:eastAsia="Arial" w:hAnsi="Arial"/>
                <w:sz w:val="15"/>
                <w:szCs w:val="15"/>
                <w:color w:val="auto"/>
              </w:rPr>
              <w:t>© 2017 AIR CRE. All Rights Reserved.</w:t>
            </w:r>
          </w:p>
        </w:tc>
        <w:tc>
          <w:tcPr>
            <w:tcW w:w="3600" w:type="dxa"/>
            <w:vAlign w:val="bottom"/>
          </w:tcPr>
          <w:p>
            <w:pPr>
              <w:spacing w:after="0"/>
              <w:rPr>
                <w:sz w:val="18"/>
                <w:szCs w:val="18"/>
                <w:color w:val="auto"/>
              </w:rPr>
            </w:pPr>
          </w:p>
        </w:tc>
        <w:tc>
          <w:tcPr>
            <w:tcW w:w="3660" w:type="dxa"/>
            <w:vAlign w:val="bottom"/>
          </w:tcPr>
          <w:p>
            <w:pPr>
              <w:jc w:val="right"/>
              <w:spacing w:after="0"/>
              <w:rPr>
                <w:sz w:val="20"/>
                <w:szCs w:val="20"/>
                <w:color w:val="auto"/>
              </w:rPr>
            </w:pPr>
            <w:r>
              <w:rPr>
                <w:rFonts w:ascii="Arial" w:cs="Arial" w:eastAsia="Arial" w:hAnsi="Arial"/>
                <w:sz w:val="14"/>
                <w:szCs w:val="14"/>
                <w:color w:val="auto"/>
              </w:rPr>
              <w:t>Page 2 of 2</w:t>
            </w:r>
          </w:p>
        </w:tc>
      </w:tr>
      <w:tr>
        <w:trPr>
          <w:trHeight w:val="216"/>
        </w:trPr>
        <w:tc>
          <w:tcPr>
            <w:tcW w:w="3980" w:type="dxa"/>
            <w:vAlign w:val="bottom"/>
          </w:tcPr>
          <w:p>
            <w:pPr>
              <w:ind w:left="20"/>
              <w:spacing w:after="0"/>
              <w:rPr>
                <w:sz w:val="20"/>
                <w:szCs w:val="20"/>
                <w:color w:val="auto"/>
              </w:rPr>
            </w:pPr>
            <w:r>
              <w:rPr>
                <w:rFonts w:ascii="Arial" w:cs="Arial" w:eastAsia="Arial" w:hAnsi="Arial"/>
                <w:sz w:val="15"/>
                <w:szCs w:val="15"/>
                <w:color w:val="auto"/>
              </w:rPr>
              <w:t>ARB-3.03, Revised 10-22-2020</w:t>
            </w:r>
          </w:p>
        </w:tc>
        <w:tc>
          <w:tcPr>
            <w:tcW w:w="3600" w:type="dxa"/>
            <w:vAlign w:val="bottom"/>
          </w:tcPr>
          <w:p>
            <w:pPr>
              <w:spacing w:after="0"/>
              <w:rPr>
                <w:sz w:val="18"/>
                <w:szCs w:val="18"/>
                <w:color w:val="auto"/>
              </w:rPr>
            </w:pPr>
          </w:p>
        </w:tc>
        <w:tc>
          <w:tcPr>
            <w:tcW w:w="3660" w:type="dxa"/>
            <w:vAlign w:val="bottom"/>
          </w:tcPr>
          <w:p>
            <w:pPr>
              <w:spacing w:after="0"/>
              <w:rPr>
                <w:sz w:val="18"/>
                <w:szCs w:val="18"/>
                <w:color w:val="auto"/>
              </w:rPr>
            </w:pPr>
          </w:p>
        </w:tc>
      </w:tr>
      <w:tr>
        <w:trPr>
          <w:trHeight w:val="148"/>
        </w:trPr>
        <w:tc>
          <w:tcPr>
            <w:tcW w:w="3980" w:type="dxa"/>
            <w:vAlign w:val="bottom"/>
            <w:tcBorders>
              <w:bottom w:val="single" w:sz="8" w:color="9A9A9A"/>
            </w:tcBorders>
          </w:tcPr>
          <w:p>
            <w:pPr>
              <w:spacing w:after="0"/>
              <w:rPr>
                <w:sz w:val="12"/>
                <w:szCs w:val="12"/>
                <w:color w:val="auto"/>
              </w:rPr>
            </w:pPr>
          </w:p>
        </w:tc>
        <w:tc>
          <w:tcPr>
            <w:tcW w:w="3600" w:type="dxa"/>
            <w:vAlign w:val="bottom"/>
            <w:tcBorders>
              <w:bottom w:val="single" w:sz="8" w:color="9A9A9A"/>
            </w:tcBorders>
          </w:tcPr>
          <w:p>
            <w:pPr>
              <w:spacing w:after="0"/>
              <w:rPr>
                <w:sz w:val="12"/>
                <w:szCs w:val="12"/>
                <w:color w:val="auto"/>
              </w:rPr>
            </w:pPr>
          </w:p>
        </w:tc>
        <w:tc>
          <w:tcPr>
            <w:tcW w:w="366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jc w:val="both"/>
        <w:ind w:left="660" w:right="340"/>
        <w:spacing w:after="0" w:line="292" w:lineRule="auto"/>
        <w:rPr>
          <w:sz w:val="20"/>
          <w:szCs w:val="20"/>
          <w:color w:val="auto"/>
        </w:rPr>
      </w:pPr>
      <w:r>
        <w:rPr>
          <w:rFonts w:ascii="Arial" w:cs="Arial" w:eastAsia="Arial" w:hAnsi="Arial"/>
          <w:sz w:val="13"/>
          <w:szCs w:val="13"/>
          <w:color w:val="auto"/>
        </w:rPr>
        <w:t>be based on the evidence introduced at the hearing, including all logical and reasonable inferences therefrom. The Arbitrator may make any determination and/or grant any remedy or relief that is just and equitable. The decision must be based on, and accompanied by, a written statement of decision explaining the factual and legal basis for the decision as to each of the principal controverted issues. The decision shall be conclusive and binding,</w:t>
      </w:r>
    </w:p>
    <w:p>
      <w:pPr>
        <w:spacing w:after="0" w:line="237" w:lineRule="exact"/>
        <w:rPr>
          <w:sz w:val="20"/>
          <w:szCs w:val="20"/>
          <w:color w:val="auto"/>
        </w:rPr>
      </w:pPr>
    </w:p>
    <w:p>
      <w:pPr>
        <w:ind w:right="420"/>
        <w:spacing w:after="0" w:line="288" w:lineRule="auto"/>
        <w:rPr>
          <w:sz w:val="20"/>
          <w:szCs w:val="20"/>
          <w:color w:val="auto"/>
        </w:rPr>
      </w:pPr>
      <w:r>
        <w:rPr>
          <w:rFonts w:ascii="Arial" w:cs="Arial" w:eastAsia="Arial" w:hAnsi="Arial"/>
          <w:sz w:val="13"/>
          <w:szCs w:val="13"/>
          <w:color w:val="auto"/>
        </w:rPr>
        <w:t>and it may thereafter be confirmed as a judgment by the court of applicable jurisdiction, subject only to challenge on the grounds set forth in the applicable statutory or case law (e.g., in California Code of Civil Procedure Section 1286.2). The validity and enforceability of the Arbitrator’s decision is to be determined exclusively by the court of appropriate jurisdiction pursuant to the provisions of this lease. The Arbitrator may award costs, including without limitation, Arbitrator’s fees and costs, attorneys’ fees, and expert and witness costs, to the prevailing party, if any, as determined by the Arbitrator in his discretion.</w:t>
      </w:r>
    </w:p>
    <w:p>
      <w:pPr>
        <w:spacing w:after="0" w:line="11" w:lineRule="exact"/>
        <w:rPr>
          <w:sz w:val="20"/>
          <w:szCs w:val="20"/>
          <w:color w:val="auto"/>
        </w:rPr>
      </w:pPr>
    </w:p>
    <w:p>
      <w:pPr>
        <w:ind w:right="80" w:firstLine="374"/>
        <w:spacing w:after="0" w:line="292" w:lineRule="auto"/>
        <w:rPr>
          <w:sz w:val="20"/>
          <w:szCs w:val="20"/>
          <w:color w:val="auto"/>
        </w:rPr>
      </w:pPr>
      <w:r>
        <w:rPr>
          <w:rFonts w:ascii="Arial" w:cs="Arial" w:eastAsia="Arial" w:hAnsi="Arial"/>
          <w:sz w:val="13"/>
          <w:szCs w:val="13"/>
          <w:color w:val="auto"/>
        </w:rPr>
        <w:t>Whenever a matter which has been submitted to arbitration involves a dispute as to whether or not a particular act or omission (other than a failure to pay money) constitutes a Default, the time to commence or cease such action shall be tolled from the date that the Notice of Arbitration is served through and until the date the Arbitrator renders his or her decision. Provided, however, that this provision shall NOT apply in the event that the Arbitrator determines that the Arbitration Notice was prepared in bad faith.</w:t>
      </w:r>
    </w:p>
    <w:p>
      <w:pPr>
        <w:spacing w:after="0" w:line="8" w:lineRule="exact"/>
        <w:rPr>
          <w:sz w:val="20"/>
          <w:szCs w:val="20"/>
          <w:color w:val="auto"/>
        </w:rPr>
      </w:pPr>
    </w:p>
    <w:p>
      <w:pPr>
        <w:ind w:firstLine="374"/>
        <w:spacing w:after="0" w:line="281" w:lineRule="auto"/>
        <w:rPr>
          <w:sz w:val="20"/>
          <w:szCs w:val="20"/>
          <w:color w:val="auto"/>
        </w:rPr>
      </w:pPr>
      <w:r>
        <w:rPr>
          <w:rFonts w:ascii="Arial" w:cs="Arial" w:eastAsia="Arial" w:hAnsi="Arial"/>
          <w:sz w:val="13"/>
          <w:szCs w:val="13"/>
          <w:color w:val="auto"/>
        </w:rPr>
        <w:t>Whenever a dispute arises between the Parties concerning whether or not the failure to make a payment of money constitutes a default, the service of an Arbitration Notice shall NOT toll the time period in which to pay the money. The Party allegedly obligated to pay the money may, however, elect to pay the money “under protest” by accompanying said payment with a written statement setting forth the reasons for such protest. If thereafter, the Arbitrator determines that the Party who received said money was not entitled to such payment, said money shall be promptly returned to the Party who paid such money under protest together with Interest thereon as defined in Paragraph 13.5. If a Party makes a payment “under protest” but no Notice of Arbitration is filed within thirty days, then such protest shall be deemed waived. (See also Paragraph 42 or 43)</w:t>
      </w: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 xml:space="preserve">AIR CRE * https://www.aircre.com * 213-687-8777 * </w:t>
      </w:r>
      <w:r>
        <w:rPr>
          <w:rFonts w:ascii="Calibri" w:cs="Calibri" w:eastAsia="Calibri" w:hAnsi="Calibri"/>
          <w:sz w:val="13"/>
          <w:szCs w:val="13"/>
          <w:b w:val="1"/>
          <w:bCs w:val="1"/>
          <w:color w:val="auto"/>
        </w:rPr>
        <w:t>Email [***]</w:t>
      </w:r>
    </w:p>
    <w:p>
      <w:pPr>
        <w:spacing w:after="0" w:line="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NOTICE: No part of these works may be reproduced in any form without permission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370205</wp:posOffset>
            </wp:positionV>
            <wp:extent cx="497205" cy="38608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97205" cy="38608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370205</wp:posOffset>
            </wp:positionV>
            <wp:extent cx="574040" cy="402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7404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980" w:type="dxa"/>
            <w:vAlign w:val="bottom"/>
          </w:tcPr>
          <w:p>
            <w:pPr>
              <w:ind w:left="20"/>
              <w:spacing w:after="0"/>
              <w:rPr>
                <w:sz w:val="20"/>
                <w:szCs w:val="20"/>
                <w:color w:val="auto"/>
              </w:rPr>
            </w:pPr>
            <w:r>
              <w:rPr>
                <w:rFonts w:ascii="Arial" w:cs="Arial" w:eastAsia="Arial" w:hAnsi="Arial"/>
                <w:sz w:val="15"/>
                <w:szCs w:val="15"/>
                <w:color w:val="auto"/>
              </w:rPr>
              <w:t>INITIALS</w:t>
            </w:r>
          </w:p>
        </w:tc>
        <w:tc>
          <w:tcPr>
            <w:tcW w:w="3600" w:type="dxa"/>
            <w:vAlign w:val="bottom"/>
          </w:tcPr>
          <w:p>
            <w:pPr>
              <w:ind w:left="1340"/>
              <w:spacing w:after="0"/>
              <w:rPr>
                <w:sz w:val="20"/>
                <w:szCs w:val="20"/>
                <w:color w:val="auto"/>
              </w:rPr>
            </w:pPr>
            <w:r>
              <w:rPr>
                <w:rFonts w:ascii="Arial" w:cs="Arial" w:eastAsia="Arial" w:hAnsi="Arial"/>
                <w:sz w:val="15"/>
                <w:szCs w:val="15"/>
                <w:color w:val="auto"/>
              </w:rPr>
              <w:t>INITIALS</w:t>
            </w:r>
          </w:p>
        </w:tc>
        <w:tc>
          <w:tcPr>
            <w:tcW w:w="3660" w:type="dxa"/>
            <w:vAlign w:val="bottom"/>
          </w:tcPr>
          <w:p>
            <w:pPr>
              <w:jc w:val="right"/>
              <w:spacing w:after="0"/>
              <w:rPr>
                <w:sz w:val="20"/>
                <w:szCs w:val="20"/>
                <w:color w:val="auto"/>
              </w:rPr>
            </w:pPr>
            <w:r>
              <w:rPr>
                <w:rFonts w:ascii="Arial" w:cs="Arial" w:eastAsia="Arial" w:hAnsi="Arial"/>
                <w:sz w:val="14"/>
                <w:szCs w:val="14"/>
                <w:color w:val="auto"/>
              </w:rPr>
              <w:t>Last Edited: 4/4/2022 10:50 AM</w:t>
            </w:r>
          </w:p>
        </w:tc>
      </w:tr>
      <w:tr>
        <w:trPr>
          <w:trHeight w:val="216"/>
        </w:trPr>
        <w:tc>
          <w:tcPr>
            <w:tcW w:w="3980" w:type="dxa"/>
            <w:vAlign w:val="bottom"/>
          </w:tcPr>
          <w:p>
            <w:pPr>
              <w:ind w:left="20"/>
              <w:spacing w:after="0"/>
              <w:rPr>
                <w:sz w:val="20"/>
                <w:szCs w:val="20"/>
                <w:color w:val="auto"/>
              </w:rPr>
            </w:pPr>
            <w:r>
              <w:rPr>
                <w:rFonts w:ascii="Arial" w:cs="Arial" w:eastAsia="Arial" w:hAnsi="Arial"/>
                <w:sz w:val="15"/>
                <w:szCs w:val="15"/>
                <w:color w:val="auto"/>
              </w:rPr>
              <w:t>© 2017 AIR CRE. All Rights Reserved.</w:t>
            </w:r>
          </w:p>
        </w:tc>
        <w:tc>
          <w:tcPr>
            <w:tcW w:w="3600" w:type="dxa"/>
            <w:vAlign w:val="bottom"/>
          </w:tcPr>
          <w:p>
            <w:pPr>
              <w:spacing w:after="0"/>
              <w:rPr>
                <w:sz w:val="18"/>
                <w:szCs w:val="18"/>
                <w:color w:val="auto"/>
              </w:rPr>
            </w:pPr>
          </w:p>
        </w:tc>
        <w:tc>
          <w:tcPr>
            <w:tcW w:w="3660" w:type="dxa"/>
            <w:vAlign w:val="bottom"/>
          </w:tcPr>
          <w:p>
            <w:pPr>
              <w:jc w:val="right"/>
              <w:spacing w:after="0"/>
              <w:rPr>
                <w:sz w:val="20"/>
                <w:szCs w:val="20"/>
                <w:color w:val="auto"/>
              </w:rPr>
            </w:pPr>
            <w:r>
              <w:rPr>
                <w:rFonts w:ascii="Arial" w:cs="Arial" w:eastAsia="Arial" w:hAnsi="Arial"/>
                <w:sz w:val="14"/>
                <w:szCs w:val="14"/>
                <w:color w:val="auto"/>
              </w:rPr>
              <w:t>Page 2 of 2</w:t>
            </w:r>
          </w:p>
        </w:tc>
      </w:tr>
      <w:tr>
        <w:trPr>
          <w:trHeight w:val="216"/>
        </w:trPr>
        <w:tc>
          <w:tcPr>
            <w:tcW w:w="3980" w:type="dxa"/>
            <w:vAlign w:val="bottom"/>
          </w:tcPr>
          <w:p>
            <w:pPr>
              <w:ind w:left="20"/>
              <w:spacing w:after="0"/>
              <w:rPr>
                <w:sz w:val="20"/>
                <w:szCs w:val="20"/>
                <w:color w:val="auto"/>
              </w:rPr>
            </w:pPr>
            <w:r>
              <w:rPr>
                <w:rFonts w:ascii="Arial" w:cs="Arial" w:eastAsia="Arial" w:hAnsi="Arial"/>
                <w:sz w:val="15"/>
                <w:szCs w:val="15"/>
                <w:color w:val="auto"/>
              </w:rPr>
              <w:t>ARB-3.03, Revised 10-22-2020</w:t>
            </w:r>
          </w:p>
        </w:tc>
        <w:tc>
          <w:tcPr>
            <w:tcW w:w="3600" w:type="dxa"/>
            <w:vAlign w:val="bottom"/>
          </w:tcPr>
          <w:p>
            <w:pPr>
              <w:spacing w:after="0"/>
              <w:rPr>
                <w:sz w:val="18"/>
                <w:szCs w:val="18"/>
                <w:color w:val="auto"/>
              </w:rPr>
            </w:pPr>
          </w:p>
        </w:tc>
        <w:tc>
          <w:tcPr>
            <w:tcW w:w="3660" w:type="dxa"/>
            <w:vAlign w:val="bottom"/>
          </w:tcPr>
          <w:p>
            <w:pPr>
              <w:spacing w:after="0"/>
              <w:rPr>
                <w:sz w:val="18"/>
                <w:szCs w:val="18"/>
                <w:color w:val="auto"/>
              </w:rPr>
            </w:pPr>
          </w:p>
        </w:tc>
      </w:tr>
      <w:tr>
        <w:trPr>
          <w:trHeight w:val="148"/>
        </w:trPr>
        <w:tc>
          <w:tcPr>
            <w:tcW w:w="3980" w:type="dxa"/>
            <w:vAlign w:val="bottom"/>
            <w:tcBorders>
              <w:bottom w:val="single" w:sz="8" w:color="9A9A9A"/>
            </w:tcBorders>
          </w:tcPr>
          <w:p>
            <w:pPr>
              <w:spacing w:after="0"/>
              <w:rPr>
                <w:sz w:val="12"/>
                <w:szCs w:val="12"/>
                <w:color w:val="auto"/>
              </w:rPr>
            </w:pPr>
          </w:p>
        </w:tc>
        <w:tc>
          <w:tcPr>
            <w:tcW w:w="3600" w:type="dxa"/>
            <w:vAlign w:val="bottom"/>
            <w:tcBorders>
              <w:bottom w:val="single" w:sz="8" w:color="9A9A9A"/>
            </w:tcBorders>
          </w:tcPr>
          <w:p>
            <w:pPr>
              <w:spacing w:after="0"/>
              <w:rPr>
                <w:sz w:val="12"/>
                <w:szCs w:val="12"/>
                <w:color w:val="auto"/>
              </w:rPr>
            </w:pPr>
          </w:p>
        </w:tc>
        <w:tc>
          <w:tcPr>
            <w:tcW w:w="366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8" w:right="339" w:bottom="1440" w:gutter="0" w:footer="0" w:header="0"/>
        </w:sectPr>
      </w:pPr>
    </w:p>
    <w:bookmarkStart w:id="115" w:name="page116"/>
    <w:bookmarkEnd w:id="115"/>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20" w:type="dxa"/>
            <w:vAlign w:val="bottom"/>
            <w:gridSpan w:val="2"/>
          </w:tcPr>
          <w:p>
            <w:pPr>
              <w:ind w:left="1540"/>
              <w:spacing w:after="0"/>
              <w:rPr>
                <w:sz w:val="20"/>
                <w:szCs w:val="20"/>
                <w:color w:val="auto"/>
              </w:rPr>
            </w:pPr>
            <w:r>
              <w:rPr>
                <w:rFonts w:ascii="Arial" w:cs="Arial" w:eastAsia="Arial" w:hAnsi="Arial"/>
                <w:sz w:val="23"/>
                <w:szCs w:val="23"/>
                <w:b w:val="1"/>
                <w:bCs w:val="1"/>
                <w:color w:val="auto"/>
              </w:rPr>
              <w:t>ADDENDUM TO SUBLEASE</w:t>
            </w:r>
          </w:p>
        </w:tc>
      </w:tr>
      <w:tr>
        <w:trPr>
          <w:trHeight w:val="468"/>
        </w:trPr>
        <w:tc>
          <w:tcPr>
            <w:tcW w:w="900" w:type="dxa"/>
            <w:vAlign w:val="bottom"/>
          </w:tcPr>
          <w:p>
            <w:pPr>
              <w:spacing w:after="0"/>
              <w:rPr>
                <w:sz w:val="24"/>
                <w:szCs w:val="24"/>
                <w:color w:val="auto"/>
              </w:rPr>
            </w:pPr>
          </w:p>
        </w:tc>
        <w:tc>
          <w:tcPr>
            <w:tcW w:w="1400" w:type="dxa"/>
            <w:vAlign w:val="bottom"/>
            <w:gridSpan w:val="4"/>
          </w:tcPr>
          <w:p>
            <w:pPr>
              <w:jc w:val="center"/>
              <w:ind w:left="10"/>
              <w:spacing w:after="0"/>
              <w:rPr>
                <w:sz w:val="20"/>
                <w:szCs w:val="20"/>
                <w:color w:val="auto"/>
              </w:rPr>
            </w:pPr>
            <w:r>
              <w:rPr>
                <w:rFonts w:ascii="Arial" w:cs="Arial" w:eastAsia="Arial" w:hAnsi="Arial"/>
                <w:sz w:val="16"/>
                <w:szCs w:val="16"/>
                <w:b w:val="1"/>
                <w:bCs w:val="1"/>
                <w:color w:val="auto"/>
              </w:rPr>
              <w:t>Date:</w:t>
            </w:r>
            <w:r>
              <w:rPr>
                <w:rFonts w:ascii="Arial" w:cs="Arial" w:eastAsia="Arial" w:hAnsi="Arial"/>
                <w:sz w:val="17"/>
                <w:szCs w:val="17"/>
                <w:color w:val="auto"/>
              </w:rPr>
              <w:t>4/4/22</w:t>
            </w:r>
          </w:p>
        </w:tc>
        <w:tc>
          <w:tcPr>
            <w:tcW w:w="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43"/>
        </w:trPr>
        <w:tc>
          <w:tcPr>
            <w:tcW w:w="900" w:type="dxa"/>
            <w:vAlign w:val="bottom"/>
          </w:tcPr>
          <w:p>
            <w:pPr>
              <w:spacing w:after="0"/>
              <w:rPr>
                <w:sz w:val="21"/>
                <w:szCs w:val="21"/>
                <w:color w:val="auto"/>
              </w:rPr>
            </w:pPr>
          </w:p>
        </w:tc>
        <w:tc>
          <w:tcPr>
            <w:tcW w:w="1400" w:type="dxa"/>
            <w:vAlign w:val="bottom"/>
            <w:gridSpan w:val="4"/>
          </w:tcPr>
          <w:p>
            <w:pPr>
              <w:jc w:val="center"/>
              <w:ind w:left="70"/>
              <w:spacing w:after="0"/>
              <w:rPr>
                <w:sz w:val="20"/>
                <w:szCs w:val="20"/>
                <w:color w:val="auto"/>
              </w:rPr>
            </w:pPr>
            <w:r>
              <w:rPr>
                <w:rFonts w:ascii="Arial" w:cs="Arial" w:eastAsia="Arial" w:hAnsi="Arial"/>
                <w:sz w:val="16"/>
                <w:szCs w:val="16"/>
                <w:b w:val="1"/>
                <w:bCs w:val="1"/>
                <w:color w:val="auto"/>
              </w:rPr>
              <w:t>By and Between</w:t>
            </w:r>
          </w:p>
        </w:tc>
        <w:tc>
          <w:tcPr>
            <w:tcW w:w="18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43"/>
        </w:trPr>
        <w:tc>
          <w:tcPr>
            <w:tcW w:w="900" w:type="dxa"/>
            <w:vAlign w:val="bottom"/>
          </w:tcPr>
          <w:p>
            <w:pPr>
              <w:spacing w:after="0"/>
              <w:rPr>
                <w:sz w:val="21"/>
                <w:szCs w:val="21"/>
                <w:color w:val="auto"/>
              </w:rPr>
            </w:pPr>
          </w:p>
        </w:tc>
        <w:tc>
          <w:tcPr>
            <w:tcW w:w="1400" w:type="dxa"/>
            <w:vAlign w:val="bottom"/>
            <w:gridSpan w:val="4"/>
          </w:tcPr>
          <w:p>
            <w:pPr>
              <w:jc w:val="center"/>
              <w:ind w:left="10"/>
              <w:spacing w:after="0"/>
              <w:rPr>
                <w:sz w:val="20"/>
                <w:szCs w:val="20"/>
                <w:color w:val="auto"/>
              </w:rPr>
            </w:pPr>
            <w:r>
              <w:rPr>
                <w:rFonts w:ascii="Arial" w:cs="Arial" w:eastAsia="Arial" w:hAnsi="Arial"/>
                <w:sz w:val="16"/>
                <w:szCs w:val="16"/>
                <w:b w:val="1"/>
                <w:bCs w:val="1"/>
                <w:color w:val="auto"/>
              </w:rPr>
              <w:t>Sublessor:</w:t>
            </w:r>
          </w:p>
        </w:tc>
        <w:tc>
          <w:tcPr>
            <w:tcW w:w="4800" w:type="dxa"/>
            <w:vAlign w:val="bottom"/>
            <w:gridSpan w:val="3"/>
          </w:tcPr>
          <w:p>
            <w:pPr>
              <w:jc w:val="center"/>
              <w:ind w:right="3840"/>
              <w:spacing w:after="0"/>
              <w:rPr>
                <w:sz w:val="20"/>
                <w:szCs w:val="20"/>
                <w:color w:val="auto"/>
              </w:rPr>
            </w:pPr>
            <w:r>
              <w:rPr>
                <w:rFonts w:ascii="Arial" w:cs="Arial" w:eastAsia="Arial" w:hAnsi="Arial"/>
                <w:sz w:val="16"/>
                <w:szCs w:val="16"/>
                <w:color w:val="auto"/>
              </w:rPr>
              <w:t>RxSight, Inc.</w:t>
            </w:r>
          </w:p>
        </w:tc>
      </w:tr>
      <w:tr>
        <w:trPr>
          <w:trHeight w:val="270"/>
        </w:trPr>
        <w:tc>
          <w:tcPr>
            <w:tcW w:w="900" w:type="dxa"/>
            <w:vAlign w:val="bottom"/>
          </w:tcPr>
          <w:p>
            <w:pPr>
              <w:spacing w:after="0"/>
              <w:rPr>
                <w:sz w:val="23"/>
                <w:szCs w:val="23"/>
                <w:color w:val="auto"/>
              </w:rPr>
            </w:pPr>
          </w:p>
        </w:tc>
        <w:tc>
          <w:tcPr>
            <w:tcW w:w="1400" w:type="dxa"/>
            <w:vAlign w:val="bottom"/>
            <w:gridSpan w:val="4"/>
          </w:tcPr>
          <w:p>
            <w:pPr>
              <w:jc w:val="center"/>
              <w:ind w:left="30"/>
              <w:spacing w:after="0"/>
              <w:rPr>
                <w:sz w:val="20"/>
                <w:szCs w:val="20"/>
                <w:color w:val="auto"/>
              </w:rPr>
            </w:pPr>
            <w:r>
              <w:rPr>
                <w:rFonts w:ascii="Arial" w:cs="Arial" w:eastAsia="Arial" w:hAnsi="Arial"/>
                <w:sz w:val="16"/>
                <w:szCs w:val="16"/>
                <w:b w:val="1"/>
                <w:bCs w:val="1"/>
                <w:color w:val="auto"/>
              </w:rPr>
              <w:t>Sublessee:</w:t>
            </w:r>
          </w:p>
        </w:tc>
        <w:tc>
          <w:tcPr>
            <w:tcW w:w="4800" w:type="dxa"/>
            <w:vAlign w:val="bottom"/>
            <w:gridSpan w:val="3"/>
          </w:tcPr>
          <w:p>
            <w:pPr>
              <w:ind w:left="140"/>
              <w:spacing w:after="0"/>
              <w:rPr>
                <w:sz w:val="20"/>
                <w:szCs w:val="20"/>
                <w:color w:val="auto"/>
              </w:rPr>
            </w:pPr>
            <w:r>
              <w:rPr>
                <w:rFonts w:ascii="Arial" w:cs="Arial" w:eastAsia="Arial" w:hAnsi="Arial"/>
                <w:sz w:val="17"/>
                <w:szCs w:val="17"/>
                <w:color w:val="auto"/>
              </w:rPr>
              <w:t>Compass Bible Church</w:t>
            </w:r>
          </w:p>
        </w:tc>
      </w:tr>
      <w:tr>
        <w:trPr>
          <w:trHeight w:val="237"/>
        </w:trPr>
        <w:tc>
          <w:tcPr>
            <w:tcW w:w="900" w:type="dxa"/>
            <w:vAlign w:val="bottom"/>
          </w:tcPr>
          <w:p>
            <w:pPr>
              <w:spacing w:after="0"/>
              <w:rPr>
                <w:sz w:val="20"/>
                <w:szCs w:val="20"/>
                <w:color w:val="auto"/>
              </w:rPr>
            </w:pPr>
          </w:p>
        </w:tc>
        <w:tc>
          <w:tcPr>
            <w:tcW w:w="6200" w:type="dxa"/>
            <w:vAlign w:val="bottom"/>
            <w:gridSpan w:val="7"/>
          </w:tcPr>
          <w:p>
            <w:pPr>
              <w:jc w:val="center"/>
              <w:ind w:right="2380"/>
              <w:spacing w:after="0"/>
              <w:rPr>
                <w:sz w:val="20"/>
                <w:szCs w:val="20"/>
                <w:color w:val="auto"/>
              </w:rPr>
            </w:pPr>
            <w:r>
              <w:rPr>
                <w:rFonts w:ascii="Arial" w:cs="Arial" w:eastAsia="Arial" w:hAnsi="Arial"/>
                <w:sz w:val="16"/>
                <w:szCs w:val="16"/>
                <w:b w:val="1"/>
                <w:bCs w:val="1"/>
                <w:color w:val="auto"/>
              </w:rPr>
              <w:t xml:space="preserve">Property Address: </w:t>
            </w:r>
            <w:r>
              <w:rPr>
                <w:rFonts w:ascii="Arial" w:cs="Arial" w:eastAsia="Arial" w:hAnsi="Arial"/>
                <w:sz w:val="17"/>
                <w:szCs w:val="17"/>
                <w:color w:val="auto"/>
              </w:rPr>
              <w:t>5 Columbia, Aliso Viejo. CA</w:t>
            </w:r>
          </w:p>
        </w:tc>
      </w:tr>
      <w:tr>
        <w:trPr>
          <w:trHeight w:val="20"/>
        </w:trPr>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70"/>
        </w:trPr>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20" w:type="dxa"/>
            <w:vAlign w:val="bottom"/>
            <w:gridSpan w:val="2"/>
          </w:tcPr>
          <w:p>
            <w:pPr>
              <w:ind w:left="960"/>
              <w:spacing w:after="0"/>
              <w:rPr>
                <w:sz w:val="20"/>
                <w:szCs w:val="20"/>
                <w:color w:val="auto"/>
              </w:rPr>
            </w:pPr>
            <w:r>
              <w:rPr>
                <w:rFonts w:ascii="Arial" w:cs="Arial" w:eastAsia="Arial" w:hAnsi="Arial"/>
                <w:sz w:val="13"/>
                <w:szCs w:val="13"/>
                <w:color w:val="auto"/>
              </w:rPr>
              <w:t>(street address, city, state, zip)</w:t>
            </w:r>
          </w:p>
        </w:tc>
      </w:tr>
      <w:tr>
        <w:trPr>
          <w:trHeight w:val="377"/>
        </w:trPr>
        <w:tc>
          <w:tcPr>
            <w:tcW w:w="2300" w:type="dxa"/>
            <w:vAlign w:val="bottom"/>
            <w:gridSpan w:val="5"/>
          </w:tcPr>
          <w:p>
            <w:pPr>
              <w:spacing w:after="0"/>
              <w:rPr>
                <w:sz w:val="20"/>
                <w:szCs w:val="20"/>
                <w:color w:val="auto"/>
              </w:rPr>
            </w:pPr>
            <w:r>
              <w:rPr>
                <w:rFonts w:ascii="Arial" w:cs="Arial" w:eastAsia="Arial" w:hAnsi="Arial"/>
                <w:sz w:val="13"/>
                <w:szCs w:val="13"/>
                <w:color w:val="auto"/>
              </w:rPr>
              <w:t>Paragraph:16 – 21</w:t>
            </w:r>
          </w:p>
        </w:tc>
        <w:tc>
          <w:tcPr>
            <w:tcW w:w="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bl>
    <w:p>
      <w:pPr>
        <w:spacing w:after="0" w:line="68" w:lineRule="exact"/>
        <w:rPr>
          <w:sz w:val="20"/>
          <w:szCs w:val="20"/>
          <w:color w:val="auto"/>
        </w:rPr>
      </w:pPr>
    </w:p>
    <w:p>
      <w:pPr>
        <w:ind w:left="40"/>
        <w:spacing w:after="0"/>
        <w:rPr>
          <w:sz w:val="20"/>
          <w:szCs w:val="20"/>
          <w:color w:val="auto"/>
        </w:rPr>
      </w:pPr>
      <w:r>
        <w:rPr>
          <w:rFonts w:ascii="Arial" w:cs="Arial" w:eastAsia="Arial" w:hAnsi="Arial"/>
          <w:sz w:val="13"/>
          <w:szCs w:val="13"/>
          <w:color w:val="auto"/>
        </w:rPr>
        <w:t>In the event of any conflict between the provisions of this Addendum and the printed provisions of the Sublease, this Addendum shall control.</w:t>
      </w:r>
    </w:p>
    <w:p>
      <w:pPr>
        <w:spacing w:after="0" w:line="58" w:lineRule="exact"/>
        <w:rPr>
          <w:sz w:val="20"/>
          <w:szCs w:val="20"/>
          <w:color w:val="auto"/>
        </w:rPr>
      </w:pPr>
    </w:p>
    <w:p>
      <w:pPr>
        <w:ind w:right="220"/>
        <w:spacing w:after="0" w:line="275" w:lineRule="auto"/>
        <w:rPr>
          <w:sz w:val="20"/>
          <w:szCs w:val="20"/>
          <w:color w:val="auto"/>
        </w:rPr>
      </w:pPr>
      <w:r>
        <w:rPr>
          <w:rFonts w:ascii="Calibri" w:cs="Calibri" w:eastAsia="Calibri" w:hAnsi="Calibri"/>
          <w:sz w:val="20"/>
          <w:szCs w:val="20"/>
          <w:color w:val="FF0000"/>
        </w:rPr>
        <w:t>16.</w:t>
      </w:r>
      <w:r>
        <w:rPr>
          <w:rFonts w:ascii="Arial" w:cs="Arial" w:eastAsia="Arial" w:hAnsi="Arial"/>
          <w:sz w:val="20"/>
          <w:szCs w:val="20"/>
          <w:u w:val="single" w:color="auto"/>
          <w:color w:val="FF0000"/>
        </w:rPr>
        <w:t>Utilities.</w:t>
      </w:r>
      <w:r>
        <w:rPr>
          <w:rFonts w:ascii="Calibri" w:cs="Calibri" w:eastAsia="Calibri" w:hAnsi="Calibri"/>
          <w:sz w:val="20"/>
          <w:szCs w:val="20"/>
          <w:color w:val="FF0000"/>
        </w:rPr>
        <w:t xml:space="preserve"> </w:t>
      </w:r>
      <w:r>
        <w:rPr>
          <w:rFonts w:ascii="Arial" w:cs="Arial" w:eastAsia="Arial" w:hAnsi="Arial"/>
          <w:sz w:val="20"/>
          <w:szCs w:val="20"/>
          <w:color w:val="FF0000"/>
        </w:rPr>
        <w:t>Sublessee shall pay Sublessor one hundred percent (100%) of the difference of the energy utilities bill in excess of</w:t>
      </w:r>
      <w:r>
        <w:rPr>
          <w:rFonts w:ascii="Calibri" w:cs="Calibri" w:eastAsia="Calibri" w:hAnsi="Calibri"/>
          <w:sz w:val="20"/>
          <w:szCs w:val="20"/>
          <w:color w:val="FF0000"/>
        </w:rPr>
        <w:t xml:space="preserve"> </w:t>
      </w:r>
      <w:r>
        <w:rPr>
          <w:rFonts w:ascii="Arial" w:cs="Arial" w:eastAsia="Arial" w:hAnsi="Arial"/>
          <w:sz w:val="20"/>
          <w:szCs w:val="20"/>
          <w:color w:val="FF0000"/>
        </w:rPr>
        <w:t>the following amounts each quarter: Q1 - $5,441.61; Q2 - $6,644.77; Q</w:t>
      </w:r>
      <w:r>
        <w:rPr>
          <w:rFonts w:ascii="Arial" w:cs="Arial" w:eastAsia="Arial" w:hAnsi="Arial"/>
          <w:sz w:val="21"/>
          <w:szCs w:val="21"/>
          <w:color w:val="FF0000"/>
        </w:rPr>
        <w:t>3</w:t>
      </w:r>
      <w:r>
        <w:rPr>
          <w:rFonts w:ascii="Arial" w:cs="Arial" w:eastAsia="Arial" w:hAnsi="Arial"/>
          <w:sz w:val="20"/>
          <w:szCs w:val="20"/>
          <w:color w:val="FF0000"/>
        </w:rPr>
        <w:t xml:space="preserve"> - $8,817.69; Q4 - $5,761.50.</w:t>
      </w:r>
    </w:p>
    <w:p>
      <w:pPr>
        <w:ind w:right="220"/>
        <w:spacing w:after="0" w:line="285" w:lineRule="auto"/>
        <w:rPr>
          <w:sz w:val="20"/>
          <w:szCs w:val="20"/>
          <w:color w:val="auto"/>
        </w:rPr>
      </w:pPr>
      <w:r>
        <w:rPr>
          <w:rFonts w:ascii="Calibri" w:cs="Calibri" w:eastAsia="Calibri" w:hAnsi="Calibri"/>
          <w:sz w:val="20"/>
          <w:szCs w:val="20"/>
          <w:color w:val="FF0000"/>
        </w:rPr>
        <w:t>17.</w:t>
      </w:r>
      <w:r>
        <w:rPr>
          <w:rFonts w:ascii="Arial" w:cs="Arial" w:eastAsia="Arial" w:hAnsi="Arial"/>
          <w:sz w:val="20"/>
          <w:szCs w:val="20"/>
          <w:u w:val="single" w:color="auto"/>
          <w:color w:val="FF0000"/>
        </w:rPr>
        <w:t>Personal Property.</w:t>
      </w:r>
      <w:r>
        <w:rPr>
          <w:rFonts w:ascii="Calibri" w:cs="Calibri" w:eastAsia="Calibri" w:hAnsi="Calibri"/>
          <w:sz w:val="20"/>
          <w:szCs w:val="20"/>
          <w:color w:val="FF0000"/>
        </w:rPr>
        <w:t xml:space="preserve"> </w:t>
      </w:r>
      <w:r>
        <w:rPr>
          <w:rFonts w:ascii="Arial" w:cs="Arial" w:eastAsia="Arial" w:hAnsi="Arial"/>
          <w:sz w:val="20"/>
          <w:szCs w:val="20"/>
          <w:color w:val="FF0000"/>
        </w:rPr>
        <w:t>The personal property of Sublessor at the Premises, including the warehouse racking, shall be removed</w:t>
      </w:r>
      <w:r>
        <w:rPr>
          <w:rFonts w:ascii="Calibri" w:cs="Calibri" w:eastAsia="Calibri" w:hAnsi="Calibri"/>
          <w:sz w:val="20"/>
          <w:szCs w:val="20"/>
          <w:color w:val="FF0000"/>
        </w:rPr>
        <w:t xml:space="preserve"> </w:t>
      </w:r>
      <w:r>
        <w:rPr>
          <w:rFonts w:ascii="Arial" w:cs="Arial" w:eastAsia="Arial" w:hAnsi="Arial"/>
          <w:sz w:val="20"/>
          <w:szCs w:val="20"/>
          <w:color w:val="FF0000"/>
        </w:rPr>
        <w:t>prior to the Commencement Date.</w:t>
      </w:r>
    </w:p>
    <w:p>
      <w:pPr>
        <w:spacing w:after="0" w:line="1" w:lineRule="exact"/>
        <w:rPr>
          <w:sz w:val="20"/>
          <w:szCs w:val="20"/>
          <w:color w:val="auto"/>
        </w:rPr>
      </w:pPr>
    </w:p>
    <w:p>
      <w:pPr>
        <w:spacing w:after="0"/>
        <w:rPr>
          <w:sz w:val="20"/>
          <w:szCs w:val="20"/>
          <w:color w:val="auto"/>
        </w:rPr>
      </w:pPr>
      <w:r>
        <w:rPr>
          <w:rFonts w:ascii="Calibri" w:cs="Calibri" w:eastAsia="Calibri" w:hAnsi="Calibri"/>
          <w:sz w:val="19"/>
          <w:szCs w:val="19"/>
          <w:color w:val="FF0000"/>
        </w:rPr>
        <w:t>18.</w:t>
      </w:r>
      <w:r>
        <w:rPr>
          <w:rFonts w:ascii="Arial" w:cs="Arial" w:eastAsia="Arial" w:hAnsi="Arial"/>
          <w:sz w:val="19"/>
          <w:szCs w:val="19"/>
          <w:u w:val="single" w:color="auto"/>
          <w:color w:val="FF0000"/>
        </w:rPr>
        <w:t>Sublessee Option to Extend.</w:t>
      </w:r>
      <w:r>
        <w:rPr>
          <w:rFonts w:ascii="Calibri" w:cs="Calibri" w:eastAsia="Calibri" w:hAnsi="Calibri"/>
          <w:sz w:val="19"/>
          <w:szCs w:val="19"/>
          <w:color w:val="FF0000"/>
        </w:rPr>
        <w:t xml:space="preserve"> </w:t>
      </w:r>
      <w:r>
        <w:rPr>
          <w:rFonts w:ascii="Arial" w:cs="Arial" w:eastAsia="Arial" w:hAnsi="Arial"/>
          <w:sz w:val="19"/>
          <w:szCs w:val="19"/>
          <w:color w:val="FF0000"/>
        </w:rPr>
        <w:t>In the event Sublessor exercises any option to extend the Master Lease Agreement with Lessor,</w:t>
      </w:r>
    </w:p>
    <w:p>
      <w:pPr>
        <w:spacing w:after="0" w:line="29" w:lineRule="exact"/>
        <w:rPr>
          <w:sz w:val="20"/>
          <w:szCs w:val="20"/>
          <w:color w:val="auto"/>
        </w:rPr>
      </w:pPr>
    </w:p>
    <w:p>
      <w:pPr>
        <w:ind w:right="140"/>
        <w:spacing w:after="0" w:line="253" w:lineRule="auto"/>
        <w:rPr>
          <w:sz w:val="20"/>
          <w:szCs w:val="20"/>
          <w:color w:val="auto"/>
        </w:rPr>
      </w:pPr>
      <w:r>
        <w:rPr>
          <w:rFonts w:ascii="Arial" w:cs="Arial" w:eastAsia="Arial" w:hAnsi="Arial"/>
          <w:sz w:val="20"/>
          <w:szCs w:val="20"/>
          <w:color w:val="FF0000"/>
        </w:rPr>
        <w:t>as amended, Sublessee shall have the option to extend the Sublease Agreement. The Market Rental Value Adjustment for any option to extend period by the Master Lease’s OPTION(S) TO EXTEND STANDARD LEASE ADDENDUM will be consistent with Sublessor’s rent increase to Sublessee as a percentage (%).</w:t>
      </w:r>
    </w:p>
    <w:p>
      <w:pPr>
        <w:spacing w:after="0" w:line="11" w:lineRule="exact"/>
        <w:rPr>
          <w:sz w:val="20"/>
          <w:szCs w:val="20"/>
          <w:color w:val="auto"/>
        </w:rPr>
      </w:pPr>
    </w:p>
    <w:p>
      <w:pPr>
        <w:ind w:right="40"/>
        <w:spacing w:after="0" w:line="265" w:lineRule="auto"/>
        <w:rPr>
          <w:sz w:val="20"/>
          <w:szCs w:val="20"/>
          <w:color w:val="auto"/>
        </w:rPr>
      </w:pPr>
      <w:r>
        <w:rPr>
          <w:rFonts w:ascii="Calibri" w:cs="Calibri" w:eastAsia="Calibri" w:hAnsi="Calibri"/>
          <w:sz w:val="20"/>
          <w:szCs w:val="20"/>
          <w:color w:val="FF0000"/>
        </w:rPr>
        <w:t>19.</w:t>
      </w:r>
      <w:r>
        <w:rPr>
          <w:rFonts w:ascii="Arial" w:cs="Arial" w:eastAsia="Arial" w:hAnsi="Arial"/>
          <w:sz w:val="20"/>
          <w:szCs w:val="20"/>
          <w:u w:val="single" w:color="auto"/>
          <w:color w:val="FF0000"/>
        </w:rPr>
        <w:t>Sublessor Option.</w:t>
      </w:r>
      <w:r>
        <w:rPr>
          <w:rFonts w:ascii="Calibri" w:cs="Calibri" w:eastAsia="Calibri" w:hAnsi="Calibri"/>
          <w:sz w:val="20"/>
          <w:szCs w:val="20"/>
          <w:color w:val="FF0000"/>
        </w:rPr>
        <w:t xml:space="preserve"> </w:t>
      </w:r>
      <w:r>
        <w:rPr>
          <w:rFonts w:ascii="Arial" w:cs="Arial" w:eastAsia="Arial" w:hAnsi="Arial"/>
          <w:sz w:val="20"/>
          <w:szCs w:val="20"/>
          <w:color w:val="FF0000"/>
        </w:rPr>
        <w:t>Sublessor shall have the option to take back half of the Premises at any time with at least three (3) months</w:t>
      </w:r>
      <w:r>
        <w:rPr>
          <w:rFonts w:ascii="Calibri" w:cs="Calibri" w:eastAsia="Calibri" w:hAnsi="Calibri"/>
          <w:sz w:val="20"/>
          <w:szCs w:val="20"/>
          <w:color w:val="FF0000"/>
        </w:rPr>
        <w:t xml:space="preserve"> </w:t>
      </w:r>
      <w:r>
        <w:rPr>
          <w:rFonts w:ascii="Arial" w:cs="Arial" w:eastAsia="Arial" w:hAnsi="Arial"/>
          <w:sz w:val="20"/>
          <w:szCs w:val="20"/>
          <w:color w:val="FF0000"/>
        </w:rPr>
        <w:t>advanced written notice to Sublessee.</w:t>
      </w:r>
    </w:p>
    <w:p>
      <w:pPr>
        <w:spacing w:after="0" w:line="1" w:lineRule="exact"/>
        <w:rPr>
          <w:sz w:val="20"/>
          <w:szCs w:val="20"/>
          <w:color w:val="auto"/>
        </w:rPr>
      </w:pPr>
    </w:p>
    <w:p>
      <w:pPr>
        <w:ind w:right="320"/>
        <w:spacing w:after="0" w:line="268" w:lineRule="auto"/>
        <w:rPr>
          <w:sz w:val="20"/>
          <w:szCs w:val="20"/>
          <w:color w:val="auto"/>
        </w:rPr>
      </w:pPr>
      <w:r>
        <w:rPr>
          <w:rFonts w:ascii="Calibri" w:cs="Calibri" w:eastAsia="Calibri" w:hAnsi="Calibri"/>
          <w:sz w:val="20"/>
          <w:szCs w:val="20"/>
          <w:color w:val="FF0000"/>
        </w:rPr>
        <w:t>20.</w:t>
      </w:r>
      <w:r>
        <w:rPr>
          <w:rFonts w:ascii="Arial" w:cs="Arial" w:eastAsia="Arial" w:hAnsi="Arial"/>
          <w:sz w:val="20"/>
          <w:szCs w:val="20"/>
          <w:u w:val="single" w:color="auto"/>
          <w:color w:val="FF0000"/>
        </w:rPr>
        <w:t>Termination.</w:t>
      </w:r>
      <w:r>
        <w:rPr>
          <w:rFonts w:ascii="Calibri" w:cs="Calibri" w:eastAsia="Calibri" w:hAnsi="Calibri"/>
          <w:sz w:val="20"/>
          <w:szCs w:val="20"/>
          <w:color w:val="FF0000"/>
        </w:rPr>
        <w:t xml:space="preserve"> </w:t>
      </w:r>
      <w:r>
        <w:rPr>
          <w:rFonts w:ascii="Arial" w:cs="Arial" w:eastAsia="Arial" w:hAnsi="Arial"/>
          <w:sz w:val="20"/>
          <w:szCs w:val="20"/>
          <w:color w:val="FF0000"/>
        </w:rPr>
        <w:t>Sublessor may terminate the Sublease Agreement at any time with at least nine (9) months advanced written</w:t>
      </w:r>
      <w:r>
        <w:rPr>
          <w:rFonts w:ascii="Calibri" w:cs="Calibri" w:eastAsia="Calibri" w:hAnsi="Calibri"/>
          <w:sz w:val="20"/>
          <w:szCs w:val="20"/>
          <w:color w:val="FF0000"/>
        </w:rPr>
        <w:t xml:space="preserve"> </w:t>
      </w:r>
      <w:r>
        <w:rPr>
          <w:rFonts w:ascii="Arial" w:cs="Arial" w:eastAsia="Arial" w:hAnsi="Arial"/>
          <w:sz w:val="20"/>
          <w:szCs w:val="20"/>
          <w:color w:val="FF0000"/>
        </w:rPr>
        <w:t>notice to Sublessee.</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20"/>
          <w:szCs w:val="20"/>
          <w:color w:val="FF0000"/>
        </w:rPr>
        <w:t xml:space="preserve">21. </w:t>
      </w:r>
      <w:r>
        <w:rPr>
          <w:rFonts w:ascii="Arial" w:cs="Arial" w:eastAsia="Arial" w:hAnsi="Arial"/>
          <w:sz w:val="20"/>
          <w:szCs w:val="20"/>
          <w:u w:val="single" w:color="auto"/>
          <w:color w:val="FF0000"/>
        </w:rPr>
        <w:t>Payments to Sublessor.</w:t>
      </w:r>
      <w:r>
        <w:rPr>
          <w:rFonts w:ascii="Arial" w:cs="Arial" w:eastAsia="Arial" w:hAnsi="Arial"/>
          <w:sz w:val="20"/>
          <w:szCs w:val="20"/>
          <w:color w:val="FF0000"/>
        </w:rPr>
        <w:t xml:space="preserve"> All payments shall be made to Sublessor via ACH electronic transfer:</w:t>
      </w:r>
    </w:p>
    <w:p>
      <w:pPr>
        <w:spacing w:after="0" w:line="164" w:lineRule="exact"/>
        <w:rPr>
          <w:sz w:val="20"/>
          <w:szCs w:val="20"/>
          <w:color w:val="auto"/>
        </w:rPr>
      </w:pPr>
    </w:p>
    <w:p>
      <w:pPr>
        <w:jc w:val="center"/>
        <w:spacing w:after="0"/>
        <w:rPr>
          <w:sz w:val="20"/>
          <w:szCs w:val="20"/>
          <w:color w:val="auto"/>
        </w:rPr>
      </w:pPr>
      <w:r>
        <w:rPr>
          <w:rFonts w:ascii="Calibri" w:cs="Calibri" w:eastAsia="Calibri" w:hAnsi="Calibri"/>
          <w:sz w:val="13"/>
          <w:szCs w:val="13"/>
          <w:color w:val="auto"/>
        </w:rPr>
        <w:t xml:space="preserve">AIR CRE * </w:t>
      </w:r>
      <w:r>
        <w:rPr>
          <w:rFonts w:ascii="Calibri" w:cs="Calibri" w:eastAsia="Calibri" w:hAnsi="Calibri"/>
          <w:sz w:val="13"/>
          <w:szCs w:val="13"/>
          <w:b w:val="1"/>
          <w:bCs w:val="1"/>
          <w:color w:val="auto"/>
        </w:rPr>
        <w:t>htps://www.aircre.com</w:t>
      </w:r>
      <w:r>
        <w:rPr>
          <w:rFonts w:ascii="Calibri" w:cs="Calibri" w:eastAsia="Calibri" w:hAnsi="Calibri"/>
          <w:sz w:val="13"/>
          <w:szCs w:val="13"/>
          <w:color w:val="auto"/>
        </w:rPr>
        <w:t xml:space="preserve"> * 213-687-8777 * </w:t>
      </w:r>
      <w:r>
        <w:rPr>
          <w:rFonts w:ascii="Calibri" w:cs="Calibri" w:eastAsia="Calibri" w:hAnsi="Calibri"/>
          <w:sz w:val="13"/>
          <w:szCs w:val="13"/>
          <w:b w:val="1"/>
          <w:bCs w:val="1"/>
          <w:color w:val="auto"/>
        </w:rPr>
        <w:t>Email [***]</w:t>
      </w:r>
    </w:p>
    <w:p>
      <w:pPr>
        <w:spacing w:after="0" w:line="17" w:lineRule="exact"/>
        <w:rPr>
          <w:sz w:val="20"/>
          <w:szCs w:val="20"/>
          <w:color w:val="auto"/>
        </w:rPr>
      </w:pPr>
    </w:p>
    <w:p>
      <w:pPr>
        <w:jc w:val="center"/>
        <w:spacing w:after="0"/>
        <w:rPr>
          <w:sz w:val="20"/>
          <w:szCs w:val="20"/>
          <w:color w:val="auto"/>
        </w:rPr>
      </w:pPr>
      <w:r>
        <w:rPr>
          <w:rFonts w:ascii="Calibri" w:cs="Calibri" w:eastAsia="Calibri" w:hAnsi="Calibri"/>
          <w:sz w:val="13"/>
          <w:szCs w:val="13"/>
          <w:color w:val="auto"/>
        </w:rPr>
        <w:t>NOTICE: No part of these works may be reproduced in any form without permission in writng.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288925</wp:posOffset>
            </wp:positionV>
            <wp:extent cx="497205" cy="38608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97205" cy="38608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288925</wp:posOffset>
            </wp:positionV>
            <wp:extent cx="574040" cy="402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7404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980" w:type="dxa"/>
            <w:vAlign w:val="bottom"/>
          </w:tcPr>
          <w:p>
            <w:pPr>
              <w:ind w:left="20"/>
              <w:spacing w:after="0"/>
              <w:rPr>
                <w:sz w:val="20"/>
                <w:szCs w:val="20"/>
                <w:color w:val="auto"/>
              </w:rPr>
            </w:pPr>
            <w:r>
              <w:rPr>
                <w:rFonts w:ascii="Arial" w:cs="Arial" w:eastAsia="Arial" w:hAnsi="Arial"/>
                <w:sz w:val="15"/>
                <w:szCs w:val="15"/>
                <w:color w:val="auto"/>
              </w:rPr>
              <w:t>INITIALS</w:t>
            </w:r>
          </w:p>
        </w:tc>
        <w:tc>
          <w:tcPr>
            <w:tcW w:w="3600" w:type="dxa"/>
            <w:vAlign w:val="bottom"/>
          </w:tcPr>
          <w:p>
            <w:pPr>
              <w:ind w:left="1340"/>
              <w:spacing w:after="0"/>
              <w:rPr>
                <w:sz w:val="20"/>
                <w:szCs w:val="20"/>
                <w:color w:val="auto"/>
              </w:rPr>
            </w:pPr>
            <w:r>
              <w:rPr>
                <w:rFonts w:ascii="Arial" w:cs="Arial" w:eastAsia="Arial" w:hAnsi="Arial"/>
                <w:sz w:val="15"/>
                <w:szCs w:val="15"/>
                <w:color w:val="auto"/>
              </w:rPr>
              <w:t>INITIALS</w:t>
            </w:r>
          </w:p>
        </w:tc>
        <w:tc>
          <w:tcPr>
            <w:tcW w:w="3660" w:type="dxa"/>
            <w:vAlign w:val="bottom"/>
          </w:tcPr>
          <w:p>
            <w:pPr>
              <w:jc w:val="right"/>
              <w:spacing w:after="0"/>
              <w:rPr>
                <w:sz w:val="20"/>
                <w:szCs w:val="20"/>
                <w:color w:val="auto"/>
              </w:rPr>
            </w:pPr>
            <w:r>
              <w:rPr>
                <w:rFonts w:ascii="Arial" w:cs="Arial" w:eastAsia="Arial" w:hAnsi="Arial"/>
                <w:sz w:val="14"/>
                <w:szCs w:val="14"/>
                <w:color w:val="auto"/>
              </w:rPr>
              <w:t>Last Edited: 4/4/2022 10:50 AM</w:t>
            </w:r>
          </w:p>
        </w:tc>
      </w:tr>
      <w:tr>
        <w:trPr>
          <w:trHeight w:val="216"/>
        </w:trPr>
        <w:tc>
          <w:tcPr>
            <w:tcW w:w="3980" w:type="dxa"/>
            <w:vAlign w:val="bottom"/>
          </w:tcPr>
          <w:p>
            <w:pPr>
              <w:ind w:left="20"/>
              <w:spacing w:after="0"/>
              <w:rPr>
                <w:sz w:val="20"/>
                <w:szCs w:val="20"/>
                <w:color w:val="auto"/>
              </w:rPr>
            </w:pPr>
            <w:r>
              <w:rPr>
                <w:rFonts w:ascii="Arial" w:cs="Arial" w:eastAsia="Arial" w:hAnsi="Arial"/>
                <w:sz w:val="15"/>
                <w:szCs w:val="15"/>
                <w:color w:val="auto"/>
              </w:rPr>
              <w:t>© 2017 AIR CRE. All Rights Reserved.</w:t>
            </w:r>
          </w:p>
        </w:tc>
        <w:tc>
          <w:tcPr>
            <w:tcW w:w="3600" w:type="dxa"/>
            <w:vAlign w:val="bottom"/>
          </w:tcPr>
          <w:p>
            <w:pPr>
              <w:spacing w:after="0"/>
              <w:rPr>
                <w:sz w:val="18"/>
                <w:szCs w:val="18"/>
                <w:color w:val="auto"/>
              </w:rPr>
            </w:pPr>
          </w:p>
        </w:tc>
        <w:tc>
          <w:tcPr>
            <w:tcW w:w="3660" w:type="dxa"/>
            <w:vAlign w:val="bottom"/>
          </w:tcPr>
          <w:p>
            <w:pPr>
              <w:jc w:val="right"/>
              <w:spacing w:after="0"/>
              <w:rPr>
                <w:sz w:val="20"/>
                <w:szCs w:val="20"/>
                <w:color w:val="auto"/>
              </w:rPr>
            </w:pPr>
            <w:r>
              <w:rPr>
                <w:rFonts w:ascii="Arial" w:cs="Arial" w:eastAsia="Arial" w:hAnsi="Arial"/>
                <w:sz w:val="14"/>
                <w:szCs w:val="14"/>
                <w:color w:val="auto"/>
              </w:rPr>
              <w:t>Page 2 of 2</w:t>
            </w:r>
          </w:p>
        </w:tc>
      </w:tr>
      <w:tr>
        <w:trPr>
          <w:trHeight w:val="203"/>
        </w:trPr>
        <w:tc>
          <w:tcPr>
            <w:tcW w:w="3980" w:type="dxa"/>
            <w:vAlign w:val="bottom"/>
          </w:tcPr>
          <w:p>
            <w:pPr>
              <w:ind w:left="20"/>
              <w:spacing w:after="0"/>
              <w:rPr>
                <w:sz w:val="20"/>
                <w:szCs w:val="20"/>
                <w:color w:val="auto"/>
              </w:rPr>
            </w:pPr>
            <w:r>
              <w:rPr>
                <w:rFonts w:ascii="Arial" w:cs="Arial" w:eastAsia="Arial" w:hAnsi="Arial"/>
                <w:sz w:val="15"/>
                <w:szCs w:val="15"/>
                <w:color w:val="auto"/>
              </w:rPr>
              <w:t>ARB-3.03, Revised 10-22-2020</w:t>
            </w:r>
          </w:p>
        </w:tc>
        <w:tc>
          <w:tcPr>
            <w:tcW w:w="3600" w:type="dxa"/>
            <w:vAlign w:val="bottom"/>
          </w:tcPr>
          <w:p>
            <w:pPr>
              <w:spacing w:after="0"/>
              <w:rPr>
                <w:sz w:val="17"/>
                <w:szCs w:val="17"/>
                <w:color w:val="auto"/>
              </w:rPr>
            </w:pPr>
          </w:p>
        </w:tc>
        <w:tc>
          <w:tcPr>
            <w:tcW w:w="3660" w:type="dxa"/>
            <w:vAlign w:val="bottom"/>
          </w:tcPr>
          <w:p>
            <w:pPr>
              <w:spacing w:after="0"/>
              <w:rPr>
                <w:sz w:val="17"/>
                <w:szCs w:val="17"/>
                <w:color w:val="auto"/>
              </w:rPr>
            </w:pPr>
          </w:p>
        </w:tc>
      </w:tr>
      <w:tr>
        <w:trPr>
          <w:trHeight w:val="148"/>
        </w:trPr>
        <w:tc>
          <w:tcPr>
            <w:tcW w:w="3980" w:type="dxa"/>
            <w:vAlign w:val="bottom"/>
            <w:tcBorders>
              <w:bottom w:val="single" w:sz="8" w:color="9A9A9A"/>
            </w:tcBorders>
          </w:tcPr>
          <w:p>
            <w:pPr>
              <w:spacing w:after="0"/>
              <w:rPr>
                <w:sz w:val="12"/>
                <w:szCs w:val="12"/>
                <w:color w:val="auto"/>
              </w:rPr>
            </w:pPr>
          </w:p>
        </w:tc>
        <w:tc>
          <w:tcPr>
            <w:tcW w:w="3600" w:type="dxa"/>
            <w:vAlign w:val="bottom"/>
            <w:tcBorders>
              <w:bottom w:val="single" w:sz="8" w:color="9A9A9A"/>
            </w:tcBorders>
          </w:tcPr>
          <w:p>
            <w:pPr>
              <w:spacing w:after="0"/>
              <w:rPr>
                <w:sz w:val="12"/>
                <w:szCs w:val="12"/>
                <w:color w:val="auto"/>
              </w:rPr>
            </w:pPr>
          </w:p>
        </w:tc>
        <w:tc>
          <w:tcPr>
            <w:tcW w:w="366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jc w:val="center"/>
        <w:ind w:right="-19"/>
        <w:spacing w:after="0"/>
        <w:rPr>
          <w:sz w:val="20"/>
          <w:szCs w:val="20"/>
          <w:color w:val="auto"/>
        </w:rPr>
      </w:pPr>
      <w:r>
        <w:rPr>
          <w:rFonts w:ascii="Calibri" w:cs="Calibri" w:eastAsia="Calibri" w:hAnsi="Calibri"/>
          <w:sz w:val="23"/>
          <w:szCs w:val="23"/>
          <w:color w:val="auto"/>
        </w:rPr>
        <w:t>EXHIBITS TO SUBLEASE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177165</wp:posOffset>
            </wp:positionV>
            <wp:extent cx="8890" cy="8572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890" cy="857250"/>
                    </a:xfrm>
                    <a:prstGeom prst="rect">
                      <a:avLst/>
                    </a:prstGeom>
                    <a:noFill/>
                  </pic:spPr>
                </pic:pic>
              </a:graphicData>
            </a:graphic>
          </wp:anchor>
        </w:drawing>
      </w:r>
    </w:p>
    <w:p>
      <w:pPr>
        <w:spacing w:after="0" w:line="3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FF0000"/>
        </w:rPr>
        <w:t>EXHIBIT A: PREMISES</w:t>
      </w:r>
    </w:p>
    <w:p>
      <w:pPr>
        <w:spacing w:after="0" w:line="2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FF0000"/>
        </w:rPr>
        <w:t>EXHIBIT B: PARKING</w:t>
      </w:r>
    </w:p>
    <w:p>
      <w:pPr>
        <w:spacing w:after="0" w:line="2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FF0000"/>
        </w:rPr>
        <w:t>EXHIBIT C: MASTER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228600</wp:posOffset>
            </wp:positionV>
            <wp:extent cx="497205" cy="38608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97205" cy="38608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228600</wp:posOffset>
            </wp:positionV>
            <wp:extent cx="574040" cy="40322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7404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980" w:type="dxa"/>
            <w:vAlign w:val="bottom"/>
          </w:tcPr>
          <w:p>
            <w:pPr>
              <w:ind w:left="20"/>
              <w:spacing w:after="0"/>
              <w:rPr>
                <w:sz w:val="20"/>
                <w:szCs w:val="20"/>
                <w:color w:val="auto"/>
              </w:rPr>
            </w:pPr>
            <w:r>
              <w:rPr>
                <w:rFonts w:ascii="Arial" w:cs="Arial" w:eastAsia="Arial" w:hAnsi="Arial"/>
                <w:sz w:val="15"/>
                <w:szCs w:val="15"/>
                <w:color w:val="auto"/>
              </w:rPr>
              <w:t>INITIALS</w:t>
            </w:r>
          </w:p>
        </w:tc>
        <w:tc>
          <w:tcPr>
            <w:tcW w:w="3600" w:type="dxa"/>
            <w:vAlign w:val="bottom"/>
          </w:tcPr>
          <w:p>
            <w:pPr>
              <w:ind w:left="1340"/>
              <w:spacing w:after="0"/>
              <w:rPr>
                <w:sz w:val="20"/>
                <w:szCs w:val="20"/>
                <w:color w:val="auto"/>
              </w:rPr>
            </w:pPr>
            <w:r>
              <w:rPr>
                <w:rFonts w:ascii="Arial" w:cs="Arial" w:eastAsia="Arial" w:hAnsi="Arial"/>
                <w:sz w:val="15"/>
                <w:szCs w:val="15"/>
                <w:color w:val="auto"/>
              </w:rPr>
              <w:t>INITIALS</w:t>
            </w:r>
          </w:p>
        </w:tc>
        <w:tc>
          <w:tcPr>
            <w:tcW w:w="3660" w:type="dxa"/>
            <w:vAlign w:val="bottom"/>
          </w:tcPr>
          <w:p>
            <w:pPr>
              <w:jc w:val="right"/>
              <w:spacing w:after="0"/>
              <w:rPr>
                <w:sz w:val="20"/>
                <w:szCs w:val="20"/>
                <w:color w:val="auto"/>
              </w:rPr>
            </w:pPr>
            <w:r>
              <w:rPr>
                <w:rFonts w:ascii="Arial" w:cs="Arial" w:eastAsia="Arial" w:hAnsi="Arial"/>
                <w:sz w:val="14"/>
                <w:szCs w:val="14"/>
                <w:color w:val="auto"/>
              </w:rPr>
              <w:t>Last Edited: 4/4/2022 10:50 AM</w:t>
            </w:r>
          </w:p>
        </w:tc>
      </w:tr>
      <w:tr>
        <w:trPr>
          <w:trHeight w:val="216"/>
        </w:trPr>
        <w:tc>
          <w:tcPr>
            <w:tcW w:w="3980" w:type="dxa"/>
            <w:vAlign w:val="bottom"/>
          </w:tcPr>
          <w:p>
            <w:pPr>
              <w:ind w:left="20"/>
              <w:spacing w:after="0"/>
              <w:rPr>
                <w:sz w:val="20"/>
                <w:szCs w:val="20"/>
                <w:color w:val="auto"/>
              </w:rPr>
            </w:pPr>
            <w:r>
              <w:rPr>
                <w:rFonts w:ascii="Arial" w:cs="Arial" w:eastAsia="Arial" w:hAnsi="Arial"/>
                <w:sz w:val="15"/>
                <w:szCs w:val="15"/>
                <w:color w:val="auto"/>
              </w:rPr>
              <w:t>© 2019 AIR CRE. All Rights Reserved.</w:t>
            </w:r>
          </w:p>
        </w:tc>
        <w:tc>
          <w:tcPr>
            <w:tcW w:w="3600" w:type="dxa"/>
            <w:vAlign w:val="bottom"/>
          </w:tcPr>
          <w:p>
            <w:pPr>
              <w:spacing w:after="0"/>
              <w:rPr>
                <w:sz w:val="18"/>
                <w:szCs w:val="18"/>
                <w:color w:val="auto"/>
              </w:rPr>
            </w:pPr>
          </w:p>
        </w:tc>
        <w:tc>
          <w:tcPr>
            <w:tcW w:w="3660" w:type="dxa"/>
            <w:vAlign w:val="bottom"/>
          </w:tcPr>
          <w:p>
            <w:pPr>
              <w:jc w:val="right"/>
              <w:spacing w:after="0"/>
              <w:rPr>
                <w:sz w:val="20"/>
                <w:szCs w:val="20"/>
                <w:color w:val="auto"/>
              </w:rPr>
            </w:pPr>
            <w:r>
              <w:rPr>
                <w:rFonts w:ascii="Arial" w:cs="Arial" w:eastAsia="Arial" w:hAnsi="Arial"/>
                <w:sz w:val="14"/>
                <w:szCs w:val="14"/>
                <w:color w:val="auto"/>
              </w:rPr>
              <w:t>Page 1 of 1</w:t>
            </w:r>
          </w:p>
        </w:tc>
      </w:tr>
      <w:tr>
        <w:trPr>
          <w:trHeight w:val="216"/>
        </w:trPr>
        <w:tc>
          <w:tcPr>
            <w:tcW w:w="3980" w:type="dxa"/>
            <w:vAlign w:val="bottom"/>
          </w:tcPr>
          <w:p>
            <w:pPr>
              <w:ind w:left="20"/>
              <w:spacing w:after="0"/>
              <w:rPr>
                <w:sz w:val="20"/>
                <w:szCs w:val="20"/>
                <w:color w:val="auto"/>
              </w:rPr>
            </w:pPr>
            <w:r>
              <w:rPr>
                <w:rFonts w:ascii="Arial" w:cs="Arial" w:eastAsia="Arial" w:hAnsi="Arial"/>
                <w:sz w:val="15"/>
                <w:szCs w:val="15"/>
                <w:color w:val="auto"/>
              </w:rPr>
              <w:t>EXSL -1.00, Revised 10-22-2020</w:t>
            </w:r>
          </w:p>
        </w:tc>
        <w:tc>
          <w:tcPr>
            <w:tcW w:w="3600" w:type="dxa"/>
            <w:vAlign w:val="bottom"/>
          </w:tcPr>
          <w:p>
            <w:pPr>
              <w:spacing w:after="0"/>
              <w:rPr>
                <w:sz w:val="18"/>
                <w:szCs w:val="18"/>
                <w:color w:val="auto"/>
              </w:rPr>
            </w:pPr>
          </w:p>
        </w:tc>
        <w:tc>
          <w:tcPr>
            <w:tcW w:w="3660" w:type="dxa"/>
            <w:vAlign w:val="bottom"/>
          </w:tcPr>
          <w:p>
            <w:pPr>
              <w:spacing w:after="0"/>
              <w:rPr>
                <w:sz w:val="18"/>
                <w:szCs w:val="18"/>
                <w:color w:val="auto"/>
              </w:rPr>
            </w:pPr>
          </w:p>
        </w:tc>
      </w:tr>
      <w:tr>
        <w:trPr>
          <w:trHeight w:val="134"/>
        </w:trPr>
        <w:tc>
          <w:tcPr>
            <w:tcW w:w="3980" w:type="dxa"/>
            <w:vAlign w:val="bottom"/>
            <w:tcBorders>
              <w:bottom w:val="single" w:sz="8" w:color="9A9A9A"/>
            </w:tcBorders>
          </w:tcPr>
          <w:p>
            <w:pPr>
              <w:spacing w:after="0"/>
              <w:rPr>
                <w:sz w:val="11"/>
                <w:szCs w:val="11"/>
                <w:color w:val="auto"/>
              </w:rPr>
            </w:pPr>
          </w:p>
        </w:tc>
        <w:tc>
          <w:tcPr>
            <w:tcW w:w="3600" w:type="dxa"/>
            <w:vAlign w:val="bottom"/>
            <w:tcBorders>
              <w:bottom w:val="single" w:sz="8" w:color="9A9A9A"/>
            </w:tcBorders>
          </w:tcPr>
          <w:p>
            <w:pPr>
              <w:spacing w:after="0"/>
              <w:rPr>
                <w:sz w:val="11"/>
                <w:szCs w:val="11"/>
                <w:color w:val="auto"/>
              </w:rPr>
            </w:pPr>
          </w:p>
        </w:tc>
        <w:tc>
          <w:tcPr>
            <w:tcW w:w="366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117" w:name="page118"/>
    <w:bookmarkEnd w:id="1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7362825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243205</wp:posOffset>
            </wp:positionV>
            <wp:extent cx="5631815" cy="633476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clrChange>
                        <a:clrFrom>
                          <a:srgbClr val="FFFFFF"/>
                        </a:clrFrom>
                        <a:clrTo>
                          <a:srgbClr val="FFFFFF">
                            <a:alpha val="0"/>
                          </a:srgbClr>
                        </a:clrTo>
                      </a:clrChange>
                      <a:extLst>
                        <a:ext uri="{28A0092B-C50C-407E-A947-70E740481C1C}"/>
                      </a:extLst>
                    </a:blip>
                    <a:srcRect/>
                    <a:stretch>
                      <a:fillRect/>
                    </a:stretch>
                  </pic:blipFill>
                  <pic:spPr bwMode="auto">
                    <a:xfrm>
                      <a:off x="0" y="0"/>
                      <a:ext cx="5631815" cy="6334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260350</wp:posOffset>
            </wp:positionV>
            <wp:extent cx="7157720" cy="70250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70250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center"/>
        <w:ind w:right="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2994025</wp:posOffset>
            </wp:positionH>
            <wp:positionV relativeFrom="page">
              <wp:posOffset>268605</wp:posOffset>
            </wp:positionV>
            <wp:extent cx="1534160" cy="3600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clrChange>
                        <a:clrFrom>
                          <a:srgbClr val="FFFFFF"/>
                        </a:clrFrom>
                        <a:clrTo>
                          <a:srgbClr val="FFFFFF">
                            <a:alpha val="0"/>
                          </a:srgbClr>
                        </a:clrTo>
                      </a:clrChange>
                      <a:extLst>
                        <a:ext uri="{28A0092B-C50C-407E-A947-70E740481C1C}"/>
                      </a:extLst>
                    </a:blip>
                    <a:srcRect/>
                    <a:stretch>
                      <a:fillRect/>
                    </a:stretch>
                  </pic:blipFill>
                  <pic:spPr bwMode="auto">
                    <a:xfrm>
                      <a:off x="0" y="0"/>
                      <a:ext cx="1534160" cy="360045"/>
                    </a:xfrm>
                    <a:prstGeom prst="rect">
                      <a:avLst/>
                    </a:prstGeom>
                    <a:noFill/>
                  </pic:spPr>
                </pic:pic>
              </a:graphicData>
            </a:graphic>
          </wp:anchor>
        </w:drawing>
        <w:t>STANDARD INDUSTRIAL/COMMERCIAL SINGLE-TENANT LEASE - NET</w:t>
      </w:r>
    </w:p>
    <w:p>
      <w:pPr>
        <w:spacing w:after="0" w:line="1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(DO NOT USE THIS FORM FOR MULTI-TENANT BUILDINGS)</w:t>
      </w:r>
    </w:p>
    <w:p>
      <w:pPr>
        <w:spacing w:after="0" w:line="194" w:lineRule="exact"/>
        <w:rPr>
          <w:sz w:val="20"/>
          <w:szCs w:val="20"/>
          <w:color w:val="auto"/>
        </w:rPr>
      </w:pPr>
    </w:p>
    <w:p>
      <w:pPr>
        <w:ind w:left="360" w:hanging="352"/>
        <w:spacing w:after="0"/>
        <w:tabs>
          <w:tab w:leader="none" w:pos="36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Basic Provisions (“Basic Provisions”).</w:t>
      </w:r>
    </w:p>
    <w:p>
      <w:pPr>
        <w:spacing w:after="0" w:line="117" w:lineRule="exact"/>
        <w:rPr>
          <w:sz w:val="20"/>
          <w:szCs w:val="20"/>
          <w:color w:val="auto"/>
        </w:rPr>
      </w:pPr>
    </w:p>
    <w:p>
      <w:pPr>
        <w:ind w:right="100" w:firstLine="509"/>
        <w:spacing w:after="0" w:line="281"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color w:val="auto"/>
        </w:rPr>
        <w:t>Parties.</w:t>
      </w:r>
      <w:r>
        <w:rPr>
          <w:rFonts w:ascii="Arial" w:cs="Arial" w:eastAsia="Arial" w:hAnsi="Arial"/>
          <w:sz w:val="18"/>
          <w:szCs w:val="18"/>
          <w:color w:val="auto"/>
        </w:rPr>
        <w:t xml:space="preserve"> This Lease </w:t>
      </w:r>
      <w:r>
        <w:rPr>
          <w:rFonts w:ascii="Arial" w:cs="Arial" w:eastAsia="Arial" w:hAnsi="Arial"/>
          <w:sz w:val="18"/>
          <w:szCs w:val="18"/>
          <w:b w:val="1"/>
          <w:bCs w:val="1"/>
          <w:color w:val="auto"/>
        </w:rPr>
        <w:t>(“Lease”),</w:t>
      </w:r>
      <w:r>
        <w:rPr>
          <w:rFonts w:ascii="Arial" w:cs="Arial" w:eastAsia="Arial" w:hAnsi="Arial"/>
          <w:sz w:val="18"/>
          <w:szCs w:val="18"/>
          <w:color w:val="auto"/>
        </w:rPr>
        <w:t xml:space="preserve"> dated for reference purposes only January 10, 2018. is made by and between Clifford D. Downs (“</w:t>
      </w:r>
      <w:r>
        <w:rPr>
          <w:rFonts w:ascii="Arial" w:cs="Arial" w:eastAsia="Arial" w:hAnsi="Arial"/>
          <w:sz w:val="18"/>
          <w:szCs w:val="18"/>
          <w:b w:val="1"/>
          <w:bCs w:val="1"/>
          <w:color w:val="auto"/>
        </w:rPr>
        <w:t>Lessor</w:t>
      </w:r>
      <w:r>
        <w:rPr>
          <w:rFonts w:ascii="Arial" w:cs="Arial" w:eastAsia="Arial" w:hAnsi="Arial"/>
          <w:sz w:val="18"/>
          <w:szCs w:val="18"/>
          <w:color w:val="auto"/>
        </w:rPr>
        <w:t>”) and RxSight, Inc., a California corporation (“</w:t>
      </w:r>
      <w:r>
        <w:rPr>
          <w:rFonts w:ascii="Arial" w:cs="Arial" w:eastAsia="Arial" w:hAnsi="Arial"/>
          <w:sz w:val="18"/>
          <w:szCs w:val="18"/>
          <w:b w:val="1"/>
          <w:bCs w:val="1"/>
          <w:color w:val="auto"/>
        </w:rPr>
        <w:t>Lessee</w:t>
      </w:r>
      <w:r>
        <w:rPr>
          <w:rFonts w:ascii="Arial" w:cs="Arial" w:eastAsia="Arial" w:hAnsi="Arial"/>
          <w:sz w:val="18"/>
          <w:szCs w:val="18"/>
          <w:color w:val="auto"/>
        </w:rPr>
        <w:t>”), (collectively the “</w:t>
      </w:r>
      <w:r>
        <w:rPr>
          <w:rFonts w:ascii="Arial" w:cs="Arial" w:eastAsia="Arial" w:hAnsi="Arial"/>
          <w:sz w:val="18"/>
          <w:szCs w:val="18"/>
          <w:b w:val="1"/>
          <w:bCs w:val="1"/>
          <w:color w:val="auto"/>
        </w:rPr>
        <w:t>Parties</w:t>
      </w:r>
      <w:r>
        <w:rPr>
          <w:rFonts w:ascii="Arial" w:cs="Arial" w:eastAsia="Arial" w:hAnsi="Arial"/>
          <w:sz w:val="18"/>
          <w:szCs w:val="18"/>
          <w:color w:val="auto"/>
        </w:rPr>
        <w:t xml:space="preserve">,” or individually a </w:t>
      </w:r>
      <w:r>
        <w:rPr>
          <w:rFonts w:ascii="Arial" w:cs="Arial" w:eastAsia="Arial" w:hAnsi="Arial"/>
          <w:sz w:val="18"/>
          <w:szCs w:val="18"/>
          <w:b w:val="1"/>
          <w:bCs w:val="1"/>
          <w:color w:val="auto"/>
        </w:rPr>
        <w:t>“Party”).</w:t>
      </w:r>
    </w:p>
    <w:p>
      <w:pPr>
        <w:spacing w:after="0" w:line="28" w:lineRule="exact"/>
        <w:rPr>
          <w:sz w:val="20"/>
          <w:szCs w:val="20"/>
          <w:color w:val="auto"/>
        </w:rPr>
      </w:pPr>
    </w:p>
    <w:p>
      <w:pPr>
        <w:ind w:right="180" w:firstLine="509"/>
        <w:spacing w:after="0" w:line="252"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color w:val="auto"/>
        </w:rPr>
        <w:t>Premises:</w:t>
      </w:r>
      <w:r>
        <w:rPr>
          <w:rFonts w:ascii="Arial" w:cs="Arial" w:eastAsia="Arial" w:hAnsi="Arial"/>
          <w:sz w:val="18"/>
          <w:szCs w:val="18"/>
          <w:color w:val="auto"/>
        </w:rPr>
        <w:t xml:space="preserve"> That certain real property, including all improvements therein or to be provided by Lessor under the terms of this Lease, commonly known as (street address, city, state, zip): 5 Columbia, Aliso Viejo, CA 92656 </w:t>
      </w:r>
      <w:r>
        <w:rPr>
          <w:rFonts w:ascii="Arial" w:cs="Arial" w:eastAsia="Arial" w:hAnsi="Arial"/>
          <w:sz w:val="18"/>
          <w:szCs w:val="18"/>
          <w:b w:val="1"/>
          <w:bCs w:val="1"/>
          <w:color w:val="auto"/>
        </w:rPr>
        <w:t>(“Premises”)</w:t>
      </w:r>
      <w:r>
        <w:rPr>
          <w:rFonts w:ascii="Arial" w:cs="Arial" w:eastAsia="Arial" w:hAnsi="Arial"/>
          <w:sz w:val="18"/>
          <w:szCs w:val="18"/>
          <w:color w:val="auto"/>
        </w:rPr>
        <w:t xml:space="preserve">. The Premises are located in the County of Orange, and are generally described as (describe briefly the nature of the property and, if applicable, the </w:t>
      </w:r>
      <w:r>
        <w:rPr>
          <w:rFonts w:ascii="Arial" w:cs="Arial" w:eastAsia="Arial" w:hAnsi="Arial"/>
          <w:sz w:val="18"/>
          <w:szCs w:val="18"/>
          <w:b w:val="1"/>
          <w:bCs w:val="1"/>
          <w:color w:val="auto"/>
        </w:rPr>
        <w:t>“Project,”</w:t>
      </w:r>
      <w:r>
        <w:rPr>
          <w:rFonts w:ascii="Arial" w:cs="Arial" w:eastAsia="Arial" w:hAnsi="Arial"/>
          <w:sz w:val="18"/>
          <w:szCs w:val="18"/>
          <w:color w:val="auto"/>
        </w:rPr>
        <w:t xml:space="preserve"> if the property is located within a Project): an approximate 19,680 square foot free-standing industrial building. (See also Paragraph 2)</w:t>
      </w:r>
    </w:p>
    <w:p>
      <w:pPr>
        <w:spacing w:after="0" w:line="76" w:lineRule="exact"/>
        <w:rPr>
          <w:sz w:val="20"/>
          <w:szCs w:val="20"/>
          <w:color w:val="auto"/>
        </w:rPr>
      </w:pPr>
    </w:p>
    <w:p>
      <w:pPr>
        <w:ind w:right="80" w:firstLine="509"/>
        <w:spacing w:after="0" w:line="281"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b w:val="1"/>
          <w:bCs w:val="1"/>
          <w:color w:val="auto"/>
        </w:rPr>
        <w:t>Term:</w:t>
      </w:r>
      <w:r>
        <w:rPr>
          <w:rFonts w:ascii="Arial" w:cs="Arial" w:eastAsia="Arial" w:hAnsi="Arial"/>
          <w:sz w:val="18"/>
          <w:szCs w:val="18"/>
          <w:color w:val="auto"/>
        </w:rPr>
        <w:t xml:space="preserve"> Five (5) years and zero (0) months </w:t>
      </w:r>
      <w:r>
        <w:rPr>
          <w:rFonts w:ascii="Arial" w:cs="Arial" w:eastAsia="Arial" w:hAnsi="Arial"/>
          <w:sz w:val="18"/>
          <w:szCs w:val="18"/>
          <w:b w:val="1"/>
          <w:bCs w:val="1"/>
          <w:color w:val="auto"/>
        </w:rPr>
        <w:t>(“Original Term”)</w:t>
      </w:r>
      <w:r>
        <w:rPr>
          <w:rFonts w:ascii="Arial" w:cs="Arial" w:eastAsia="Arial" w:hAnsi="Arial"/>
          <w:sz w:val="18"/>
          <w:szCs w:val="18"/>
          <w:color w:val="auto"/>
        </w:rPr>
        <w:t xml:space="preserve"> commencing March 1, 2018 </w:t>
      </w:r>
      <w:r>
        <w:rPr>
          <w:rFonts w:ascii="Arial" w:cs="Arial" w:eastAsia="Arial" w:hAnsi="Arial"/>
          <w:sz w:val="18"/>
          <w:szCs w:val="18"/>
          <w:b w:val="1"/>
          <w:bCs w:val="1"/>
          <w:color w:val="auto"/>
        </w:rPr>
        <w:t>(“Commencement Date”)</w:t>
      </w:r>
      <w:r>
        <w:rPr>
          <w:rFonts w:ascii="Arial" w:cs="Arial" w:eastAsia="Arial" w:hAnsi="Arial"/>
          <w:sz w:val="18"/>
          <w:szCs w:val="18"/>
          <w:color w:val="auto"/>
        </w:rPr>
        <w:t xml:space="preserve"> and ending February 28, 2023 </w:t>
      </w:r>
      <w:r>
        <w:rPr>
          <w:rFonts w:ascii="Arial" w:cs="Arial" w:eastAsia="Arial" w:hAnsi="Arial"/>
          <w:sz w:val="18"/>
          <w:szCs w:val="18"/>
          <w:b w:val="1"/>
          <w:bCs w:val="1"/>
          <w:color w:val="auto"/>
        </w:rPr>
        <w:t>(“Expiration Date”).</w:t>
      </w:r>
      <w:r>
        <w:rPr>
          <w:rFonts w:ascii="Arial" w:cs="Arial" w:eastAsia="Arial" w:hAnsi="Arial"/>
          <w:sz w:val="18"/>
          <w:szCs w:val="18"/>
          <w:color w:val="auto"/>
        </w:rPr>
        <w:t xml:space="preserve"> (See also Paragraph 3)</w:t>
      </w:r>
    </w:p>
    <w:p>
      <w:pPr>
        <w:spacing w:after="0" w:line="28" w:lineRule="exact"/>
        <w:rPr>
          <w:sz w:val="20"/>
          <w:szCs w:val="20"/>
          <w:color w:val="auto"/>
        </w:rPr>
      </w:pPr>
    </w:p>
    <w:p>
      <w:pPr>
        <w:ind w:right="480" w:firstLine="509"/>
        <w:spacing w:after="0" w:line="281"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b w:val="1"/>
          <w:bCs w:val="1"/>
          <w:color w:val="auto"/>
        </w:rPr>
        <w:t>Early Possession:</w:t>
      </w:r>
      <w:r>
        <w:rPr>
          <w:rFonts w:ascii="Arial" w:cs="Arial" w:eastAsia="Arial" w:hAnsi="Arial"/>
          <w:sz w:val="18"/>
          <w:szCs w:val="18"/>
          <w:color w:val="auto"/>
        </w:rPr>
        <w:t xml:space="preserve"> If the Premises are available Lessee may have non-exclusive possession of the Premises commencing February 1, 2018 </w:t>
      </w:r>
      <w:r>
        <w:rPr>
          <w:rFonts w:ascii="Arial" w:cs="Arial" w:eastAsia="Arial" w:hAnsi="Arial"/>
          <w:sz w:val="18"/>
          <w:szCs w:val="18"/>
          <w:b w:val="1"/>
          <w:bCs w:val="1"/>
          <w:color w:val="auto"/>
        </w:rPr>
        <w:t>(“Early Possession Date”).</w:t>
      </w:r>
      <w:r>
        <w:rPr>
          <w:rFonts w:ascii="Arial" w:cs="Arial" w:eastAsia="Arial" w:hAnsi="Arial"/>
          <w:sz w:val="18"/>
          <w:szCs w:val="18"/>
          <w:color w:val="auto"/>
        </w:rPr>
        <w:t xml:space="preserve"> (See also Paragraphs 3.2 and 3.3)</w:t>
      </w:r>
    </w:p>
    <w:p>
      <w:pPr>
        <w:spacing w:after="0" w:line="42" w:lineRule="exact"/>
        <w:rPr>
          <w:sz w:val="20"/>
          <w:szCs w:val="20"/>
          <w:color w:val="auto"/>
        </w:rPr>
      </w:pPr>
    </w:p>
    <w:p>
      <w:pPr>
        <w:ind w:right="420" w:firstLine="509"/>
        <w:spacing w:after="0" w:line="271"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b w:val="1"/>
          <w:bCs w:val="1"/>
          <w:color w:val="auto"/>
        </w:rPr>
        <w:t>Base Rent:</w:t>
      </w:r>
      <w:r>
        <w:rPr>
          <w:rFonts w:ascii="Arial" w:cs="Arial" w:eastAsia="Arial" w:hAnsi="Arial"/>
          <w:sz w:val="18"/>
          <w:szCs w:val="18"/>
          <w:color w:val="auto"/>
        </w:rPr>
        <w:t xml:space="preserve"> $22,238.00 per month </w:t>
      </w:r>
      <w:r>
        <w:rPr>
          <w:rFonts w:ascii="Arial" w:cs="Arial" w:eastAsia="Arial" w:hAnsi="Arial"/>
          <w:sz w:val="18"/>
          <w:szCs w:val="18"/>
          <w:b w:val="1"/>
          <w:bCs w:val="1"/>
          <w:color w:val="auto"/>
        </w:rPr>
        <w:t>(“Base Rent”),</w:t>
      </w:r>
      <w:r>
        <w:rPr>
          <w:rFonts w:ascii="Arial" w:cs="Arial" w:eastAsia="Arial" w:hAnsi="Arial"/>
          <w:sz w:val="18"/>
          <w:szCs w:val="18"/>
          <w:color w:val="auto"/>
        </w:rPr>
        <w:t xml:space="preserve"> payable on the first (1st) day of each month commencing March 1, 2018. (See also Paragraph 4)</w:t>
      </w:r>
    </w:p>
    <w:p>
      <w:pPr>
        <w:spacing w:after="0" w:line="154" w:lineRule="exact"/>
        <w:rPr>
          <w:sz w:val="20"/>
          <w:szCs w:val="20"/>
          <w:color w:val="auto"/>
        </w:rPr>
      </w:pPr>
    </w:p>
    <w:p>
      <w:pPr>
        <w:ind w:left="1040" w:hanging="560"/>
        <w:spacing w:after="0"/>
        <w:tabs>
          <w:tab w:leader="none" w:pos="1040" w:val="left"/>
        </w:tabs>
        <w:numPr>
          <w:ilvl w:val="0"/>
          <w:numId w:val="89"/>
        </w:numPr>
        <w:rPr>
          <w:rFonts w:ascii="MS PGothic" w:cs="MS PGothic" w:eastAsia="MS PGothic" w:hAnsi="MS PGothic"/>
          <w:sz w:val="18"/>
          <w:szCs w:val="18"/>
          <w:color w:val="auto"/>
        </w:rPr>
      </w:pPr>
      <w:r>
        <w:rPr>
          <w:rFonts w:ascii="Arial" w:cs="Arial" w:eastAsia="Arial" w:hAnsi="Arial"/>
          <w:sz w:val="18"/>
          <w:szCs w:val="18"/>
          <w:color w:val="auto"/>
        </w:rPr>
        <w:t>If this box is checked, there are provisions in this Lease for the Base Rent to be adjusted. See Paragraph 51.</w:t>
      </w:r>
    </w:p>
    <w:p>
      <w:pPr>
        <w:spacing w:after="0" w:line="117" w:lineRule="exact"/>
        <w:rPr>
          <w:rFonts w:ascii="MS PGothic" w:cs="MS PGothic" w:eastAsia="MS PGothic" w:hAnsi="MS PGothic"/>
          <w:sz w:val="18"/>
          <w:szCs w:val="18"/>
          <w:color w:val="auto"/>
        </w:rPr>
      </w:pPr>
    </w:p>
    <w:p>
      <w:pPr>
        <w:ind w:left="520"/>
        <w:spacing w:after="0"/>
        <w:rPr>
          <w:rFonts w:ascii="MS PGothic" w:cs="MS PGothic" w:eastAsia="MS PGothic" w:hAnsi="MS PGothic"/>
          <w:sz w:val="18"/>
          <w:szCs w:val="18"/>
          <w:color w:val="auto"/>
        </w:rPr>
      </w:pPr>
      <w:r>
        <w:rPr>
          <w:rFonts w:ascii="Arial" w:cs="Arial" w:eastAsia="Arial" w:hAnsi="Arial"/>
          <w:sz w:val="18"/>
          <w:szCs w:val="18"/>
          <w:color w:val="auto"/>
        </w:rPr>
        <w:t xml:space="preserve">1.6  </w:t>
      </w:r>
      <w:r>
        <w:rPr>
          <w:rFonts w:ascii="Arial" w:cs="Arial" w:eastAsia="Arial" w:hAnsi="Arial"/>
          <w:sz w:val="18"/>
          <w:szCs w:val="18"/>
          <w:b w:val="1"/>
          <w:bCs w:val="1"/>
          <w:color w:val="auto"/>
        </w:rPr>
        <w:t>Base Rent and Other Monies Paid Upon Execution:</w:t>
      </w:r>
    </w:p>
    <w:p>
      <w:pPr>
        <w:spacing w:after="0" w:line="198" w:lineRule="exact"/>
        <w:rPr>
          <w:rFonts w:ascii="MS PGothic" w:cs="MS PGothic" w:eastAsia="MS PGothic" w:hAnsi="MS PGothic"/>
          <w:sz w:val="18"/>
          <w:szCs w:val="18"/>
          <w:color w:val="auto"/>
        </w:rPr>
      </w:pPr>
    </w:p>
    <w:p>
      <w:pPr>
        <w:ind w:left="1500" w:hanging="466"/>
        <w:spacing w:after="0"/>
        <w:tabs>
          <w:tab w:leader="none" w:pos="1500" w:val="left"/>
        </w:tabs>
        <w:numPr>
          <w:ilvl w:val="1"/>
          <w:numId w:val="89"/>
        </w:numPr>
        <w:rPr>
          <w:rFonts w:ascii="Arial" w:cs="Arial" w:eastAsia="Arial" w:hAnsi="Arial"/>
          <w:sz w:val="18"/>
          <w:szCs w:val="18"/>
          <w:color w:val="auto"/>
        </w:rPr>
      </w:pPr>
      <w:r>
        <w:rPr>
          <w:rFonts w:ascii="Arial" w:cs="Arial" w:eastAsia="Arial" w:hAnsi="Arial"/>
          <w:sz w:val="18"/>
          <w:szCs w:val="18"/>
          <w:b w:val="1"/>
          <w:bCs w:val="1"/>
          <w:color w:val="auto"/>
        </w:rPr>
        <w:t xml:space="preserve">Base Rent: </w:t>
      </w:r>
      <w:r>
        <w:rPr>
          <w:rFonts w:ascii="Arial" w:cs="Arial" w:eastAsia="Arial" w:hAnsi="Arial"/>
          <w:sz w:val="18"/>
          <w:szCs w:val="18"/>
          <w:color w:val="auto"/>
        </w:rPr>
        <w:t>$22,238.00 for the period March 1 - 31, 2018.</w:t>
      </w:r>
    </w:p>
    <w:p>
      <w:pPr>
        <w:spacing w:after="0" w:line="225" w:lineRule="exact"/>
        <w:rPr>
          <w:rFonts w:ascii="Arial" w:cs="Arial" w:eastAsia="Arial" w:hAnsi="Arial"/>
          <w:sz w:val="18"/>
          <w:szCs w:val="18"/>
          <w:color w:val="auto"/>
        </w:rPr>
      </w:pPr>
    </w:p>
    <w:p>
      <w:pPr>
        <w:ind w:left="1500" w:hanging="466"/>
        <w:spacing w:after="0"/>
        <w:tabs>
          <w:tab w:leader="none" w:pos="1500" w:val="left"/>
        </w:tabs>
        <w:numPr>
          <w:ilvl w:val="1"/>
          <w:numId w:val="89"/>
        </w:numPr>
        <w:rPr>
          <w:rFonts w:ascii="Arial" w:cs="Arial" w:eastAsia="Arial" w:hAnsi="Arial"/>
          <w:sz w:val="18"/>
          <w:szCs w:val="18"/>
          <w:color w:val="auto"/>
        </w:rPr>
      </w:pPr>
      <w:r>
        <w:rPr>
          <w:rFonts w:ascii="Arial" w:cs="Arial" w:eastAsia="Arial" w:hAnsi="Arial"/>
          <w:sz w:val="18"/>
          <w:szCs w:val="18"/>
          <w:b w:val="1"/>
          <w:bCs w:val="1"/>
          <w:color w:val="auto"/>
        </w:rPr>
        <w:t xml:space="preserve">Security Deposit: </w:t>
      </w:r>
      <w:r>
        <w:rPr>
          <w:rFonts w:ascii="Arial" w:cs="Arial" w:eastAsia="Arial" w:hAnsi="Arial"/>
          <w:sz w:val="18"/>
          <w:szCs w:val="18"/>
          <w:color w:val="auto"/>
        </w:rPr>
        <w:t>$25,269.12</w:t>
      </w:r>
      <w:r>
        <w:rPr>
          <w:rFonts w:ascii="Arial" w:cs="Arial" w:eastAsia="Arial" w:hAnsi="Arial"/>
          <w:sz w:val="18"/>
          <w:szCs w:val="18"/>
          <w:b w:val="1"/>
          <w:bCs w:val="1"/>
          <w:color w:val="auto"/>
        </w:rPr>
        <w:t xml:space="preserve"> (“Security Deposit”). </w:t>
      </w:r>
      <w:r>
        <w:rPr>
          <w:rFonts w:ascii="Arial" w:cs="Arial" w:eastAsia="Arial" w:hAnsi="Arial"/>
          <w:sz w:val="18"/>
          <w:szCs w:val="18"/>
          <w:color w:val="auto"/>
        </w:rPr>
        <w:t>(See also Paragraph 5)</w:t>
      </w:r>
    </w:p>
    <w:p>
      <w:pPr>
        <w:spacing w:after="0" w:line="211" w:lineRule="exact"/>
        <w:rPr>
          <w:rFonts w:ascii="Arial" w:cs="Arial" w:eastAsia="Arial" w:hAnsi="Arial"/>
          <w:sz w:val="18"/>
          <w:szCs w:val="18"/>
          <w:color w:val="auto"/>
        </w:rPr>
      </w:pPr>
    </w:p>
    <w:p>
      <w:pPr>
        <w:ind w:left="1500" w:hanging="466"/>
        <w:spacing w:after="0"/>
        <w:tabs>
          <w:tab w:leader="none" w:pos="1500" w:val="left"/>
        </w:tabs>
        <w:numPr>
          <w:ilvl w:val="1"/>
          <w:numId w:val="89"/>
        </w:numPr>
        <w:rPr>
          <w:rFonts w:ascii="Arial" w:cs="Arial" w:eastAsia="Arial" w:hAnsi="Arial"/>
          <w:sz w:val="18"/>
          <w:szCs w:val="18"/>
          <w:color w:val="auto"/>
        </w:rPr>
      </w:pPr>
      <w:r>
        <w:rPr>
          <w:rFonts w:ascii="Arial" w:cs="Arial" w:eastAsia="Arial" w:hAnsi="Arial"/>
          <w:sz w:val="18"/>
          <w:szCs w:val="18"/>
          <w:b w:val="1"/>
          <w:bCs w:val="1"/>
          <w:color w:val="auto"/>
        </w:rPr>
        <w:t xml:space="preserve">Association Fees: </w:t>
      </w:r>
      <w:r>
        <w:rPr>
          <w:rFonts w:ascii="Arial" w:cs="Arial" w:eastAsia="Arial" w:hAnsi="Arial"/>
          <w:sz w:val="18"/>
          <w:szCs w:val="18"/>
          <w:color w:val="auto"/>
        </w:rPr>
        <w:t>$225.77 for the period March 1-31, 2018.</w:t>
      </w:r>
    </w:p>
    <w:p>
      <w:pPr>
        <w:spacing w:after="0" w:line="211" w:lineRule="exact"/>
        <w:rPr>
          <w:rFonts w:ascii="Arial" w:cs="Arial" w:eastAsia="Arial" w:hAnsi="Arial"/>
          <w:sz w:val="18"/>
          <w:szCs w:val="18"/>
          <w:color w:val="auto"/>
        </w:rPr>
      </w:pPr>
    </w:p>
    <w:p>
      <w:pPr>
        <w:ind w:left="1500" w:hanging="466"/>
        <w:spacing w:after="0"/>
        <w:tabs>
          <w:tab w:leader="none" w:pos="1500" w:val="left"/>
        </w:tabs>
        <w:numPr>
          <w:ilvl w:val="1"/>
          <w:numId w:val="89"/>
        </w:numPr>
        <w:rPr>
          <w:rFonts w:ascii="Arial" w:cs="Arial" w:eastAsia="Arial" w:hAnsi="Arial"/>
          <w:sz w:val="18"/>
          <w:szCs w:val="18"/>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$1,494.74 for March 1-31, 2018 (for Property Tax).</w:t>
      </w:r>
    </w:p>
    <w:p>
      <w:pPr>
        <w:spacing w:after="0" w:line="225" w:lineRule="exact"/>
        <w:rPr>
          <w:rFonts w:ascii="Arial" w:cs="Arial" w:eastAsia="Arial" w:hAnsi="Arial"/>
          <w:sz w:val="18"/>
          <w:szCs w:val="18"/>
          <w:color w:val="auto"/>
        </w:rPr>
      </w:pPr>
    </w:p>
    <w:p>
      <w:pPr>
        <w:ind w:left="1500" w:hanging="466"/>
        <w:spacing w:after="0"/>
        <w:tabs>
          <w:tab w:leader="none" w:pos="1500" w:val="left"/>
        </w:tabs>
        <w:numPr>
          <w:ilvl w:val="1"/>
          <w:numId w:val="89"/>
        </w:numPr>
        <w:rPr>
          <w:rFonts w:ascii="Arial" w:cs="Arial" w:eastAsia="Arial" w:hAnsi="Arial"/>
          <w:sz w:val="18"/>
          <w:szCs w:val="18"/>
          <w:color w:val="auto"/>
        </w:rPr>
      </w:pPr>
      <w:r>
        <w:rPr>
          <w:rFonts w:ascii="Arial" w:cs="Arial" w:eastAsia="Arial" w:hAnsi="Arial"/>
          <w:sz w:val="18"/>
          <w:szCs w:val="18"/>
          <w:b w:val="1"/>
          <w:bCs w:val="1"/>
          <w:color w:val="auto"/>
        </w:rPr>
        <w:t xml:space="preserve">Total Due Upon Execution of this Lease: </w:t>
      </w:r>
      <w:r>
        <w:rPr>
          <w:rFonts w:ascii="Arial" w:cs="Arial" w:eastAsia="Arial" w:hAnsi="Arial"/>
          <w:sz w:val="18"/>
          <w:szCs w:val="18"/>
          <w:color w:val="auto"/>
        </w:rPr>
        <w:t>$49,227.63 .</w:t>
      </w:r>
    </w:p>
    <w:p>
      <w:pPr>
        <w:spacing w:after="0" w:line="117" w:lineRule="exact"/>
        <w:rPr>
          <w:sz w:val="20"/>
          <w:szCs w:val="20"/>
          <w:color w:val="auto"/>
        </w:rPr>
      </w:pPr>
    </w:p>
    <w:p>
      <w:pPr>
        <w:ind w:left="520"/>
        <w:spacing w:after="0"/>
        <w:tabs>
          <w:tab w:leader="none" w:pos="9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7"/>
          <w:szCs w:val="17"/>
          <w:b w:val="1"/>
          <w:bCs w:val="1"/>
          <w:color w:val="auto"/>
        </w:rPr>
        <w:t xml:space="preserve">Agreed Use: </w:t>
      </w:r>
      <w:r>
        <w:rPr>
          <w:rFonts w:ascii="Arial" w:cs="Arial" w:eastAsia="Arial" w:hAnsi="Arial"/>
          <w:sz w:val="17"/>
          <w:szCs w:val="17"/>
          <w:color w:val="auto"/>
        </w:rPr>
        <w:t>General office, distribution, research and development and manufacture of optical products . (See also Paragraph</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pacing w:after="0" w:line="86" w:lineRule="exact"/>
        <w:rPr>
          <w:sz w:val="20"/>
          <w:szCs w:val="20"/>
          <w:color w:val="auto"/>
        </w:rPr>
      </w:pPr>
    </w:p>
    <w:p>
      <w:pPr>
        <w:ind w:left="520"/>
        <w:spacing w:after="0"/>
        <w:tabs>
          <w:tab w:leader="none" w:pos="94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7"/>
          <w:szCs w:val="17"/>
          <w:b w:val="1"/>
          <w:bCs w:val="1"/>
          <w:color w:val="auto"/>
        </w:rPr>
        <w:t xml:space="preserve">Insuring Party. </w:t>
      </w:r>
      <w:r>
        <w:rPr>
          <w:rFonts w:ascii="Arial" w:cs="Arial" w:eastAsia="Arial" w:hAnsi="Arial"/>
          <w:sz w:val="17"/>
          <w:szCs w:val="17"/>
          <w:color w:val="auto"/>
        </w:rPr>
        <w:t>Lessor is the</w:t>
      </w:r>
      <w:r>
        <w:rPr>
          <w:rFonts w:ascii="Arial" w:cs="Arial" w:eastAsia="Arial" w:hAnsi="Arial"/>
          <w:sz w:val="17"/>
          <w:szCs w:val="17"/>
          <w:b w:val="1"/>
          <w:bCs w:val="1"/>
          <w:color w:val="auto"/>
        </w:rPr>
        <w:t xml:space="preserve"> “Insuring Party” </w:t>
      </w:r>
      <w:r>
        <w:rPr>
          <w:rFonts w:ascii="Arial" w:cs="Arial" w:eastAsia="Arial" w:hAnsi="Arial"/>
          <w:sz w:val="17"/>
          <w:szCs w:val="17"/>
          <w:color w:val="auto"/>
        </w:rPr>
        <w:t>unless otherwise stated herein. (See also Paragraph 8)</w:t>
      </w:r>
    </w:p>
    <w:p>
      <w:pPr>
        <w:spacing w:after="0" w:line="117" w:lineRule="exact"/>
        <w:rPr>
          <w:sz w:val="20"/>
          <w:szCs w:val="20"/>
          <w:color w:val="auto"/>
        </w:rPr>
      </w:pPr>
    </w:p>
    <w:p>
      <w:pPr>
        <w:ind w:left="520"/>
        <w:spacing w:after="0"/>
        <w:tabs>
          <w:tab w:leader="none" w:pos="94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7"/>
          <w:szCs w:val="17"/>
          <w:b w:val="1"/>
          <w:bCs w:val="1"/>
          <w:color w:val="auto"/>
        </w:rPr>
        <w:t xml:space="preserve">Real Estate Brokers. </w:t>
      </w:r>
      <w:r>
        <w:rPr>
          <w:rFonts w:ascii="Arial" w:cs="Arial" w:eastAsia="Arial" w:hAnsi="Arial"/>
          <w:sz w:val="17"/>
          <w:szCs w:val="17"/>
          <w:color w:val="auto"/>
        </w:rPr>
        <w:t>(See also Paragraph 15 and 25)</w:t>
      </w:r>
    </w:p>
    <w:p>
      <w:pPr>
        <w:spacing w:after="0" w:line="104" w:lineRule="exact"/>
        <w:rPr>
          <w:sz w:val="20"/>
          <w:szCs w:val="20"/>
          <w:color w:val="auto"/>
        </w:rPr>
      </w:pPr>
    </w:p>
    <w:p>
      <w:pPr>
        <w:ind w:right="320" w:firstLine="1161"/>
        <w:spacing w:after="0" w:line="271" w:lineRule="auto"/>
        <w:tabs>
          <w:tab w:leader="none" w:pos="1423" w:val="left"/>
        </w:tabs>
        <w:numPr>
          <w:ilvl w:val="1"/>
          <w:numId w:val="90"/>
        </w:numPr>
        <w:rPr>
          <w:rFonts w:ascii="Arial" w:cs="Arial" w:eastAsia="Arial" w:hAnsi="Arial"/>
          <w:sz w:val="18"/>
          <w:szCs w:val="18"/>
          <w:color w:val="auto"/>
        </w:rPr>
      </w:pPr>
      <w:r>
        <w:rPr>
          <w:rFonts w:ascii="Arial" w:cs="Arial" w:eastAsia="Arial" w:hAnsi="Arial"/>
          <w:sz w:val="18"/>
          <w:szCs w:val="18"/>
          <w:b w:val="1"/>
          <w:bCs w:val="1"/>
          <w:color w:val="auto"/>
        </w:rPr>
        <w:t xml:space="preserve">Representation: </w:t>
      </w:r>
      <w:r>
        <w:rPr>
          <w:rFonts w:ascii="Arial" w:cs="Arial" w:eastAsia="Arial" w:hAnsi="Arial"/>
          <w:sz w:val="18"/>
          <w:szCs w:val="18"/>
          <w:color w:val="auto"/>
        </w:rPr>
        <w:t>The following real estate brokers (the</w:t>
      </w:r>
      <w:r>
        <w:rPr>
          <w:rFonts w:ascii="Arial" w:cs="Arial" w:eastAsia="Arial" w:hAnsi="Arial"/>
          <w:sz w:val="18"/>
          <w:szCs w:val="18"/>
          <w:b w:val="1"/>
          <w:bCs w:val="1"/>
          <w:color w:val="auto"/>
        </w:rPr>
        <w:t xml:space="preserve"> “Brokers”) </w:t>
      </w:r>
      <w:r>
        <w:rPr>
          <w:rFonts w:ascii="Arial" w:cs="Arial" w:eastAsia="Arial" w:hAnsi="Arial"/>
          <w:sz w:val="18"/>
          <w:szCs w:val="18"/>
          <w:color w:val="auto"/>
        </w:rPr>
        <w:t>and brokerage relationships exist in this transaction</w:t>
      </w:r>
      <w:r>
        <w:rPr>
          <w:rFonts w:ascii="Arial" w:cs="Arial" w:eastAsia="Arial" w:hAnsi="Arial"/>
          <w:sz w:val="18"/>
          <w:szCs w:val="18"/>
          <w:b w:val="1"/>
          <w:bCs w:val="1"/>
          <w:color w:val="auto"/>
        </w:rPr>
        <w:t xml:space="preserve"> </w:t>
      </w:r>
      <w:r>
        <w:rPr>
          <w:rFonts w:ascii="Arial" w:cs="Arial" w:eastAsia="Arial" w:hAnsi="Arial"/>
          <w:sz w:val="18"/>
          <w:szCs w:val="18"/>
          <w:color w:val="auto"/>
        </w:rPr>
        <w:t>(check applicable boxes):</w:t>
      </w:r>
    </w:p>
    <w:p>
      <w:pPr>
        <w:spacing w:after="0" w:line="153" w:lineRule="exact"/>
        <w:rPr>
          <w:rFonts w:ascii="Arial" w:cs="Arial" w:eastAsia="Arial" w:hAnsi="Arial"/>
          <w:sz w:val="18"/>
          <w:szCs w:val="18"/>
          <w:color w:val="auto"/>
        </w:rPr>
      </w:pPr>
    </w:p>
    <w:p>
      <w:pPr>
        <w:ind w:left="1040" w:hanging="560"/>
        <w:spacing w:after="0"/>
        <w:tabs>
          <w:tab w:leader="none" w:pos="1040" w:val="left"/>
        </w:tabs>
        <w:numPr>
          <w:ilvl w:val="0"/>
          <w:numId w:val="90"/>
        </w:numPr>
        <w:rPr>
          <w:rFonts w:ascii="MS PGothic" w:cs="MS PGothic" w:eastAsia="MS PGothic" w:hAnsi="MS PGothic"/>
          <w:sz w:val="18"/>
          <w:szCs w:val="18"/>
          <w:color w:val="auto"/>
        </w:rPr>
      </w:pPr>
      <w:r>
        <w:rPr>
          <w:rFonts w:ascii="Arial" w:cs="Arial" w:eastAsia="Arial" w:hAnsi="Arial"/>
          <w:sz w:val="18"/>
          <w:szCs w:val="18"/>
          <w:color w:val="auto"/>
        </w:rPr>
        <w:t xml:space="preserve">Pacific Realty Consultants represents Lessor exclusively </w:t>
      </w:r>
      <w:r>
        <w:rPr>
          <w:rFonts w:ascii="Arial" w:cs="Arial" w:eastAsia="Arial" w:hAnsi="Arial"/>
          <w:sz w:val="18"/>
          <w:szCs w:val="18"/>
          <w:b w:val="1"/>
          <w:bCs w:val="1"/>
          <w:color w:val="auto"/>
        </w:rPr>
        <w:t>(“Lessor’s Broker”);</w:t>
      </w:r>
    </w:p>
    <w:p>
      <w:pPr>
        <w:spacing w:after="0" w:line="211" w:lineRule="exact"/>
        <w:rPr>
          <w:rFonts w:ascii="MS PGothic" w:cs="MS PGothic" w:eastAsia="MS PGothic" w:hAnsi="MS PGothic"/>
          <w:sz w:val="18"/>
          <w:szCs w:val="18"/>
          <w:color w:val="auto"/>
        </w:rPr>
      </w:pPr>
    </w:p>
    <w:p>
      <w:pPr>
        <w:ind w:left="1040" w:hanging="560"/>
        <w:spacing w:after="0"/>
        <w:tabs>
          <w:tab w:leader="none" w:pos="1040" w:val="left"/>
        </w:tabs>
        <w:numPr>
          <w:ilvl w:val="0"/>
          <w:numId w:val="90"/>
        </w:numPr>
        <w:rPr>
          <w:rFonts w:ascii="MS PGothic" w:cs="MS PGothic" w:eastAsia="MS PGothic" w:hAnsi="MS PGothic"/>
          <w:sz w:val="18"/>
          <w:szCs w:val="18"/>
          <w:color w:val="auto"/>
        </w:rPr>
      </w:pPr>
      <w:r>
        <w:rPr>
          <w:rFonts w:ascii="Arial" w:cs="Arial" w:eastAsia="Arial" w:hAnsi="Arial"/>
          <w:sz w:val="18"/>
          <w:szCs w:val="18"/>
          <w:color w:val="auto"/>
        </w:rPr>
        <w:t xml:space="preserve">Lee &amp; Associates, Inc. - Irvine (LaFerrara) represents Lessee exclusively </w:t>
      </w:r>
      <w:r>
        <w:rPr>
          <w:rFonts w:ascii="Arial" w:cs="Arial" w:eastAsia="Arial" w:hAnsi="Arial"/>
          <w:sz w:val="18"/>
          <w:szCs w:val="18"/>
          <w:b w:val="1"/>
          <w:bCs w:val="1"/>
          <w:color w:val="auto"/>
        </w:rPr>
        <w:t>(“Lessee’s Broker”);</w:t>
      </w:r>
      <w:r>
        <w:rPr>
          <w:rFonts w:ascii="Arial" w:cs="Arial" w:eastAsia="Arial" w:hAnsi="Arial"/>
          <w:sz w:val="18"/>
          <w:szCs w:val="18"/>
          <w:color w:val="auto"/>
        </w:rPr>
        <w:t xml:space="preserve"> or</w:t>
      </w:r>
    </w:p>
    <w:p>
      <w:pPr>
        <w:sectPr>
          <w:pgSz w:w="11900" w:h="16838" w:orient="portrait"/>
          <w:cols w:equalWidth="0" w:num="1">
            <w:col w:w="11240"/>
          </w:cols>
          <w:pgMar w:left="320" w:top="1133" w:right="339" w:bottom="1440" w:gutter="0" w:footer="0" w:header="0"/>
        </w:sectPr>
      </w:pPr>
    </w:p>
    <w:p>
      <w:pPr>
        <w:spacing w:after="0" w:line="183" w:lineRule="exact"/>
        <w:rPr>
          <w:sz w:val="20"/>
          <w:szCs w:val="20"/>
          <w:color w:val="auto"/>
        </w:rPr>
      </w:pPr>
    </w:p>
    <w:p>
      <w:pPr>
        <w:ind w:left="48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represents both Lessor and Lessee </w:t>
      </w:r>
      <w:r>
        <w:rPr>
          <w:rFonts w:ascii="Arial" w:cs="Arial" w:eastAsia="Arial" w:hAnsi="Arial"/>
          <w:sz w:val="17"/>
          <w:szCs w:val="17"/>
          <w:b w:val="1"/>
          <w:bCs w:val="1"/>
          <w:color w:val="auto"/>
        </w:rPr>
        <w:t>(“Dual Agency”).</w:t>
      </w:r>
    </w:p>
    <w:p>
      <w:pPr>
        <w:spacing w:after="0" w:line="129" w:lineRule="exact"/>
        <w:rPr>
          <w:sz w:val="20"/>
          <w:szCs w:val="20"/>
          <w:color w:val="auto"/>
        </w:rPr>
      </w:pPr>
    </w:p>
    <w:p>
      <w:pPr>
        <w:sectPr>
          <w:pgSz w:w="11900" w:h="16838" w:orient="portrait"/>
          <w:cols w:equalWidth="0" w:num="2">
            <w:col w:w="1320" w:space="720"/>
            <w:col w:w="9200"/>
          </w:cols>
          <w:pgMar w:left="320" w:top="1133" w:right="339" w:bottom="1440" w:gutter="0" w:footer="0" w:header="0"/>
          <w:type w:val="continuous"/>
        </w:sectPr>
      </w:pPr>
    </w:p>
    <w:p>
      <w:pPr>
        <w:ind w:left="116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b w:val="1"/>
          <w:bCs w:val="1"/>
          <w:color w:val="auto"/>
        </w:rPr>
        <w:t>Payment to Brokers:</w:t>
      </w:r>
      <w:r>
        <w:rPr>
          <w:rFonts w:ascii="Arial" w:cs="Arial" w:eastAsia="Arial" w:hAnsi="Arial"/>
          <w:sz w:val="18"/>
          <w:szCs w:val="18"/>
          <w:color w:val="auto"/>
        </w:rPr>
        <w:t xml:space="preserve"> Upon execution and delivery of this Lease by both Parties, Lessor shall pay to Lee &amp; Associates the</w:t>
      </w:r>
    </w:p>
    <w:p>
      <w:pPr>
        <w:sectPr>
          <w:pgSz w:w="11900" w:h="16838" w:orient="portrait"/>
          <w:cols w:equalWidth="0" w:num="1">
            <w:col w:w="11240"/>
          </w:cols>
          <w:pgMar w:left="320" w:top="1133" w:right="339" w:bottom="1440" w:gutter="0" w:footer="0" w:header="0"/>
          <w:type w:val="continuous"/>
        </w:sectPr>
      </w:pPr>
    </w:p>
    <w:p>
      <w:pPr>
        <w:spacing w:after="0" w:line="23" w:lineRule="exact"/>
        <w:rPr>
          <w:sz w:val="20"/>
          <w:szCs w:val="20"/>
          <w:color w:val="auto"/>
        </w:rPr>
      </w:pPr>
    </w:p>
    <w:p>
      <w:pPr>
        <w:spacing w:after="0"/>
        <w:tabs>
          <w:tab w:leader="none" w:pos="8220" w:val="left"/>
          <w:tab w:leader="none" w:pos="8660" w:val="left"/>
        </w:tabs>
        <w:rPr>
          <w:sz w:val="20"/>
          <w:szCs w:val="20"/>
          <w:color w:val="auto"/>
        </w:rPr>
      </w:pPr>
      <w:r>
        <w:rPr>
          <w:rFonts w:ascii="Arial" w:cs="Arial" w:eastAsia="Arial" w:hAnsi="Arial"/>
          <w:sz w:val="18"/>
          <w:szCs w:val="18"/>
          <w:color w:val="auto"/>
        </w:rPr>
        <w:t>brokerage fee agreed to in a separate written agreement (or if there is no such agreement, the sum of</w:t>
        <w:tab/>
        <w:t>----</w:t>
      </w:r>
      <w:r>
        <w:rPr>
          <w:sz w:val="20"/>
          <w:szCs w:val="20"/>
          <w:color w:val="auto"/>
        </w:rPr>
        <w:tab/>
      </w:r>
      <w:r>
        <w:rPr>
          <w:rFonts w:ascii="Arial" w:cs="Arial" w:eastAsia="Arial" w:hAnsi="Arial"/>
          <w:sz w:val="17"/>
          <w:szCs w:val="17"/>
          <w:color w:val="auto"/>
        </w:rPr>
        <w:t>or 3.5 % of the total Base Rent)</w:t>
      </w:r>
    </w:p>
    <w:p>
      <w:pPr>
        <w:spacing w:after="0"/>
        <w:rPr>
          <w:sz w:val="20"/>
          <w:szCs w:val="20"/>
          <w:color w:val="auto"/>
        </w:rPr>
      </w:pPr>
      <w:r>
        <w:rPr>
          <w:rFonts w:ascii="Arial" w:cs="Arial" w:eastAsia="Arial" w:hAnsi="Arial"/>
          <w:sz w:val="18"/>
          <w:szCs w:val="18"/>
          <w:color w:val="auto"/>
        </w:rPr>
        <w:t>for the brokerage services rendered by the Brokers.</w:t>
      </w:r>
    </w:p>
    <w:p>
      <w:pPr>
        <w:spacing w:after="0" w:line="86"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7"/>
          <w:szCs w:val="17"/>
          <w:b w:val="1"/>
          <w:bCs w:val="1"/>
          <w:color w:val="auto"/>
        </w:rPr>
        <w:t xml:space="preserve">Guarantor. </w:t>
      </w:r>
      <w:r>
        <w:rPr>
          <w:rFonts w:ascii="Arial" w:cs="Arial" w:eastAsia="Arial" w:hAnsi="Arial"/>
          <w:sz w:val="17"/>
          <w:szCs w:val="17"/>
          <w:color w:val="auto"/>
        </w:rPr>
        <w:t>The obligations of the Lessee under this Lease are to be guaranteed by N/A</w:t>
      </w:r>
      <w:r>
        <w:rPr>
          <w:rFonts w:ascii="Arial" w:cs="Arial" w:eastAsia="Arial" w:hAnsi="Arial"/>
          <w:sz w:val="17"/>
          <w:szCs w:val="17"/>
          <w:b w:val="1"/>
          <w:bCs w:val="1"/>
          <w:color w:val="auto"/>
        </w:rPr>
        <w:t xml:space="preserve"> (“Guarantor”). </w:t>
      </w:r>
      <w:r>
        <w:rPr>
          <w:rFonts w:ascii="Arial" w:cs="Arial" w:eastAsia="Arial" w:hAnsi="Arial"/>
          <w:sz w:val="17"/>
          <w:szCs w:val="17"/>
          <w:color w:val="auto"/>
        </w:rPr>
        <w:t>(See also Paragraph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37)</w:t>
      </w:r>
    </w:p>
    <w:p>
      <w:pPr>
        <w:spacing w:after="0" w:line="86"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b w:val="1"/>
          <w:bCs w:val="1"/>
          <w:color w:val="auto"/>
        </w:rPr>
        <w:t xml:space="preserve">Attachments. </w:t>
      </w:r>
      <w:r>
        <w:rPr>
          <w:rFonts w:ascii="Arial" w:cs="Arial" w:eastAsia="Arial" w:hAnsi="Arial"/>
          <w:sz w:val="17"/>
          <w:szCs w:val="17"/>
          <w:color w:val="auto"/>
        </w:rPr>
        <w:t>Attached hereto are the following, all of which constitute a part of this Lease:</w:t>
      </w:r>
    </w:p>
    <w:p>
      <w:pPr>
        <w:spacing w:after="0" w:line="212" w:lineRule="exact"/>
        <w:rPr>
          <w:sz w:val="20"/>
          <w:szCs w:val="20"/>
          <w:color w:val="auto"/>
        </w:rPr>
      </w:pPr>
    </w:p>
    <w:p>
      <w:pPr>
        <w:ind w:left="1040" w:hanging="560"/>
        <w:spacing w:after="0"/>
        <w:tabs>
          <w:tab w:leader="none" w:pos="1040" w:val="left"/>
        </w:tabs>
        <w:numPr>
          <w:ilvl w:val="0"/>
          <w:numId w:val="91"/>
        </w:numPr>
        <w:rPr>
          <w:rFonts w:ascii="MS PGothic" w:cs="MS PGothic" w:eastAsia="MS PGothic" w:hAnsi="MS PGothic"/>
          <w:sz w:val="18"/>
          <w:szCs w:val="18"/>
          <w:color w:val="auto"/>
        </w:rPr>
      </w:pPr>
      <w:r>
        <w:rPr>
          <w:rFonts w:ascii="Arial" w:cs="Arial" w:eastAsia="Arial" w:hAnsi="Arial"/>
          <w:sz w:val="18"/>
          <w:szCs w:val="18"/>
          <w:color w:val="auto"/>
        </w:rPr>
        <w:t>an Addendum consisting of Paragraphs 51 through 57;</w:t>
      </w:r>
    </w:p>
    <w:p>
      <w:pPr>
        <w:spacing w:after="0" w:line="212" w:lineRule="exact"/>
        <w:rPr>
          <w:sz w:val="20"/>
          <w:szCs w:val="20"/>
          <w:color w:val="auto"/>
        </w:rPr>
      </w:pPr>
    </w:p>
    <w:p>
      <w:pPr>
        <w:ind w:left="1040" w:hanging="560"/>
        <w:spacing w:after="0"/>
        <w:tabs>
          <w:tab w:leader="none" w:pos="1040" w:val="left"/>
        </w:tabs>
        <w:numPr>
          <w:ilvl w:val="0"/>
          <w:numId w:val="92"/>
        </w:numPr>
        <w:rPr>
          <w:rFonts w:ascii="MS PGothic" w:cs="MS PGothic" w:eastAsia="MS PGothic" w:hAnsi="MS PGothic"/>
          <w:sz w:val="18"/>
          <w:szCs w:val="18"/>
          <w:color w:val="auto"/>
        </w:rPr>
      </w:pPr>
      <w:r>
        <w:rPr>
          <w:rFonts w:ascii="Arial" w:cs="Arial" w:eastAsia="Arial" w:hAnsi="Arial"/>
          <w:sz w:val="18"/>
          <w:szCs w:val="18"/>
          <w:color w:val="auto"/>
        </w:rPr>
        <w:t>a plot plan depicting the Premises;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INITIALS</w:t>
            </w:r>
          </w:p>
        </w:tc>
        <w:tc>
          <w:tcPr>
            <w:tcW w:w="3960" w:type="dxa"/>
            <w:vAlign w:val="bottom"/>
          </w:tcPr>
          <w:p>
            <w:pPr>
              <w:ind w:left="1500"/>
              <w:spacing w:after="0"/>
              <w:rPr>
                <w:sz w:val="20"/>
                <w:szCs w:val="20"/>
                <w:color w:val="auto"/>
              </w:rPr>
            </w:pPr>
            <w:r>
              <w:rPr>
                <w:rFonts w:ascii="Arial" w:cs="Arial" w:eastAsia="Arial" w:hAnsi="Arial"/>
                <w:sz w:val="18"/>
                <w:szCs w:val="18"/>
                <w:color w:val="auto"/>
              </w:rPr>
              <w:t>Page 1 of 28</w:t>
            </w:r>
          </w:p>
        </w:tc>
        <w:tc>
          <w:tcPr>
            <w:tcW w:w="3380" w:type="dxa"/>
            <w:vAlign w:val="bottom"/>
            <w:vMerge w:val="restart"/>
          </w:tcPr>
          <w:p>
            <w:pPr>
              <w:jc w:val="right"/>
              <w:spacing w:after="0"/>
              <w:rPr>
                <w:sz w:val="20"/>
                <w:szCs w:val="20"/>
                <w:color w:val="auto"/>
              </w:rPr>
            </w:pPr>
            <w:r>
              <w:rPr>
                <w:rFonts w:ascii="Arial" w:cs="Arial" w:eastAsia="Arial" w:hAnsi="Arial"/>
                <w:sz w:val="18"/>
                <w:szCs w:val="18"/>
                <w:color w:val="auto"/>
              </w:rPr>
              <w:t>INITIALS</w:t>
            </w:r>
          </w:p>
        </w:tc>
        <w:tc>
          <w:tcPr>
            <w:tcW w:w="0" w:type="dxa"/>
            <w:vAlign w:val="bottom"/>
          </w:tcPr>
          <w:p>
            <w:pPr>
              <w:spacing w:after="0"/>
              <w:rPr>
                <w:sz w:val="1"/>
                <w:szCs w:val="1"/>
                <w:color w:val="auto"/>
              </w:rPr>
            </w:pPr>
          </w:p>
        </w:tc>
      </w:tr>
      <w:tr>
        <w:trPr>
          <w:trHeight w:val="95"/>
        </w:trPr>
        <w:tc>
          <w:tcPr>
            <w:tcW w:w="3900" w:type="dxa"/>
            <w:vAlign w:val="bottom"/>
            <w:vMerge w:val="continue"/>
          </w:tcPr>
          <w:p>
            <w:pPr>
              <w:spacing w:after="0"/>
              <w:rPr>
                <w:sz w:val="8"/>
                <w:szCs w:val="8"/>
                <w:color w:val="auto"/>
              </w:rPr>
            </w:pPr>
          </w:p>
        </w:tc>
        <w:tc>
          <w:tcPr>
            <w:tcW w:w="3960" w:type="dxa"/>
            <w:vAlign w:val="bottom"/>
            <w:vMerge w:val="restart"/>
          </w:tcPr>
          <w:p>
            <w:pPr>
              <w:ind w:left="780"/>
              <w:spacing w:after="0"/>
              <w:rPr>
                <w:sz w:val="20"/>
                <w:szCs w:val="20"/>
                <w:color w:val="auto"/>
              </w:rPr>
            </w:pPr>
            <w:r>
              <w:rPr>
                <w:rFonts w:ascii="Arial" w:cs="Arial" w:eastAsia="Arial" w:hAnsi="Arial"/>
                <w:sz w:val="18"/>
                <w:szCs w:val="18"/>
                <w:color w:val="auto"/>
              </w:rPr>
              <w:t>Last Edited 2/7/2018 1:59 PM</w:t>
            </w:r>
          </w:p>
        </w:tc>
        <w:tc>
          <w:tcPr>
            <w:tcW w:w="3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 2017 AIR CRE. All Rights Reserved.</w:t>
            </w:r>
          </w:p>
        </w:tc>
        <w:tc>
          <w:tcPr>
            <w:tcW w:w="3960" w:type="dxa"/>
            <w:vAlign w:val="bottom"/>
            <w:vMerge w:val="continue"/>
          </w:tcPr>
          <w:p>
            <w:pPr>
              <w:spacing w:after="0"/>
              <w:rPr>
                <w:sz w:val="12"/>
                <w:szCs w:val="12"/>
                <w:color w:val="auto"/>
              </w:rPr>
            </w:pPr>
          </w:p>
        </w:tc>
        <w:tc>
          <w:tcPr>
            <w:tcW w:w="3380" w:type="dxa"/>
            <w:vAlign w:val="bottom"/>
            <w:vMerge w:val="restart"/>
          </w:tcPr>
          <w:p>
            <w:pPr>
              <w:jc w:val="right"/>
              <w:spacing w:after="0"/>
              <w:rPr>
                <w:sz w:val="20"/>
                <w:szCs w:val="20"/>
                <w:color w:val="auto"/>
              </w:rPr>
            </w:pPr>
            <w:r>
              <w:rPr>
                <w:rFonts w:ascii="Arial" w:cs="Arial" w:eastAsia="Arial" w:hAnsi="Arial"/>
                <w:sz w:val="18"/>
                <w:szCs w:val="18"/>
                <w:color w:val="auto"/>
              </w:rPr>
              <w:t>STN-27.10, Revised 11-01-2017</w:t>
            </w:r>
          </w:p>
        </w:tc>
        <w:tc>
          <w:tcPr>
            <w:tcW w:w="0" w:type="dxa"/>
            <w:vAlign w:val="bottom"/>
          </w:tcPr>
          <w:p>
            <w:pPr>
              <w:spacing w:after="0"/>
              <w:rPr>
                <w:sz w:val="1"/>
                <w:szCs w:val="1"/>
                <w:color w:val="auto"/>
              </w:rPr>
            </w:pPr>
          </w:p>
        </w:tc>
      </w:tr>
      <w:tr>
        <w:trPr>
          <w:trHeight w:val="95"/>
        </w:trPr>
        <w:tc>
          <w:tcPr>
            <w:tcW w:w="3900" w:type="dxa"/>
            <w:vAlign w:val="bottom"/>
            <w:vMerge w:val="continue"/>
          </w:tcPr>
          <w:p>
            <w:pPr>
              <w:spacing w:after="0"/>
              <w:rPr>
                <w:sz w:val="8"/>
                <w:szCs w:val="8"/>
                <w:color w:val="auto"/>
              </w:rPr>
            </w:pPr>
          </w:p>
        </w:tc>
        <w:tc>
          <w:tcPr>
            <w:tcW w:w="3960" w:type="dxa"/>
            <w:vAlign w:val="bottom"/>
          </w:tcPr>
          <w:p>
            <w:pPr>
              <w:spacing w:after="0"/>
              <w:rPr>
                <w:sz w:val="8"/>
                <w:szCs w:val="8"/>
                <w:color w:val="auto"/>
              </w:rPr>
            </w:pPr>
          </w:p>
        </w:tc>
        <w:tc>
          <w:tcPr>
            <w:tcW w:w="3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3900" w:type="dxa"/>
            <w:vAlign w:val="bottom"/>
            <w:tcBorders>
              <w:bottom w:val="single" w:sz="8" w:color="9A9A9A"/>
            </w:tcBorders>
          </w:tcPr>
          <w:p>
            <w:pPr>
              <w:spacing w:after="0"/>
              <w:rPr>
                <w:sz w:val="12"/>
                <w:szCs w:val="12"/>
                <w:color w:val="auto"/>
              </w:rPr>
            </w:pPr>
          </w:p>
        </w:tc>
        <w:tc>
          <w:tcPr>
            <w:tcW w:w="3960" w:type="dxa"/>
            <w:vAlign w:val="bottom"/>
            <w:tcBorders>
              <w:bottom w:val="single" w:sz="8" w:color="9A9A9A"/>
            </w:tcBorders>
          </w:tcPr>
          <w:p>
            <w:pPr>
              <w:spacing w:after="0"/>
              <w:rPr>
                <w:sz w:val="12"/>
                <w:szCs w:val="12"/>
                <w:color w:val="auto"/>
              </w:rPr>
            </w:pPr>
          </w:p>
        </w:tc>
        <w:tc>
          <w:tcPr>
            <w:tcW w:w="33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type w:val="continuous"/>
        </w:sectPr>
      </w:pPr>
    </w:p>
    <w:bookmarkStart w:id="120" w:name="page121"/>
    <w:bookmarkEnd w:id="120"/>
    <w:p>
      <w:pPr>
        <w:ind w:left="1040" w:hanging="560"/>
        <w:spacing w:after="0"/>
        <w:tabs>
          <w:tab w:leader="none" w:pos="1040" w:val="left"/>
        </w:tabs>
        <w:numPr>
          <w:ilvl w:val="0"/>
          <w:numId w:val="93"/>
        </w:numPr>
        <w:rPr>
          <w:rFonts w:ascii="MS PGothic" w:cs="MS PGothic" w:eastAsia="MS PGothic" w:hAnsi="MS PGothic"/>
          <w:sz w:val="18"/>
          <w:szCs w:val="18"/>
          <w:color w:val="auto"/>
        </w:rPr>
      </w:pPr>
      <w:r>
        <w:rPr>
          <w:rFonts w:ascii="Arial" w:cs="Arial" w:eastAsia="Arial" w:hAnsi="Arial"/>
          <w:sz w:val="18"/>
          <w:szCs w:val="18"/>
          <w:color w:val="auto"/>
        </w:rPr>
        <w:t>a current set of the Rules and Regulations;</w:t>
      </w:r>
    </w:p>
    <w:p>
      <w:pPr>
        <w:spacing w:after="0" w:line="225" w:lineRule="exact"/>
        <w:rPr>
          <w:rFonts w:ascii="MS PGothic" w:cs="MS PGothic" w:eastAsia="MS PGothic" w:hAnsi="MS PGothic"/>
          <w:sz w:val="18"/>
          <w:szCs w:val="18"/>
          <w:color w:val="auto"/>
        </w:rPr>
      </w:pPr>
    </w:p>
    <w:p>
      <w:pPr>
        <w:ind w:left="1040" w:hanging="560"/>
        <w:spacing w:after="0"/>
        <w:tabs>
          <w:tab w:leader="none" w:pos="1040" w:val="left"/>
        </w:tabs>
        <w:numPr>
          <w:ilvl w:val="0"/>
          <w:numId w:val="93"/>
        </w:numPr>
        <w:rPr>
          <w:rFonts w:ascii="MS PGothic" w:cs="MS PGothic" w:eastAsia="MS PGothic" w:hAnsi="MS PGothic"/>
          <w:sz w:val="18"/>
          <w:szCs w:val="18"/>
          <w:color w:val="auto"/>
        </w:rPr>
      </w:pPr>
      <w:r>
        <w:rPr>
          <w:rFonts w:ascii="Arial" w:cs="Arial" w:eastAsia="Arial" w:hAnsi="Arial"/>
          <w:sz w:val="18"/>
          <w:szCs w:val="18"/>
          <w:color w:val="auto"/>
        </w:rPr>
        <w:t>a Work Letter;</w:t>
      </w:r>
    </w:p>
    <w:p>
      <w:pPr>
        <w:spacing w:after="0" w:line="212" w:lineRule="exact"/>
        <w:rPr>
          <w:sz w:val="20"/>
          <w:szCs w:val="20"/>
          <w:color w:val="auto"/>
        </w:rPr>
      </w:pPr>
    </w:p>
    <w:p>
      <w:pPr>
        <w:ind w:left="1040" w:right="360" w:hanging="560"/>
        <w:spacing w:after="0" w:line="256" w:lineRule="auto"/>
        <w:tabs>
          <w:tab w:leader="none" w:pos="1040" w:val="left"/>
        </w:tabs>
        <w:numPr>
          <w:ilvl w:val="1"/>
          <w:numId w:val="94"/>
        </w:numPr>
        <w:rPr>
          <w:rFonts w:ascii="MS PGothic" w:cs="MS PGothic" w:eastAsia="MS PGothic" w:hAnsi="MS PGothic"/>
          <w:sz w:val="18"/>
          <w:szCs w:val="18"/>
          <w:color w:val="auto"/>
        </w:rPr>
      </w:pPr>
      <w:r>
        <w:rPr>
          <w:rFonts w:ascii="Arial" w:cs="Arial" w:eastAsia="Arial" w:hAnsi="Arial"/>
          <w:sz w:val="18"/>
          <w:szCs w:val="18"/>
          <w:color w:val="auto"/>
        </w:rPr>
        <w:t>other (specify): Option (s) to Extend (Paragraph 58); Arbitration Agreement (Paragraph 59); Exhibit “A” - Existing Floor Plan; Exhibit “B” - Proposed Improvements; Disclosure Regarding Real Estate Agency Relationship.</w:t>
      </w:r>
    </w:p>
    <w:p>
      <w:pPr>
        <w:spacing w:after="0" w:line="287" w:lineRule="exact"/>
        <w:rPr>
          <w:rFonts w:ascii="MS PGothic" w:cs="MS PGothic" w:eastAsia="MS PGothic" w:hAnsi="MS PGothic"/>
          <w:sz w:val="18"/>
          <w:szCs w:val="18"/>
          <w:color w:val="auto"/>
        </w:rPr>
      </w:pPr>
    </w:p>
    <w:p>
      <w:pPr>
        <w:ind w:left="360" w:hanging="352"/>
        <w:spacing w:after="0"/>
        <w:tabs>
          <w:tab w:leader="none" w:pos="3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Premises.</w:t>
      </w:r>
    </w:p>
    <w:p>
      <w:pPr>
        <w:spacing w:after="0" w:line="104" w:lineRule="exact"/>
        <w:rPr>
          <w:sz w:val="20"/>
          <w:szCs w:val="20"/>
          <w:color w:val="auto"/>
        </w:rPr>
      </w:pPr>
    </w:p>
    <w:p>
      <w:pPr>
        <w:ind w:right="160" w:firstLine="509"/>
        <w:spacing w:after="0" w:line="262"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b w:val="1"/>
          <w:bCs w:val="1"/>
          <w:color w:val="auto"/>
        </w:rPr>
        <w:t>Letting.</w:t>
      </w:r>
      <w:r>
        <w:rPr>
          <w:rFonts w:ascii="Arial" w:cs="Arial" w:eastAsia="Arial" w:hAnsi="Arial"/>
          <w:sz w:val="17"/>
          <w:szCs w:val="17"/>
          <w:color w:val="auto"/>
        </w:rPr>
        <w:t xml:space="preserve"> Lessor hereby leases to Lessee, and Lessee hereby leases from Lessor, the Premises, for the term, at the rental, and upon all of the terms, covenants and conditions set forth in this Lease. While the approximate square footage of the Premises may have been used in the marketing of the Premises for purposes of comparison, the Base Rent stated herein is NOT tied to square footage and is not subject to adjustment should the actual size be determined to be different. </w:t>
      </w:r>
      <w:r>
        <w:rPr>
          <w:rFonts w:ascii="Arial" w:cs="Arial" w:eastAsia="Arial" w:hAnsi="Arial"/>
          <w:sz w:val="17"/>
          <w:szCs w:val="17"/>
          <w:b w:val="1"/>
          <w:bCs w:val="1"/>
          <w:color w:val="auto"/>
        </w:rPr>
        <w:t>NOTE: Lessee is advised to verify the actual size prior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executing this Lease.</w:t>
      </w:r>
    </w:p>
    <w:p>
      <w:pPr>
        <w:spacing w:after="0" w:line="194"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color w:val="auto"/>
        </w:rPr>
        <w:t>Condition.</w:t>
      </w:r>
      <w:r>
        <w:rPr>
          <w:rFonts w:ascii="Arial" w:cs="Arial" w:eastAsia="Arial" w:hAnsi="Arial"/>
          <w:sz w:val="18"/>
          <w:szCs w:val="18"/>
          <w:color w:val="auto"/>
        </w:rPr>
        <w:t xml:space="preserve"> Lessor shall deliver the Premises to Lessee broom clean and free of debris on the Commencement Date or the Early Possession Date, whichever first occurs </w:t>
      </w:r>
      <w:r>
        <w:rPr>
          <w:rFonts w:ascii="Arial" w:cs="Arial" w:eastAsia="Arial" w:hAnsi="Arial"/>
          <w:sz w:val="18"/>
          <w:szCs w:val="18"/>
          <w:b w:val="1"/>
          <w:bCs w:val="1"/>
          <w:color w:val="auto"/>
        </w:rPr>
        <w:t>(“Start Date”),</w:t>
      </w:r>
      <w:r>
        <w:rPr>
          <w:rFonts w:ascii="Arial" w:cs="Arial" w:eastAsia="Arial" w:hAnsi="Arial"/>
          <w:sz w:val="18"/>
          <w:szCs w:val="18"/>
          <w:color w:val="auto"/>
        </w:rPr>
        <w:t xml:space="preserve"> and, so long as the required service contracts described in Paragraph 7.1(b) below are obtained by Lessee and in effect within thirty days following the Start Date, warrants that the existing electrical, plumbing, fire sprinkler, lighting, heating, ventilating and air conditioning systems (“</w:t>
      </w:r>
      <w:r>
        <w:rPr>
          <w:rFonts w:ascii="Arial" w:cs="Arial" w:eastAsia="Arial" w:hAnsi="Arial"/>
          <w:sz w:val="18"/>
          <w:szCs w:val="18"/>
          <w:b w:val="1"/>
          <w:bCs w:val="1"/>
          <w:color w:val="auto"/>
        </w:rPr>
        <w:t>HVAC</w:t>
      </w:r>
      <w:r>
        <w:rPr>
          <w:rFonts w:ascii="Arial" w:cs="Arial" w:eastAsia="Arial" w:hAnsi="Arial"/>
          <w:sz w:val="18"/>
          <w:szCs w:val="18"/>
          <w:color w:val="auto"/>
        </w:rPr>
        <w:t xml:space="preserve">”), loading doors, sump pumps, if any, and all other such elements in the Premises, other than those constructed by Lessee, shall be in good operating condition on said date, that the structural elements of the roof, bearing walls and foundation of any buildings on the Premises (the </w:t>
      </w:r>
      <w:r>
        <w:rPr>
          <w:rFonts w:ascii="Arial" w:cs="Arial" w:eastAsia="Arial" w:hAnsi="Arial"/>
          <w:sz w:val="18"/>
          <w:szCs w:val="18"/>
          <w:b w:val="1"/>
          <w:bCs w:val="1"/>
          <w:color w:val="auto"/>
        </w:rPr>
        <w:t>“Building”)</w:t>
      </w:r>
      <w:r>
        <w:rPr>
          <w:rFonts w:ascii="Arial" w:cs="Arial" w:eastAsia="Arial" w:hAnsi="Arial"/>
          <w:sz w:val="18"/>
          <w:szCs w:val="18"/>
          <w:color w:val="auto"/>
        </w:rPr>
        <w:t xml:space="preserve"> shall be free of material defects, and that the Premises do not contain hazardous levels of any mold or fungi defined as toxic under applicable state or federal law. If a non-compliance with said warranty exists as of the Start Date, or if one of such systems or elements should malfunction or fail within the appropriate warranty period, Lessor shall, as Lessor’s sole obligation with respect to such matter, except as otherwise provided in this Lease, promptly after receipt of written notice from Lessee setting forth with specificity the nature and extent of such non-compliance, malfunction or failure, rectify same at Lessor’s expense. The warranty periods shall be as follows: (i) 6 months as to the HVAC systems, and (ii) 30 days as to the remaining systems and other elements of the Building. If Lessee does not give Lessor the required notice within the appropriate warranty period, correction of any such non-compliance, malfunction or failure shall be the obligation of Lessee at Lessee’s sole cost and expense. Lessor also warrants, that unless otherwise specified in writing, Lessor is unaware of (i) any recorded Notices of Default affecting the Premise; (ii) any delinquent amounts due under any loan secured by the Premises; and (iii) any bankruptcy proceeding affecting the Premises.</w:t>
      </w:r>
    </w:p>
    <w:p>
      <w:pPr>
        <w:spacing w:after="0" w:line="203"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color w:val="auto"/>
        </w:rPr>
        <w:t>Compliance.</w:t>
      </w:r>
      <w:r>
        <w:rPr>
          <w:rFonts w:ascii="Arial" w:cs="Arial" w:eastAsia="Arial" w:hAnsi="Arial"/>
          <w:sz w:val="18"/>
          <w:szCs w:val="18"/>
          <w:color w:val="auto"/>
        </w:rPr>
        <w:t xml:space="preserve"> Lessor warrants that to the best of its knowledge the improvements on the Premises comply with the building codes, applicable laws, covenants or restrictions of record, regulations, and ordinances </w:t>
      </w:r>
      <w:r>
        <w:rPr>
          <w:rFonts w:ascii="Arial" w:cs="Arial" w:eastAsia="Arial" w:hAnsi="Arial"/>
          <w:sz w:val="18"/>
          <w:szCs w:val="18"/>
          <w:b w:val="1"/>
          <w:bCs w:val="1"/>
          <w:color w:val="auto"/>
        </w:rPr>
        <w:t>(“Applicable Requirements”)</w:t>
      </w:r>
      <w:r>
        <w:rPr>
          <w:rFonts w:ascii="Arial" w:cs="Arial" w:eastAsia="Arial" w:hAnsi="Arial"/>
          <w:sz w:val="18"/>
          <w:szCs w:val="18"/>
          <w:color w:val="auto"/>
        </w:rPr>
        <w:t xml:space="preserve"> that were in effect at the time that each improvement, or portion thereof, was constructed. Said warranty does not apply to the use to which Lessee will put the Premises, modifications which may be required by the Americans with Disabilities Act or any similar laws as a result of Lessee’s use (see Paragraph 49), or to any Alterations or Utility Installations (as defined in Paragraph 7.3(a)) made or to be made by Lessee. </w:t>
      </w:r>
      <w:r>
        <w:rPr>
          <w:rFonts w:ascii="Arial" w:cs="Arial" w:eastAsia="Arial" w:hAnsi="Arial"/>
          <w:sz w:val="18"/>
          <w:szCs w:val="18"/>
          <w:b w:val="1"/>
          <w:bCs w:val="1"/>
          <w:color w:val="auto"/>
        </w:rPr>
        <w:t>NOTE: Lessee is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responsible for determining whether or not the Applicable Requirements, and especially the zoning, are appropriate for Lessee’s intended use, and acknowledges that past uses of the Premises may no longer be allowed. </w:t>
      </w:r>
      <w:r>
        <w:rPr>
          <w:rFonts w:ascii="Arial" w:cs="Arial" w:eastAsia="Arial" w:hAnsi="Arial"/>
          <w:sz w:val="18"/>
          <w:szCs w:val="18"/>
          <w:color w:val="auto"/>
        </w:rPr>
        <w:t>If the Premises do not comply with said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warranty, Lessor shall, except as otherwise provided, promptly after receipt of written notice from Lessee setting forth with specificity the nature and extent of such non-compliance, rectify the same at Lessor’s expense. If Lessee does not give Lessor written notice of a non-compliance with this warranty within 6 months following the Start Date, correction of that non-compliance shall be the obligation of Lessee at Lessee’s sole cost and expense. If the Applicable Requirements are hereafter changed so as to require during the term of this Lease the construction of an addition to or an alteration of the Premises and/or Building, the remediation of any Hazardous Substance, or the reinforcement or other physical modification of the Unit, Premises and/or Building </w:t>
      </w:r>
      <w:r>
        <w:rPr>
          <w:rFonts w:ascii="Arial" w:cs="Arial" w:eastAsia="Arial" w:hAnsi="Arial"/>
          <w:sz w:val="18"/>
          <w:szCs w:val="18"/>
          <w:b w:val="1"/>
          <w:bCs w:val="1"/>
          <w:color w:val="auto"/>
        </w:rPr>
        <w:t>(“Capital Expenditure”),</w:t>
      </w:r>
      <w:r>
        <w:rPr>
          <w:rFonts w:ascii="Arial" w:cs="Arial" w:eastAsia="Arial" w:hAnsi="Arial"/>
          <w:sz w:val="18"/>
          <w:szCs w:val="18"/>
          <w:color w:val="auto"/>
        </w:rPr>
        <w:t xml:space="preserve"> Lessor and Lessee shall allocate the cost of such work as follows:</w:t>
      </w:r>
    </w:p>
    <w:p>
      <w:pPr>
        <w:spacing w:after="0" w:line="183" w:lineRule="exact"/>
        <w:rPr>
          <w:sz w:val="20"/>
          <w:szCs w:val="20"/>
          <w:color w:val="auto"/>
        </w:rPr>
      </w:pPr>
    </w:p>
    <w:p>
      <w:pPr>
        <w:ind w:right="80" w:firstLine="1161"/>
        <w:spacing w:after="0" w:line="248" w:lineRule="auto"/>
        <w:tabs>
          <w:tab w:leader="none" w:pos="1573" w:val="left"/>
        </w:tabs>
        <w:numPr>
          <w:ilvl w:val="0"/>
          <w:numId w:val="95"/>
        </w:numPr>
        <w:rPr>
          <w:rFonts w:ascii="Arial" w:cs="Arial" w:eastAsia="Arial" w:hAnsi="Arial"/>
          <w:sz w:val="18"/>
          <w:szCs w:val="18"/>
          <w:color w:val="auto"/>
        </w:rPr>
      </w:pPr>
      <w:r>
        <w:rPr>
          <w:rFonts w:ascii="Arial" w:cs="Arial" w:eastAsia="Arial" w:hAnsi="Arial"/>
          <w:sz w:val="18"/>
          <w:szCs w:val="18"/>
          <w:color w:val="auto"/>
        </w:rPr>
        <w:t>Subject to Paragraph 2.3(c) below, if such Capital Expenditures are required as a result of the specific and unique use of the Premises by Lessee as compared with uses by tenants in general, Lessee shall be fully responsible for the cost thereof, provided, however, that if such Capital Expenditure is required during the last 6 months of this Lease and the cost thereof exceeds 6 months’ Base Rent, Lessee may instead terminate this Lease unless Lessor notifies Lessee, in writing, within 10 days after receipt of Lessee’s termination notice that Lessor has elected to pay the difference between the actual cost thereof and an amount equal to 6 months’ Base Rent. If Lessee elects termination, Lessee shall</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INITIALS</w:t>
            </w:r>
          </w:p>
        </w:tc>
        <w:tc>
          <w:tcPr>
            <w:tcW w:w="3960" w:type="dxa"/>
            <w:vAlign w:val="bottom"/>
          </w:tcPr>
          <w:p>
            <w:pPr>
              <w:ind w:left="1500"/>
              <w:spacing w:after="0"/>
              <w:rPr>
                <w:sz w:val="20"/>
                <w:szCs w:val="20"/>
                <w:color w:val="auto"/>
              </w:rPr>
            </w:pPr>
            <w:r>
              <w:rPr>
                <w:rFonts w:ascii="Arial" w:cs="Arial" w:eastAsia="Arial" w:hAnsi="Arial"/>
                <w:sz w:val="18"/>
                <w:szCs w:val="18"/>
                <w:color w:val="auto"/>
              </w:rPr>
              <w:t>Page 2 of 28</w:t>
            </w:r>
          </w:p>
        </w:tc>
        <w:tc>
          <w:tcPr>
            <w:tcW w:w="3380" w:type="dxa"/>
            <w:vAlign w:val="bottom"/>
            <w:vMerge w:val="restart"/>
          </w:tcPr>
          <w:p>
            <w:pPr>
              <w:jc w:val="right"/>
              <w:spacing w:after="0"/>
              <w:rPr>
                <w:sz w:val="20"/>
                <w:szCs w:val="20"/>
                <w:color w:val="auto"/>
              </w:rPr>
            </w:pPr>
            <w:r>
              <w:rPr>
                <w:rFonts w:ascii="Arial" w:cs="Arial" w:eastAsia="Arial" w:hAnsi="Arial"/>
                <w:sz w:val="18"/>
                <w:szCs w:val="18"/>
                <w:color w:val="auto"/>
              </w:rPr>
              <w:t>INITIALS</w:t>
            </w:r>
          </w:p>
        </w:tc>
        <w:tc>
          <w:tcPr>
            <w:tcW w:w="0" w:type="dxa"/>
            <w:vAlign w:val="bottom"/>
          </w:tcPr>
          <w:p>
            <w:pPr>
              <w:spacing w:after="0"/>
              <w:rPr>
                <w:sz w:val="1"/>
                <w:szCs w:val="1"/>
                <w:color w:val="auto"/>
              </w:rPr>
            </w:pPr>
          </w:p>
        </w:tc>
      </w:tr>
      <w:tr>
        <w:trPr>
          <w:trHeight w:val="95"/>
        </w:trPr>
        <w:tc>
          <w:tcPr>
            <w:tcW w:w="3900" w:type="dxa"/>
            <w:vAlign w:val="bottom"/>
            <w:vMerge w:val="continue"/>
          </w:tcPr>
          <w:p>
            <w:pPr>
              <w:spacing w:after="0"/>
              <w:rPr>
                <w:sz w:val="8"/>
                <w:szCs w:val="8"/>
                <w:color w:val="auto"/>
              </w:rPr>
            </w:pPr>
          </w:p>
        </w:tc>
        <w:tc>
          <w:tcPr>
            <w:tcW w:w="3960" w:type="dxa"/>
            <w:vAlign w:val="bottom"/>
            <w:vMerge w:val="restart"/>
          </w:tcPr>
          <w:p>
            <w:pPr>
              <w:ind w:left="780"/>
              <w:spacing w:after="0"/>
              <w:rPr>
                <w:sz w:val="20"/>
                <w:szCs w:val="20"/>
                <w:color w:val="auto"/>
              </w:rPr>
            </w:pPr>
            <w:r>
              <w:rPr>
                <w:rFonts w:ascii="Arial" w:cs="Arial" w:eastAsia="Arial" w:hAnsi="Arial"/>
                <w:sz w:val="18"/>
                <w:szCs w:val="18"/>
                <w:color w:val="auto"/>
              </w:rPr>
              <w:t>Last Edited 2/7/2018 1:59 PM</w:t>
            </w:r>
          </w:p>
        </w:tc>
        <w:tc>
          <w:tcPr>
            <w:tcW w:w="3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 2017 AIR CRE. All Rights Reserved.</w:t>
            </w:r>
          </w:p>
        </w:tc>
        <w:tc>
          <w:tcPr>
            <w:tcW w:w="3960" w:type="dxa"/>
            <w:vAlign w:val="bottom"/>
            <w:vMerge w:val="continue"/>
          </w:tcPr>
          <w:p>
            <w:pPr>
              <w:spacing w:after="0"/>
              <w:rPr>
                <w:sz w:val="12"/>
                <w:szCs w:val="12"/>
                <w:color w:val="auto"/>
              </w:rPr>
            </w:pPr>
          </w:p>
        </w:tc>
        <w:tc>
          <w:tcPr>
            <w:tcW w:w="3380" w:type="dxa"/>
            <w:vAlign w:val="bottom"/>
            <w:vMerge w:val="restart"/>
          </w:tcPr>
          <w:p>
            <w:pPr>
              <w:jc w:val="right"/>
              <w:spacing w:after="0"/>
              <w:rPr>
                <w:sz w:val="20"/>
                <w:szCs w:val="20"/>
                <w:color w:val="auto"/>
              </w:rPr>
            </w:pPr>
            <w:r>
              <w:rPr>
                <w:rFonts w:ascii="Arial" w:cs="Arial" w:eastAsia="Arial" w:hAnsi="Arial"/>
                <w:sz w:val="18"/>
                <w:szCs w:val="18"/>
                <w:color w:val="auto"/>
              </w:rPr>
              <w:t>STN-27.10, Revised 11-01-2017</w:t>
            </w:r>
          </w:p>
        </w:tc>
        <w:tc>
          <w:tcPr>
            <w:tcW w:w="0" w:type="dxa"/>
            <w:vAlign w:val="bottom"/>
          </w:tcPr>
          <w:p>
            <w:pPr>
              <w:spacing w:after="0"/>
              <w:rPr>
                <w:sz w:val="1"/>
                <w:szCs w:val="1"/>
                <w:color w:val="auto"/>
              </w:rPr>
            </w:pPr>
          </w:p>
        </w:tc>
      </w:tr>
      <w:tr>
        <w:trPr>
          <w:trHeight w:val="95"/>
        </w:trPr>
        <w:tc>
          <w:tcPr>
            <w:tcW w:w="3900" w:type="dxa"/>
            <w:vAlign w:val="bottom"/>
            <w:vMerge w:val="continue"/>
          </w:tcPr>
          <w:p>
            <w:pPr>
              <w:spacing w:after="0"/>
              <w:rPr>
                <w:sz w:val="8"/>
                <w:szCs w:val="8"/>
                <w:color w:val="auto"/>
              </w:rPr>
            </w:pPr>
          </w:p>
        </w:tc>
        <w:tc>
          <w:tcPr>
            <w:tcW w:w="3960" w:type="dxa"/>
            <w:vAlign w:val="bottom"/>
          </w:tcPr>
          <w:p>
            <w:pPr>
              <w:spacing w:after="0"/>
              <w:rPr>
                <w:sz w:val="8"/>
                <w:szCs w:val="8"/>
                <w:color w:val="auto"/>
              </w:rPr>
            </w:pPr>
          </w:p>
        </w:tc>
        <w:tc>
          <w:tcPr>
            <w:tcW w:w="3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3900" w:type="dxa"/>
            <w:vAlign w:val="bottom"/>
            <w:tcBorders>
              <w:bottom w:val="single" w:sz="8" w:color="9A9A9A"/>
            </w:tcBorders>
          </w:tcPr>
          <w:p>
            <w:pPr>
              <w:spacing w:after="0"/>
              <w:rPr>
                <w:sz w:val="13"/>
                <w:szCs w:val="13"/>
                <w:color w:val="auto"/>
              </w:rPr>
            </w:pPr>
          </w:p>
        </w:tc>
        <w:tc>
          <w:tcPr>
            <w:tcW w:w="3960" w:type="dxa"/>
            <w:vAlign w:val="bottom"/>
            <w:tcBorders>
              <w:bottom w:val="single" w:sz="8" w:color="9A9A9A"/>
            </w:tcBorders>
          </w:tcPr>
          <w:p>
            <w:pPr>
              <w:spacing w:after="0"/>
              <w:rPr>
                <w:sz w:val="13"/>
                <w:szCs w:val="13"/>
                <w:color w:val="auto"/>
              </w:rPr>
            </w:pPr>
          </w:p>
        </w:tc>
        <w:tc>
          <w:tcPr>
            <w:tcW w:w="33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1" w:name="page122"/>
    <w:bookmarkEnd w:id="121"/>
    <w:p>
      <w:pPr>
        <w:ind w:right="160"/>
        <w:spacing w:after="0" w:line="261" w:lineRule="auto"/>
        <w:rPr>
          <w:sz w:val="20"/>
          <w:szCs w:val="20"/>
          <w:color w:val="auto"/>
        </w:rPr>
      </w:pPr>
      <w:r>
        <w:rPr>
          <w:rFonts w:ascii="Arial" w:cs="Arial" w:eastAsia="Arial" w:hAnsi="Arial"/>
          <w:sz w:val="18"/>
          <w:szCs w:val="18"/>
          <w:color w:val="auto"/>
        </w:rPr>
        <w:t>immediately cease the use of the Premises which requires such Capital Expenditure and deliver to Lessor written notice specifying a termination date at least 90 days thereafter. Such termination date shall, however, in no event be earlier than the last day that Lessee could legally utilize the Premises without commencing such Capital Expenditure.</w:t>
      </w:r>
    </w:p>
    <w:p>
      <w:pPr>
        <w:spacing w:after="0" w:line="162" w:lineRule="exact"/>
        <w:rPr>
          <w:sz w:val="20"/>
          <w:szCs w:val="20"/>
          <w:color w:val="auto"/>
        </w:rPr>
      </w:pPr>
    </w:p>
    <w:p>
      <w:pPr>
        <w:ind w:right="60" w:firstLine="1154"/>
        <w:spacing w:after="0" w:line="243" w:lineRule="auto"/>
        <w:tabs>
          <w:tab w:leader="none" w:pos="1565" w:val="left"/>
        </w:tabs>
        <w:numPr>
          <w:ilvl w:val="0"/>
          <w:numId w:val="96"/>
        </w:numPr>
        <w:rPr>
          <w:rFonts w:ascii="Arial" w:cs="Arial" w:eastAsia="Arial" w:hAnsi="Arial"/>
          <w:sz w:val="18"/>
          <w:szCs w:val="18"/>
          <w:color w:val="auto"/>
        </w:rPr>
      </w:pPr>
      <w:r>
        <w:rPr>
          <w:rFonts w:ascii="Arial" w:cs="Arial" w:eastAsia="Arial" w:hAnsi="Arial"/>
          <w:sz w:val="18"/>
          <w:szCs w:val="18"/>
          <w:color w:val="auto"/>
        </w:rPr>
        <w:t>If such Capital Expenditure is not the result of the specific and unique use of the Premises by Lessee (such as, governmentally mandated seismic modifications), then Lessor shall pay for such Capital Expenditure and Lessee shall only be obligated to pay, each month during the remainder of the term of this Lease or any extension thereof, on the date that on which the Base Rent is due, an amount equal to l/144th of the portion of such costs reasonably attributable to the Premises. Lessee shall pay Interest on the balance but may prepay its obligation at any time. If, however, such Capital Expenditure is required during the last 2 years of this Lease or if Lessor reasonably determines that it is not economically feasible to pay its share thereof, Lessor shall have the option to terminate this Lease upon 90 days prior written notice to Lessee unless Lessee notifies Lessor, in writing, within 10 days after receipt of Lessor’s termination notice that Lessee will pay for such Capital Expenditure. If Lessor does not elect to terminate, and fails to tender its share of any such Capital Expenditure, Lessee may advance such funds and deduct same, with Interest, from Rent until Lessor’s share of such costs have been fully paid. If Lessee is unable to finance Lessor’s share, or if the balance of the Rent due and payable for the remainder of this Lease is not sufficient to fully reimburse Lessee on an offset basis, Lessee shall have the right to terminate this Lease upon 30 days written notice to Lessor.</w:t>
      </w:r>
    </w:p>
    <w:p>
      <w:pPr>
        <w:spacing w:after="0" w:line="185" w:lineRule="exact"/>
        <w:rPr>
          <w:rFonts w:ascii="Arial" w:cs="Arial" w:eastAsia="Arial" w:hAnsi="Arial"/>
          <w:sz w:val="18"/>
          <w:szCs w:val="18"/>
          <w:color w:val="auto"/>
        </w:rPr>
      </w:pPr>
    </w:p>
    <w:p>
      <w:pPr>
        <w:ind w:right="160" w:firstLine="1154"/>
        <w:spacing w:after="0" w:line="248" w:lineRule="auto"/>
        <w:tabs>
          <w:tab w:leader="none" w:pos="15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Notwithstanding the above, the provisions concerning Capital Expenditures are intended to apply only to non-voluntary, unexpected, and new Applicable Requirements. If the Capital Expenditures are instead triggered by Lessee as a result of an actual or proposed change in use, change in intensity of use, or modification to the Premises then, and in that event, Lessee shall either: (i) immediately cease such changed use or intensity of use and/or take such other steps as may be necessary to eliminate the requirement for such Capital Expenditure, or (ii) complete such Capital Expenditure at its own expense. Lessee shall not, however, have any right to terminate this Lease.</w:t>
      </w:r>
    </w:p>
    <w:p>
      <w:pPr>
        <w:spacing w:after="0" w:line="175"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b w:val="1"/>
          <w:bCs w:val="1"/>
          <w:color w:val="auto"/>
        </w:rPr>
        <w:t>Acknowledgements.</w:t>
      </w:r>
      <w:r>
        <w:rPr>
          <w:rFonts w:ascii="Arial" w:cs="Arial" w:eastAsia="Arial" w:hAnsi="Arial"/>
          <w:sz w:val="18"/>
          <w:szCs w:val="18"/>
          <w:color w:val="auto"/>
        </w:rPr>
        <w:t xml:space="preserve"> Lessee acknowledges that: (a) it has been given an opportunity to inspect and measure the Premises, (b) it has been advised by Lessor and/or Brokers to satisfy itself with respect to the size and condition of the Premises (including but not limited to the electrical, HVAC and fire sprinkler systems, security, environmental aspects, and compliance with Applicable Requirements and the Americans with Disabilities Act), and their suitability for Lessee’s intended use, (c) Lessee has made such investigation as it deems necessary with reference to such matters and assumes all responsibility therefor as the same relate to its occupancy of the Premises, (d) it is not relying on any representation as to the size of the Premises made by Brokers or Lessor, (e) the square footage of the Premises was not material to Lessee’s decision to lease the Premises and pay the Rent stated herein, and (f) neither Lessor, Lessor’s agents, nor Brokers have made any oral or written representations or warranties with respect to said matters other than as set forth in this Lease. In addition, Lessor acknowledges that: (i) Brokers have made no representations, promises or warranties concerning Lessee’s ability to honor the Lease or suitability to occupy the Premises, and (ii) it is Lessor’s sole responsibility to investigate the financial capability and/or suitability of all proposed tenants.</w:t>
      </w:r>
    </w:p>
    <w:p>
      <w:pPr>
        <w:spacing w:after="0" w:line="179"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b w:val="1"/>
          <w:bCs w:val="1"/>
          <w:color w:val="auto"/>
        </w:rPr>
        <w:t>Lessee as Prior Owner/Occupant.</w:t>
      </w:r>
      <w:r>
        <w:rPr>
          <w:rFonts w:ascii="Arial" w:cs="Arial" w:eastAsia="Arial" w:hAnsi="Arial"/>
          <w:sz w:val="18"/>
          <w:szCs w:val="18"/>
          <w:color w:val="auto"/>
        </w:rPr>
        <w:t xml:space="preserve"> The warranties made by Lessor in Paragraph 2 shall be of no force or effect if immediately prior to the Start Date Lessee was the owner or occupant of the Premises. In such event, Lessee shall be responsible for any necessary corrective work.</w:t>
      </w:r>
    </w:p>
    <w:p>
      <w:pPr>
        <w:spacing w:after="0" w:line="270" w:lineRule="exact"/>
        <w:rPr>
          <w:sz w:val="20"/>
          <w:szCs w:val="20"/>
          <w:color w:val="auto"/>
        </w:rPr>
      </w:pPr>
    </w:p>
    <w:p>
      <w:pPr>
        <w:ind w:left="360" w:hanging="352"/>
        <w:spacing w:after="0"/>
        <w:tabs>
          <w:tab w:leader="none" w:pos="36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Term.</w:t>
      </w:r>
    </w:p>
    <w:p>
      <w:pPr>
        <w:spacing w:after="0" w:line="117" w:lineRule="exact"/>
        <w:rPr>
          <w:sz w:val="20"/>
          <w:szCs w:val="20"/>
          <w:color w:val="auto"/>
        </w:rPr>
      </w:pPr>
    </w:p>
    <w:p>
      <w:pPr>
        <w:ind w:left="520"/>
        <w:spacing w:after="0"/>
        <w:tabs>
          <w:tab w:leader="none" w:pos="9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b w:val="1"/>
          <w:bCs w:val="1"/>
          <w:color w:val="auto"/>
        </w:rPr>
        <w:t xml:space="preserve">Term. </w:t>
      </w:r>
      <w:r>
        <w:rPr>
          <w:rFonts w:ascii="Arial" w:cs="Arial" w:eastAsia="Arial" w:hAnsi="Arial"/>
          <w:sz w:val="17"/>
          <w:szCs w:val="17"/>
          <w:color w:val="auto"/>
        </w:rPr>
        <w:t>The Commencement Date, Expiration Date and Original Term of this Lease are as specified in Paragraph 1.3.</w:t>
      </w:r>
    </w:p>
    <w:p>
      <w:pPr>
        <w:spacing w:after="0" w:line="212"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color w:val="auto"/>
        </w:rPr>
        <w:t>Early Possession.</w:t>
      </w:r>
      <w:r>
        <w:rPr>
          <w:rFonts w:ascii="Arial" w:cs="Arial" w:eastAsia="Arial" w:hAnsi="Arial"/>
          <w:sz w:val="18"/>
          <w:szCs w:val="18"/>
          <w:color w:val="auto"/>
        </w:rPr>
        <w:t xml:space="preserve"> Any provision herein granting Lessee Early Possession of the Premises is subject to and conditioned upon the Premises being available for such possession prior to the Commencement Date. Any grant of Early Possession only conveys a non-exclusive right to occupy the Premises. If Lessee totally or partially occupies the Premises prior to the Commencement Date, the obligation to pay Base Rent shall be abated for the period of such Early Possession. All other terms of this Lease (including but not limited to the obligations to pay Real Property Taxes and insurance premiums and to maintain the Premises) shall be in effect during such period. Any such Early Possession shall not affect the Expiration Date.</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INITIALS</w:t>
            </w:r>
          </w:p>
        </w:tc>
        <w:tc>
          <w:tcPr>
            <w:tcW w:w="3960" w:type="dxa"/>
            <w:vAlign w:val="bottom"/>
          </w:tcPr>
          <w:p>
            <w:pPr>
              <w:ind w:left="1500"/>
              <w:spacing w:after="0"/>
              <w:rPr>
                <w:sz w:val="20"/>
                <w:szCs w:val="20"/>
                <w:color w:val="auto"/>
              </w:rPr>
            </w:pPr>
            <w:r>
              <w:rPr>
                <w:rFonts w:ascii="Arial" w:cs="Arial" w:eastAsia="Arial" w:hAnsi="Arial"/>
                <w:sz w:val="18"/>
                <w:szCs w:val="18"/>
                <w:color w:val="auto"/>
              </w:rPr>
              <w:t>Page 3 of 28</w:t>
            </w:r>
          </w:p>
        </w:tc>
        <w:tc>
          <w:tcPr>
            <w:tcW w:w="3380" w:type="dxa"/>
            <w:vAlign w:val="bottom"/>
            <w:vMerge w:val="restart"/>
          </w:tcPr>
          <w:p>
            <w:pPr>
              <w:jc w:val="right"/>
              <w:spacing w:after="0"/>
              <w:rPr>
                <w:sz w:val="20"/>
                <w:szCs w:val="20"/>
                <w:color w:val="auto"/>
              </w:rPr>
            </w:pPr>
            <w:r>
              <w:rPr>
                <w:rFonts w:ascii="Arial" w:cs="Arial" w:eastAsia="Arial" w:hAnsi="Arial"/>
                <w:sz w:val="18"/>
                <w:szCs w:val="18"/>
                <w:color w:val="auto"/>
              </w:rPr>
              <w:t>INITIALS</w:t>
            </w:r>
          </w:p>
        </w:tc>
        <w:tc>
          <w:tcPr>
            <w:tcW w:w="0" w:type="dxa"/>
            <w:vAlign w:val="bottom"/>
          </w:tcPr>
          <w:p>
            <w:pPr>
              <w:spacing w:after="0"/>
              <w:rPr>
                <w:sz w:val="1"/>
                <w:szCs w:val="1"/>
                <w:color w:val="auto"/>
              </w:rPr>
            </w:pPr>
          </w:p>
        </w:tc>
      </w:tr>
      <w:tr>
        <w:trPr>
          <w:trHeight w:val="95"/>
        </w:trPr>
        <w:tc>
          <w:tcPr>
            <w:tcW w:w="3900" w:type="dxa"/>
            <w:vAlign w:val="bottom"/>
            <w:vMerge w:val="continue"/>
          </w:tcPr>
          <w:p>
            <w:pPr>
              <w:spacing w:after="0"/>
              <w:rPr>
                <w:sz w:val="8"/>
                <w:szCs w:val="8"/>
                <w:color w:val="auto"/>
              </w:rPr>
            </w:pPr>
          </w:p>
        </w:tc>
        <w:tc>
          <w:tcPr>
            <w:tcW w:w="3960" w:type="dxa"/>
            <w:vAlign w:val="bottom"/>
            <w:vMerge w:val="restart"/>
          </w:tcPr>
          <w:p>
            <w:pPr>
              <w:ind w:left="780"/>
              <w:spacing w:after="0"/>
              <w:rPr>
                <w:sz w:val="20"/>
                <w:szCs w:val="20"/>
                <w:color w:val="auto"/>
              </w:rPr>
            </w:pPr>
            <w:r>
              <w:rPr>
                <w:rFonts w:ascii="Arial" w:cs="Arial" w:eastAsia="Arial" w:hAnsi="Arial"/>
                <w:sz w:val="18"/>
                <w:szCs w:val="18"/>
                <w:color w:val="auto"/>
              </w:rPr>
              <w:t>Last Edited 2/7/2018 1:59 PM</w:t>
            </w:r>
          </w:p>
        </w:tc>
        <w:tc>
          <w:tcPr>
            <w:tcW w:w="3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 2017 AIR CRE. All Rights Reserved.</w:t>
            </w:r>
          </w:p>
        </w:tc>
        <w:tc>
          <w:tcPr>
            <w:tcW w:w="3960" w:type="dxa"/>
            <w:vAlign w:val="bottom"/>
            <w:vMerge w:val="continue"/>
          </w:tcPr>
          <w:p>
            <w:pPr>
              <w:spacing w:after="0"/>
              <w:rPr>
                <w:sz w:val="12"/>
                <w:szCs w:val="12"/>
                <w:color w:val="auto"/>
              </w:rPr>
            </w:pPr>
          </w:p>
        </w:tc>
        <w:tc>
          <w:tcPr>
            <w:tcW w:w="3380" w:type="dxa"/>
            <w:vAlign w:val="bottom"/>
            <w:vMerge w:val="restart"/>
          </w:tcPr>
          <w:p>
            <w:pPr>
              <w:jc w:val="right"/>
              <w:spacing w:after="0"/>
              <w:rPr>
                <w:sz w:val="20"/>
                <w:szCs w:val="20"/>
                <w:color w:val="auto"/>
              </w:rPr>
            </w:pPr>
            <w:r>
              <w:rPr>
                <w:rFonts w:ascii="Arial" w:cs="Arial" w:eastAsia="Arial" w:hAnsi="Arial"/>
                <w:sz w:val="18"/>
                <w:szCs w:val="18"/>
                <w:color w:val="auto"/>
              </w:rPr>
              <w:t>STN-27.10, Revised 11-01-2017</w:t>
            </w:r>
          </w:p>
        </w:tc>
        <w:tc>
          <w:tcPr>
            <w:tcW w:w="0" w:type="dxa"/>
            <w:vAlign w:val="bottom"/>
          </w:tcPr>
          <w:p>
            <w:pPr>
              <w:spacing w:after="0"/>
              <w:rPr>
                <w:sz w:val="1"/>
                <w:szCs w:val="1"/>
                <w:color w:val="auto"/>
              </w:rPr>
            </w:pPr>
          </w:p>
        </w:tc>
      </w:tr>
      <w:tr>
        <w:trPr>
          <w:trHeight w:val="95"/>
        </w:trPr>
        <w:tc>
          <w:tcPr>
            <w:tcW w:w="3900" w:type="dxa"/>
            <w:vAlign w:val="bottom"/>
            <w:vMerge w:val="continue"/>
          </w:tcPr>
          <w:p>
            <w:pPr>
              <w:spacing w:after="0"/>
              <w:rPr>
                <w:sz w:val="8"/>
                <w:szCs w:val="8"/>
                <w:color w:val="auto"/>
              </w:rPr>
            </w:pPr>
          </w:p>
        </w:tc>
        <w:tc>
          <w:tcPr>
            <w:tcW w:w="3960" w:type="dxa"/>
            <w:vAlign w:val="bottom"/>
          </w:tcPr>
          <w:p>
            <w:pPr>
              <w:spacing w:after="0"/>
              <w:rPr>
                <w:sz w:val="8"/>
                <w:szCs w:val="8"/>
                <w:color w:val="auto"/>
              </w:rPr>
            </w:pPr>
          </w:p>
        </w:tc>
        <w:tc>
          <w:tcPr>
            <w:tcW w:w="3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3900" w:type="dxa"/>
            <w:vAlign w:val="bottom"/>
            <w:tcBorders>
              <w:bottom w:val="single" w:sz="8" w:color="9A9A9A"/>
            </w:tcBorders>
          </w:tcPr>
          <w:p>
            <w:pPr>
              <w:spacing w:after="0"/>
              <w:rPr>
                <w:sz w:val="13"/>
                <w:szCs w:val="13"/>
                <w:color w:val="auto"/>
              </w:rPr>
            </w:pPr>
          </w:p>
        </w:tc>
        <w:tc>
          <w:tcPr>
            <w:tcW w:w="3960" w:type="dxa"/>
            <w:vAlign w:val="bottom"/>
            <w:tcBorders>
              <w:bottom w:val="single" w:sz="8" w:color="9A9A9A"/>
            </w:tcBorders>
          </w:tcPr>
          <w:p>
            <w:pPr>
              <w:spacing w:after="0"/>
              <w:rPr>
                <w:sz w:val="13"/>
                <w:szCs w:val="13"/>
                <w:color w:val="auto"/>
              </w:rPr>
            </w:pPr>
          </w:p>
        </w:tc>
        <w:tc>
          <w:tcPr>
            <w:tcW w:w="33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2" w:name="page123"/>
    <w:bookmarkEnd w:id="122"/>
    <w:p>
      <w:pPr>
        <w:ind w:right="20" w:firstLine="509"/>
        <w:spacing w:after="0" w:line="24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color w:val="auto"/>
        </w:rPr>
        <w:t>Delay In Possession.</w:t>
      </w:r>
      <w:r>
        <w:rPr>
          <w:rFonts w:ascii="Arial" w:cs="Arial" w:eastAsia="Arial" w:hAnsi="Arial"/>
          <w:sz w:val="18"/>
          <w:szCs w:val="18"/>
          <w:color w:val="auto"/>
        </w:rPr>
        <w:t xml:space="preserve"> Lessor agrees to use its best commercially reasonable efforts to deliver possession of the Premises to Lessee by the Commencement Date. If, despite said efforts, Lessor is unable to deliver possession by such date, Lessor shall not be subject to any liability therefor, nor shall such failure affect the validity of this Lease or change the Expiration Date. Lessee shall not, however, be obligated to pay Rent or perform its other obligations until Lessor delivers possession of the Premises and any period of rent abatement that Lessee would otherwise have enjoyed shall run from the date of delivery of possession and continue for a period equal to what Lessee would otherwise have enjoyed under the terms hereof, but minus any days of delay caused by the acts or omissions of Lessee. If possession is not delivered within 60 days after the Commencement Date, as the same may be extended under the terms of any Work Letter executed by Parties, Lessee may, at its option, by notice in writing within 10 days after the end of such 60 day period, cancel this Lease, in which event the Parties shall be discharged from all obligations hereunder. If such written notice is not received by Lessor within said 10 day period, Lessee’s right to cancel shall terminate. If possession of the Premises is not delivered within 120 days after the Commencement Date, this Lease shall terminate unless other agreements are reached between Lessor and Lessee, in writing.</w:t>
      </w:r>
    </w:p>
    <w:p>
      <w:pPr>
        <w:spacing w:after="0" w:line="183"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b w:val="1"/>
          <w:bCs w:val="1"/>
          <w:color w:val="auto"/>
        </w:rPr>
        <w:t>Lessee Compliance.</w:t>
      </w:r>
      <w:r>
        <w:rPr>
          <w:rFonts w:ascii="Arial" w:cs="Arial" w:eastAsia="Arial" w:hAnsi="Arial"/>
          <w:sz w:val="18"/>
          <w:szCs w:val="18"/>
          <w:color w:val="auto"/>
        </w:rPr>
        <w:t xml:space="preserve"> Lessor shall not be required to tender possession of the Premises to Lessee until Lessee complies with its obligation to provide evidence of insurance (Paragraph 8.5). Pending delivery of such evidence, Lessee shall be required to perform all of its obligations under this Lease from and after the Start Date, including the payment of Rent, notwithstanding Lessor’s election to withhold possession pending receipt of such evidence of insurance. Further, if Lessee is required to perform any other conditions prior to or concurrent with the Start Date, the Start Date shall occur but Lessor may elect to withhold possession until such conditions are satisfied.</w:t>
      </w:r>
    </w:p>
    <w:p>
      <w:pPr>
        <w:spacing w:after="0" w:line="285" w:lineRule="exact"/>
        <w:rPr>
          <w:sz w:val="20"/>
          <w:szCs w:val="20"/>
          <w:color w:val="auto"/>
        </w:rPr>
      </w:pPr>
    </w:p>
    <w:p>
      <w:pPr>
        <w:ind w:left="360" w:hanging="352"/>
        <w:spacing w:after="0"/>
        <w:tabs>
          <w:tab w:leader="none" w:pos="36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Rent.</w:t>
      </w:r>
    </w:p>
    <w:p>
      <w:pPr>
        <w:spacing w:after="0" w:line="117" w:lineRule="exact"/>
        <w:rPr>
          <w:sz w:val="20"/>
          <w:szCs w:val="20"/>
          <w:color w:val="auto"/>
        </w:rPr>
      </w:pPr>
    </w:p>
    <w:p>
      <w:pPr>
        <w:ind w:right="220" w:firstLine="509"/>
        <w:spacing w:after="0" w:line="281"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color w:val="auto"/>
        </w:rPr>
        <w:t>Rent Defined.</w:t>
      </w:r>
      <w:r>
        <w:rPr>
          <w:rFonts w:ascii="Arial" w:cs="Arial" w:eastAsia="Arial" w:hAnsi="Arial"/>
          <w:sz w:val="18"/>
          <w:szCs w:val="18"/>
          <w:color w:val="auto"/>
        </w:rPr>
        <w:t xml:space="preserve"> All monetary obligations of Lessee to Lessor under the terms of this Lease (except for the Security Deposit) are deemed to be rent </w:t>
      </w:r>
      <w:r>
        <w:rPr>
          <w:rFonts w:ascii="Arial" w:cs="Arial" w:eastAsia="Arial" w:hAnsi="Arial"/>
          <w:sz w:val="18"/>
          <w:szCs w:val="18"/>
          <w:b w:val="1"/>
          <w:bCs w:val="1"/>
          <w:color w:val="auto"/>
        </w:rPr>
        <w:t>(“Rent”).</w:t>
      </w:r>
    </w:p>
    <w:p>
      <w:pPr>
        <w:spacing w:after="0" w:line="136"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color w:val="auto"/>
        </w:rPr>
        <w:t>Payment.</w:t>
      </w:r>
      <w:r>
        <w:rPr>
          <w:rFonts w:ascii="Arial" w:cs="Arial" w:eastAsia="Arial" w:hAnsi="Arial"/>
          <w:sz w:val="18"/>
          <w:szCs w:val="18"/>
          <w:color w:val="auto"/>
        </w:rPr>
        <w:t xml:space="preserve"> Lessee shall cause payment of Rent to be received by Lessor in lawful money of the United States, without offset or deduction (except as specifically permitted in this Lease), on or before the day on which it is due. All monetary amounts shall be rounded to the nearest whole dollar. In the event that any invoice prepared by Lessor is inaccurate such inaccuracy shall not constitute a waiver and Lessee shall be obligated to pay the amount set forth in this Lease. Rent for any period during the term hereof which is for less than one full calendar month shall be prorated based upon the actual number of days of said month. Payment of Rent shall be made to Lessor at its address stated herein or to such other persons or place as Lessor may from time to time designate in writing. Acceptance of a payment which is less than the amount then due shall not be a waiver of Lessor’s rights to the balance of such Rent, regardless of Lessor’s endorsement of any check so stating. In the event that any check, draft, or other instrument of payment given by Lessee to Lessor is dishonored for any reason, Lessee agrees to pay to Lessor the sum of $25 in addition to any Late Charge and Lessor, at its option, may require all future Rent be paid by cashier’s check. Payments will be applied first to accrued late charges and attorney’s fees, second to accrued interest, then to Base Rent, Insurance and Real Property Taxes, and any remaining amount to any other outstanding charges or costs.</w:t>
      </w:r>
    </w:p>
    <w:p>
      <w:pPr>
        <w:spacing w:after="0" w:line="185" w:lineRule="exact"/>
        <w:rPr>
          <w:sz w:val="20"/>
          <w:szCs w:val="20"/>
          <w:color w:val="auto"/>
        </w:rPr>
      </w:pPr>
    </w:p>
    <w:p>
      <w:pPr>
        <w:ind w:right="480" w:firstLine="509"/>
        <w:spacing w:after="0" w:line="261"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color w:val="auto"/>
        </w:rPr>
        <w:t>Association Fees.</w:t>
      </w:r>
      <w:r>
        <w:rPr>
          <w:rFonts w:ascii="Arial" w:cs="Arial" w:eastAsia="Arial" w:hAnsi="Arial"/>
          <w:sz w:val="18"/>
          <w:szCs w:val="18"/>
          <w:color w:val="auto"/>
        </w:rPr>
        <w:t xml:space="preserve"> In addition to the Base Rent, Lessee shall pay to Lessor each month an amount equal to any owner’s association or condominium fees levied or assessed against the Premises. Said monies shall be paid at the same time and in the same manner as the Base Rent.</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INITIALS</w:t>
            </w:r>
          </w:p>
        </w:tc>
        <w:tc>
          <w:tcPr>
            <w:tcW w:w="3960" w:type="dxa"/>
            <w:vAlign w:val="bottom"/>
          </w:tcPr>
          <w:p>
            <w:pPr>
              <w:ind w:left="1500"/>
              <w:spacing w:after="0"/>
              <w:rPr>
                <w:sz w:val="20"/>
                <w:szCs w:val="20"/>
                <w:color w:val="auto"/>
              </w:rPr>
            </w:pPr>
            <w:r>
              <w:rPr>
                <w:rFonts w:ascii="Arial" w:cs="Arial" w:eastAsia="Arial" w:hAnsi="Arial"/>
                <w:sz w:val="18"/>
                <w:szCs w:val="18"/>
                <w:color w:val="auto"/>
              </w:rPr>
              <w:t>Page 4 of 28</w:t>
            </w:r>
          </w:p>
        </w:tc>
        <w:tc>
          <w:tcPr>
            <w:tcW w:w="3380" w:type="dxa"/>
            <w:vAlign w:val="bottom"/>
            <w:vMerge w:val="restart"/>
          </w:tcPr>
          <w:p>
            <w:pPr>
              <w:jc w:val="right"/>
              <w:spacing w:after="0"/>
              <w:rPr>
                <w:sz w:val="20"/>
                <w:szCs w:val="20"/>
                <w:color w:val="auto"/>
              </w:rPr>
            </w:pPr>
            <w:r>
              <w:rPr>
                <w:rFonts w:ascii="Arial" w:cs="Arial" w:eastAsia="Arial" w:hAnsi="Arial"/>
                <w:sz w:val="18"/>
                <w:szCs w:val="18"/>
                <w:color w:val="auto"/>
              </w:rPr>
              <w:t>INITIALS</w:t>
            </w:r>
          </w:p>
        </w:tc>
        <w:tc>
          <w:tcPr>
            <w:tcW w:w="0" w:type="dxa"/>
            <w:vAlign w:val="bottom"/>
          </w:tcPr>
          <w:p>
            <w:pPr>
              <w:spacing w:after="0"/>
              <w:rPr>
                <w:sz w:val="1"/>
                <w:szCs w:val="1"/>
                <w:color w:val="auto"/>
              </w:rPr>
            </w:pPr>
          </w:p>
        </w:tc>
      </w:tr>
      <w:tr>
        <w:trPr>
          <w:trHeight w:val="94"/>
        </w:trPr>
        <w:tc>
          <w:tcPr>
            <w:tcW w:w="3900" w:type="dxa"/>
            <w:vAlign w:val="bottom"/>
            <w:vMerge w:val="continue"/>
          </w:tcPr>
          <w:p>
            <w:pPr>
              <w:spacing w:after="0"/>
              <w:rPr>
                <w:sz w:val="8"/>
                <w:szCs w:val="8"/>
                <w:color w:val="auto"/>
              </w:rPr>
            </w:pPr>
          </w:p>
        </w:tc>
        <w:tc>
          <w:tcPr>
            <w:tcW w:w="3960" w:type="dxa"/>
            <w:vAlign w:val="bottom"/>
            <w:vMerge w:val="restart"/>
          </w:tcPr>
          <w:p>
            <w:pPr>
              <w:ind w:left="780"/>
              <w:spacing w:after="0"/>
              <w:rPr>
                <w:sz w:val="20"/>
                <w:szCs w:val="20"/>
                <w:color w:val="auto"/>
              </w:rPr>
            </w:pPr>
            <w:r>
              <w:rPr>
                <w:rFonts w:ascii="Arial" w:cs="Arial" w:eastAsia="Arial" w:hAnsi="Arial"/>
                <w:sz w:val="18"/>
                <w:szCs w:val="18"/>
                <w:color w:val="auto"/>
              </w:rPr>
              <w:t>Last Edited 2/7/2018 1:59 PM</w:t>
            </w:r>
          </w:p>
        </w:tc>
        <w:tc>
          <w:tcPr>
            <w:tcW w:w="3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 2017 AIR CRE. All Rights Reserved.</w:t>
            </w:r>
          </w:p>
        </w:tc>
        <w:tc>
          <w:tcPr>
            <w:tcW w:w="3960" w:type="dxa"/>
            <w:vAlign w:val="bottom"/>
            <w:vMerge w:val="continue"/>
          </w:tcPr>
          <w:p>
            <w:pPr>
              <w:spacing w:after="0"/>
              <w:rPr>
                <w:sz w:val="12"/>
                <w:szCs w:val="12"/>
                <w:color w:val="auto"/>
              </w:rPr>
            </w:pPr>
          </w:p>
        </w:tc>
        <w:tc>
          <w:tcPr>
            <w:tcW w:w="3380" w:type="dxa"/>
            <w:vAlign w:val="bottom"/>
            <w:vMerge w:val="restart"/>
          </w:tcPr>
          <w:p>
            <w:pPr>
              <w:jc w:val="right"/>
              <w:spacing w:after="0"/>
              <w:rPr>
                <w:sz w:val="20"/>
                <w:szCs w:val="20"/>
                <w:color w:val="auto"/>
              </w:rPr>
            </w:pPr>
            <w:r>
              <w:rPr>
                <w:rFonts w:ascii="Arial" w:cs="Arial" w:eastAsia="Arial" w:hAnsi="Arial"/>
                <w:sz w:val="18"/>
                <w:szCs w:val="18"/>
                <w:color w:val="auto"/>
              </w:rPr>
              <w:t>STN-27.10, Revised 11-01-2017</w:t>
            </w:r>
          </w:p>
        </w:tc>
        <w:tc>
          <w:tcPr>
            <w:tcW w:w="0" w:type="dxa"/>
            <w:vAlign w:val="bottom"/>
          </w:tcPr>
          <w:p>
            <w:pPr>
              <w:spacing w:after="0"/>
              <w:rPr>
                <w:sz w:val="1"/>
                <w:szCs w:val="1"/>
                <w:color w:val="auto"/>
              </w:rPr>
            </w:pPr>
          </w:p>
        </w:tc>
      </w:tr>
      <w:tr>
        <w:trPr>
          <w:trHeight w:val="95"/>
        </w:trPr>
        <w:tc>
          <w:tcPr>
            <w:tcW w:w="3900" w:type="dxa"/>
            <w:vAlign w:val="bottom"/>
            <w:vMerge w:val="continue"/>
          </w:tcPr>
          <w:p>
            <w:pPr>
              <w:spacing w:after="0"/>
              <w:rPr>
                <w:sz w:val="8"/>
                <w:szCs w:val="8"/>
                <w:color w:val="auto"/>
              </w:rPr>
            </w:pPr>
          </w:p>
        </w:tc>
        <w:tc>
          <w:tcPr>
            <w:tcW w:w="3960" w:type="dxa"/>
            <w:vAlign w:val="bottom"/>
          </w:tcPr>
          <w:p>
            <w:pPr>
              <w:spacing w:after="0"/>
              <w:rPr>
                <w:sz w:val="8"/>
                <w:szCs w:val="8"/>
                <w:color w:val="auto"/>
              </w:rPr>
            </w:pPr>
          </w:p>
        </w:tc>
        <w:tc>
          <w:tcPr>
            <w:tcW w:w="3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3900" w:type="dxa"/>
            <w:vAlign w:val="bottom"/>
            <w:tcBorders>
              <w:bottom w:val="single" w:sz="8" w:color="9A9A9A"/>
            </w:tcBorders>
          </w:tcPr>
          <w:p>
            <w:pPr>
              <w:spacing w:after="0"/>
              <w:rPr>
                <w:sz w:val="13"/>
                <w:szCs w:val="13"/>
                <w:color w:val="auto"/>
              </w:rPr>
            </w:pPr>
          </w:p>
        </w:tc>
        <w:tc>
          <w:tcPr>
            <w:tcW w:w="3960" w:type="dxa"/>
            <w:vAlign w:val="bottom"/>
            <w:tcBorders>
              <w:bottom w:val="single" w:sz="8" w:color="9A9A9A"/>
            </w:tcBorders>
          </w:tcPr>
          <w:p>
            <w:pPr>
              <w:spacing w:after="0"/>
              <w:rPr>
                <w:sz w:val="13"/>
                <w:szCs w:val="13"/>
                <w:color w:val="auto"/>
              </w:rPr>
            </w:pPr>
          </w:p>
        </w:tc>
        <w:tc>
          <w:tcPr>
            <w:tcW w:w="33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3" w:name="page124"/>
    <w:bookmarkEnd w:id="123"/>
    <w:p>
      <w:pPr>
        <w:ind w:right="60" w:firstLine="8"/>
        <w:spacing w:after="0" w:line="242" w:lineRule="auto"/>
        <w:tabs>
          <w:tab w:leader="none" w:pos="350"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 xml:space="preserve">Security Deposit. </w:t>
      </w:r>
      <w:r>
        <w:rPr>
          <w:rFonts w:ascii="Arial" w:cs="Arial" w:eastAsia="Arial" w:hAnsi="Arial"/>
          <w:sz w:val="18"/>
          <w:szCs w:val="18"/>
          <w:color w:val="auto"/>
        </w:rPr>
        <w:t>Lessee shall deposit with Lessor upon execution hereof the Security Deposit as security for Lessee’s faithful</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of its obligations under this Lease. If Lessee fails to pay Rent, or otherwise Defaults under this Lease, Lessor may use, apply or retain all or any portion of said Security Deposit for the payment of any amount already due Lessor, for Rents which will be due in the future, and/or to reimburse or compensate Lessor for any liability, expense, loss or damage which Lessor may suffer or incur by reason thereof. If Lessor uses or applies all or any portion of the Security Deposit, Lessee shall within 10 days after written request therefor deposit monies with Lessor sufficient to restore said Security Deposit to the full amount required by this Lease. If the Base Rent increases during the term of this Lease, Lessee shall, upon written request from Lessor, deposit additional monies with Lessor so that the total amount of the Security Deposit shall at all times bear the same proportion to the increased Base Rent as the initial Security Deposit bore to the initial Base Rent. Should the Agreed Use be amended to accommodate a material change in the business of Lessee or to accommodate a sublessee or assignee, Lessor shall have the right to increase the Security Deposit to the extent necessary, in Lessor’s reasonable judgment, to account for any increased wear and tear that the Premises may suffer as a result thereof. If a change in control of Lessee occurs during this Lease and following such change the financial condition of Lessee is, in Lessor’s reasonable judgment, significantly reduced, Lessee shall deposit such additional monies with Lessor as shall be sufficient to cause the Security Deposit to be at a commercially reasonable level based on such change in financial condition. Lessor shall not be required to keep the Security Deposit separate from its general accounts. Within 90 days after the expiration or termination of this Lease, Lessor shall return that portion of the Security Deposit not used or applied by Lessor. Lessor shall upon written request provide Lessee with an accounting showing how that portion of the Security Deposit that was not returned was applied. No part of the Security Deposit shall be considered to be held in trust, to bear interest or to be prepayment for any monies to be paid by Lessee under this Lease. THE SECURITY DEPOSIT SHALL NOT BE USED BY LESSEE IN LIEU OF PAYMENT OF THE LAST MONTH’S RENT.</w:t>
      </w:r>
    </w:p>
    <w:p>
      <w:pPr>
        <w:spacing w:after="0" w:line="287" w:lineRule="exact"/>
        <w:rPr>
          <w:rFonts w:ascii="Arial" w:cs="Arial" w:eastAsia="Arial" w:hAnsi="Arial"/>
          <w:sz w:val="18"/>
          <w:szCs w:val="18"/>
          <w:color w:val="auto"/>
        </w:rPr>
      </w:pPr>
    </w:p>
    <w:p>
      <w:pPr>
        <w:ind w:left="360" w:hanging="352"/>
        <w:spacing w:after="0"/>
        <w:tabs>
          <w:tab w:leader="none" w:pos="36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Use.</w:t>
      </w:r>
    </w:p>
    <w:p>
      <w:pPr>
        <w:spacing w:after="0" w:line="117"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b w:val="1"/>
          <w:bCs w:val="1"/>
          <w:color w:val="auto"/>
        </w:rPr>
        <w:t>Use</w:t>
      </w:r>
      <w:r>
        <w:rPr>
          <w:rFonts w:ascii="Arial" w:cs="Arial" w:eastAsia="Arial" w:hAnsi="Arial"/>
          <w:sz w:val="18"/>
          <w:szCs w:val="18"/>
          <w:color w:val="auto"/>
        </w:rPr>
        <w:t>. Lessee shall use and occupy the Premises only for the Agreed Use, or any other legal use which is reasonably comparable thereto, and for no other purpose. Lessee shall not use or permit the use of the Premises in a manner that is unlawful, creates damage, waste or a nuisance, or that disturbs occupants of or causes damage to neighboring premises or properties. Other than guide, signal and seeing eye dogs, Lessee shall not keep or allow in the Premises any pets, animals, or reptiles. Lessor shall not unreasonably withhold or delay its consent to any written request for a modification of the Agreed Use, so long as the same will not impair the structural integrity of the improvements on the premises or the mechanical or electrical systems therein, and/or is not significantly more burdensome to the Premises. If Lessor elects to withhold consent, Lessor shall within 7 days after such request give written notification of same, which notice shall include an explanation of Lessor’s objections to the change in the Agreed Use.</w:t>
      </w:r>
    </w:p>
    <w:p>
      <w:pPr>
        <w:spacing w:after="0" w:line="288" w:lineRule="exact"/>
        <w:rPr>
          <w:sz w:val="20"/>
          <w:szCs w:val="20"/>
          <w:color w:val="auto"/>
        </w:rPr>
      </w:pPr>
    </w:p>
    <w:p>
      <w:pPr>
        <w:ind w:left="520"/>
        <w:spacing w:after="0"/>
        <w:tabs>
          <w:tab w:leader="none" w:pos="9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b w:val="1"/>
          <w:bCs w:val="1"/>
          <w:color w:val="auto"/>
        </w:rPr>
        <w:t>Hazardous Substances.</w:t>
      </w:r>
    </w:p>
    <w:p>
      <w:pPr>
        <w:spacing w:after="0" w:line="104" w:lineRule="exact"/>
        <w:rPr>
          <w:sz w:val="20"/>
          <w:szCs w:val="20"/>
          <w:color w:val="auto"/>
        </w:rPr>
      </w:pPr>
    </w:p>
    <w:p>
      <w:pPr>
        <w:ind w:right="20" w:firstLine="1154"/>
        <w:spacing w:after="0" w:line="242" w:lineRule="auto"/>
        <w:tabs>
          <w:tab w:leader="none" w:pos="1565"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 xml:space="preserve">Reportable Uses Require Consent. </w:t>
      </w:r>
      <w:r>
        <w:rPr>
          <w:rFonts w:ascii="Arial" w:cs="Arial" w:eastAsia="Arial" w:hAnsi="Arial"/>
          <w:sz w:val="18"/>
          <w:szCs w:val="18"/>
          <w:color w:val="auto"/>
        </w:rPr>
        <w:t>The term</w:t>
      </w:r>
      <w:r>
        <w:rPr>
          <w:rFonts w:ascii="Arial" w:cs="Arial" w:eastAsia="Arial" w:hAnsi="Arial"/>
          <w:sz w:val="18"/>
          <w:szCs w:val="18"/>
          <w:b w:val="1"/>
          <w:bCs w:val="1"/>
          <w:color w:val="auto"/>
        </w:rPr>
        <w:t xml:space="preserve"> “Hazardous Substance” </w:t>
      </w:r>
      <w:r>
        <w:rPr>
          <w:rFonts w:ascii="Arial" w:cs="Arial" w:eastAsia="Arial" w:hAnsi="Arial"/>
          <w:sz w:val="18"/>
          <w:szCs w:val="18"/>
          <w:color w:val="auto"/>
        </w:rPr>
        <w:t>as used in this Lease shall mean any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substance, or waste whose presence, use, manufacture, disposal, transportation, or release, either by itself or in combination with other materials expected to be on the Premises, is either: (i) potentially injurious to the public health, safety or welfare, the environment or the Premises, (ii) regulated or monitored by any governmental authority, or (iii) a basis for potential liability of Lessor to any governmental agency or third party under any applicable statute or common law theory. Hazardous Substances shall include, but not be limited to, hydrocarbons, petroleum, gasoline, and/or crude oil or any products, by-products or fractions thereof. Lessee shall not engage in any activity in or on the Premises which constitutes a Reportable Use of Hazardous Substances without the express prior written consent of Lessor and timely compliance (at Lessee’s expense) with all Applicable Requirements. </w:t>
      </w:r>
      <w:r>
        <w:rPr>
          <w:rFonts w:ascii="Arial" w:cs="Arial" w:eastAsia="Arial" w:hAnsi="Arial"/>
          <w:sz w:val="18"/>
          <w:szCs w:val="18"/>
          <w:b w:val="1"/>
          <w:bCs w:val="1"/>
          <w:color w:val="auto"/>
        </w:rPr>
        <w:t>“Reportable Use”</w:t>
      </w:r>
      <w:r>
        <w:rPr>
          <w:rFonts w:ascii="Arial" w:cs="Arial" w:eastAsia="Arial" w:hAnsi="Arial"/>
          <w:sz w:val="18"/>
          <w:szCs w:val="18"/>
          <w:color w:val="auto"/>
        </w:rPr>
        <w:t xml:space="preserve"> shall mean (i) the installation or use of any above or below ground storage tank, (ii) the generation, possession, storage, use, transportation, or disposal of a Hazardous Substance that requires a permit from, or with respect to which a report, notice, registration or business plan is required to be filed with, any governmental authority, and/or (iii) the presence at the Premises of a Hazardous Substance with respect to which any Applicable Requirements requires that a notice be given to persons entering or occupying the Premises or neighboring properties. Notwithstanding the foregoing, Lessee may use any ordinary and customary materials reasonably required to be used in the normal course of the Agreed Use, ordinary office supplies (copier toner, liquid paper, glue, etc.) and common household cleaning materials, so long as such use is in compliance with all Applicable Requirements, is not a Reportable Use, and does not expose the Premises or neighboring property to any meaningful risk of contamination or damage or expose Lessor to any liability therefor. In addition, Lessor may condition its consent to any Reportable Use upon receiving such additional assurances as Lessor reasonably deems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INITIALS</w:t>
            </w:r>
          </w:p>
        </w:tc>
        <w:tc>
          <w:tcPr>
            <w:tcW w:w="3960" w:type="dxa"/>
            <w:vAlign w:val="bottom"/>
          </w:tcPr>
          <w:p>
            <w:pPr>
              <w:ind w:left="1500"/>
              <w:spacing w:after="0"/>
              <w:rPr>
                <w:sz w:val="20"/>
                <w:szCs w:val="20"/>
                <w:color w:val="auto"/>
              </w:rPr>
            </w:pPr>
            <w:r>
              <w:rPr>
                <w:rFonts w:ascii="Arial" w:cs="Arial" w:eastAsia="Arial" w:hAnsi="Arial"/>
                <w:sz w:val="18"/>
                <w:szCs w:val="18"/>
                <w:color w:val="auto"/>
              </w:rPr>
              <w:t>Page 5 of 28</w:t>
            </w:r>
          </w:p>
        </w:tc>
        <w:tc>
          <w:tcPr>
            <w:tcW w:w="3380" w:type="dxa"/>
            <w:vAlign w:val="bottom"/>
            <w:vMerge w:val="restart"/>
          </w:tcPr>
          <w:p>
            <w:pPr>
              <w:jc w:val="right"/>
              <w:spacing w:after="0"/>
              <w:rPr>
                <w:sz w:val="20"/>
                <w:szCs w:val="20"/>
                <w:color w:val="auto"/>
              </w:rPr>
            </w:pPr>
            <w:r>
              <w:rPr>
                <w:rFonts w:ascii="Arial" w:cs="Arial" w:eastAsia="Arial" w:hAnsi="Arial"/>
                <w:sz w:val="18"/>
                <w:szCs w:val="18"/>
                <w:color w:val="auto"/>
              </w:rPr>
              <w:t>INITIALS</w:t>
            </w:r>
          </w:p>
        </w:tc>
        <w:tc>
          <w:tcPr>
            <w:tcW w:w="0" w:type="dxa"/>
            <w:vAlign w:val="bottom"/>
          </w:tcPr>
          <w:p>
            <w:pPr>
              <w:spacing w:after="0"/>
              <w:rPr>
                <w:sz w:val="1"/>
                <w:szCs w:val="1"/>
                <w:color w:val="auto"/>
              </w:rPr>
            </w:pPr>
          </w:p>
        </w:tc>
      </w:tr>
      <w:tr>
        <w:trPr>
          <w:trHeight w:val="95"/>
        </w:trPr>
        <w:tc>
          <w:tcPr>
            <w:tcW w:w="3900" w:type="dxa"/>
            <w:vAlign w:val="bottom"/>
            <w:vMerge w:val="continue"/>
          </w:tcPr>
          <w:p>
            <w:pPr>
              <w:spacing w:after="0"/>
              <w:rPr>
                <w:sz w:val="8"/>
                <w:szCs w:val="8"/>
                <w:color w:val="auto"/>
              </w:rPr>
            </w:pPr>
          </w:p>
        </w:tc>
        <w:tc>
          <w:tcPr>
            <w:tcW w:w="3960" w:type="dxa"/>
            <w:vAlign w:val="bottom"/>
            <w:vMerge w:val="restart"/>
          </w:tcPr>
          <w:p>
            <w:pPr>
              <w:ind w:left="780"/>
              <w:spacing w:after="0"/>
              <w:rPr>
                <w:sz w:val="20"/>
                <w:szCs w:val="20"/>
                <w:color w:val="auto"/>
              </w:rPr>
            </w:pPr>
            <w:r>
              <w:rPr>
                <w:rFonts w:ascii="Arial" w:cs="Arial" w:eastAsia="Arial" w:hAnsi="Arial"/>
                <w:sz w:val="18"/>
                <w:szCs w:val="18"/>
                <w:color w:val="auto"/>
              </w:rPr>
              <w:t>Last Edited 2/7/2018 1:59 PM</w:t>
            </w:r>
          </w:p>
        </w:tc>
        <w:tc>
          <w:tcPr>
            <w:tcW w:w="3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 2017 AIR CRE. All Rights Reserved.</w:t>
            </w:r>
          </w:p>
        </w:tc>
        <w:tc>
          <w:tcPr>
            <w:tcW w:w="3960" w:type="dxa"/>
            <w:vAlign w:val="bottom"/>
            <w:vMerge w:val="continue"/>
          </w:tcPr>
          <w:p>
            <w:pPr>
              <w:spacing w:after="0"/>
              <w:rPr>
                <w:sz w:val="12"/>
                <w:szCs w:val="12"/>
                <w:color w:val="auto"/>
              </w:rPr>
            </w:pPr>
          </w:p>
        </w:tc>
        <w:tc>
          <w:tcPr>
            <w:tcW w:w="3380" w:type="dxa"/>
            <w:vAlign w:val="bottom"/>
            <w:vMerge w:val="restart"/>
          </w:tcPr>
          <w:p>
            <w:pPr>
              <w:jc w:val="right"/>
              <w:spacing w:after="0"/>
              <w:rPr>
                <w:sz w:val="20"/>
                <w:szCs w:val="20"/>
                <w:color w:val="auto"/>
              </w:rPr>
            </w:pPr>
            <w:r>
              <w:rPr>
                <w:rFonts w:ascii="Arial" w:cs="Arial" w:eastAsia="Arial" w:hAnsi="Arial"/>
                <w:sz w:val="18"/>
                <w:szCs w:val="18"/>
                <w:color w:val="auto"/>
              </w:rPr>
              <w:t>STN-27.10, Revised 11-01-2017</w:t>
            </w:r>
          </w:p>
        </w:tc>
        <w:tc>
          <w:tcPr>
            <w:tcW w:w="0" w:type="dxa"/>
            <w:vAlign w:val="bottom"/>
          </w:tcPr>
          <w:p>
            <w:pPr>
              <w:spacing w:after="0"/>
              <w:rPr>
                <w:sz w:val="1"/>
                <w:szCs w:val="1"/>
                <w:color w:val="auto"/>
              </w:rPr>
            </w:pPr>
          </w:p>
        </w:tc>
      </w:tr>
      <w:tr>
        <w:trPr>
          <w:trHeight w:val="94"/>
        </w:trPr>
        <w:tc>
          <w:tcPr>
            <w:tcW w:w="3900" w:type="dxa"/>
            <w:vAlign w:val="bottom"/>
            <w:vMerge w:val="continue"/>
          </w:tcPr>
          <w:p>
            <w:pPr>
              <w:spacing w:after="0"/>
              <w:rPr>
                <w:sz w:val="8"/>
                <w:szCs w:val="8"/>
                <w:color w:val="auto"/>
              </w:rPr>
            </w:pPr>
          </w:p>
        </w:tc>
        <w:tc>
          <w:tcPr>
            <w:tcW w:w="3960" w:type="dxa"/>
            <w:vAlign w:val="bottom"/>
          </w:tcPr>
          <w:p>
            <w:pPr>
              <w:spacing w:after="0"/>
              <w:rPr>
                <w:sz w:val="8"/>
                <w:szCs w:val="8"/>
                <w:color w:val="auto"/>
              </w:rPr>
            </w:pPr>
          </w:p>
        </w:tc>
        <w:tc>
          <w:tcPr>
            <w:tcW w:w="3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3900" w:type="dxa"/>
            <w:vAlign w:val="bottom"/>
            <w:tcBorders>
              <w:bottom w:val="single" w:sz="8" w:color="9A9A9A"/>
            </w:tcBorders>
          </w:tcPr>
          <w:p>
            <w:pPr>
              <w:spacing w:after="0"/>
              <w:rPr>
                <w:sz w:val="13"/>
                <w:szCs w:val="13"/>
                <w:color w:val="auto"/>
              </w:rPr>
            </w:pPr>
          </w:p>
        </w:tc>
        <w:tc>
          <w:tcPr>
            <w:tcW w:w="3960" w:type="dxa"/>
            <w:vAlign w:val="bottom"/>
            <w:tcBorders>
              <w:bottom w:val="single" w:sz="8" w:color="9A9A9A"/>
            </w:tcBorders>
          </w:tcPr>
          <w:p>
            <w:pPr>
              <w:spacing w:after="0"/>
              <w:rPr>
                <w:sz w:val="13"/>
                <w:szCs w:val="13"/>
                <w:color w:val="auto"/>
              </w:rPr>
            </w:pPr>
          </w:p>
        </w:tc>
        <w:tc>
          <w:tcPr>
            <w:tcW w:w="33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4" w:name="page125"/>
    <w:bookmarkEnd w:id="124"/>
    <w:p>
      <w:pPr>
        <w:ind w:right="200"/>
        <w:spacing w:after="0" w:line="261" w:lineRule="auto"/>
        <w:rPr>
          <w:sz w:val="20"/>
          <w:szCs w:val="20"/>
          <w:color w:val="auto"/>
        </w:rPr>
      </w:pPr>
      <w:r>
        <w:rPr>
          <w:rFonts w:ascii="Arial" w:cs="Arial" w:eastAsia="Arial" w:hAnsi="Arial"/>
          <w:sz w:val="18"/>
          <w:szCs w:val="18"/>
          <w:color w:val="auto"/>
        </w:rPr>
        <w:t>necessary to protect itself, the public, the Premises and/or the environment against damage, contamination, injury and/or liability, including, but not limited to, the installation (and removal on or before Lease expiration or termination) of protective modifications (such as concrete encasements) and/or increasing the Security Deposit.</w:t>
      </w:r>
    </w:p>
    <w:p>
      <w:pPr>
        <w:spacing w:after="0" w:line="162" w:lineRule="exact"/>
        <w:rPr>
          <w:sz w:val="20"/>
          <w:szCs w:val="20"/>
          <w:color w:val="auto"/>
        </w:rPr>
      </w:pPr>
    </w:p>
    <w:p>
      <w:pPr>
        <w:ind w:right="20" w:firstLine="1154"/>
        <w:spacing w:after="0" w:line="252" w:lineRule="auto"/>
        <w:tabs>
          <w:tab w:leader="none" w:pos="1565"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 xml:space="preserve">Duty to Inform Lessor. </w:t>
      </w:r>
      <w:r>
        <w:rPr>
          <w:rFonts w:ascii="Arial" w:cs="Arial" w:eastAsia="Arial" w:hAnsi="Arial"/>
          <w:sz w:val="18"/>
          <w:szCs w:val="18"/>
          <w:color w:val="auto"/>
        </w:rPr>
        <w:t>If Lessee knows, or has reasonable cause to believe, that a Hazardous Substance has come to</w:t>
      </w:r>
      <w:r>
        <w:rPr>
          <w:rFonts w:ascii="Arial" w:cs="Arial" w:eastAsia="Arial" w:hAnsi="Arial"/>
          <w:sz w:val="18"/>
          <w:szCs w:val="18"/>
          <w:b w:val="1"/>
          <w:bCs w:val="1"/>
          <w:color w:val="auto"/>
        </w:rPr>
        <w:t xml:space="preserve"> </w:t>
      </w:r>
      <w:r>
        <w:rPr>
          <w:rFonts w:ascii="Arial" w:cs="Arial" w:eastAsia="Arial" w:hAnsi="Arial"/>
          <w:sz w:val="18"/>
          <w:szCs w:val="18"/>
          <w:color w:val="auto"/>
        </w:rPr>
        <w:t>be located in, on, under or about the Premises, other than as previously consented to by Lessor, Lessee shall immediately give written notice of such fact to Lessor, and provide Lessor with a copy of any report, notice, claim or other documentation which it has concerning the presence of such Hazardous Substance.</w:t>
      </w:r>
    </w:p>
    <w:p>
      <w:pPr>
        <w:spacing w:after="0" w:line="183" w:lineRule="exact"/>
        <w:rPr>
          <w:rFonts w:ascii="Arial" w:cs="Arial" w:eastAsia="Arial" w:hAnsi="Arial"/>
          <w:sz w:val="18"/>
          <w:szCs w:val="18"/>
          <w:color w:val="auto"/>
        </w:rPr>
      </w:pPr>
    </w:p>
    <w:p>
      <w:pPr>
        <w:ind w:right="40" w:firstLine="1154"/>
        <w:spacing w:after="0" w:line="245" w:lineRule="auto"/>
        <w:tabs>
          <w:tab w:leader="none" w:pos="1555"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 xml:space="preserve">Lessee Remediation. </w:t>
      </w:r>
      <w:r>
        <w:rPr>
          <w:rFonts w:ascii="Arial" w:cs="Arial" w:eastAsia="Arial" w:hAnsi="Arial"/>
          <w:sz w:val="18"/>
          <w:szCs w:val="18"/>
          <w:color w:val="auto"/>
        </w:rPr>
        <w:t>Lessee shall not cause or permit any Hazardous Substance to be spilled or released in, on, under,</w:t>
      </w:r>
      <w:r>
        <w:rPr>
          <w:rFonts w:ascii="Arial" w:cs="Arial" w:eastAsia="Arial" w:hAnsi="Arial"/>
          <w:sz w:val="18"/>
          <w:szCs w:val="18"/>
          <w:b w:val="1"/>
          <w:bCs w:val="1"/>
          <w:color w:val="auto"/>
        </w:rPr>
        <w:t xml:space="preserve"> </w:t>
      </w:r>
      <w:r>
        <w:rPr>
          <w:rFonts w:ascii="Arial" w:cs="Arial" w:eastAsia="Arial" w:hAnsi="Arial"/>
          <w:sz w:val="18"/>
          <w:szCs w:val="18"/>
          <w:color w:val="auto"/>
        </w:rPr>
        <w:t>or about the Premises (including through the plumbing or sanitary sewer system) and shall promptly, at Lessee’s expense, comply with all Applicable Requirements and take all investigatory and/or remedial action reasonably recommended, whether or not formally ordered or required, for the cleanup of any contamination of, and for the maintenance, security and/or monitoring of the Premises or neighboring properties, that was caused or materially contributed to by Lessee, or pertaining to or involving any Hazardous Substance brought onto the Premises during the term of this Lease, by or for Lessee, or any third party.</w:t>
      </w:r>
    </w:p>
    <w:p>
      <w:pPr>
        <w:spacing w:after="0" w:line="176" w:lineRule="exact"/>
        <w:rPr>
          <w:rFonts w:ascii="Arial" w:cs="Arial" w:eastAsia="Arial" w:hAnsi="Arial"/>
          <w:sz w:val="18"/>
          <w:szCs w:val="18"/>
          <w:color w:val="auto"/>
        </w:rPr>
      </w:pPr>
    </w:p>
    <w:p>
      <w:pPr>
        <w:ind w:right="20" w:firstLine="1161"/>
        <w:spacing w:after="0" w:line="262" w:lineRule="auto"/>
        <w:tabs>
          <w:tab w:leader="none" w:pos="1573" w:val="left"/>
        </w:tabs>
        <w:numPr>
          <w:ilvl w:val="0"/>
          <w:numId w:val="101"/>
        </w:numPr>
        <w:rPr>
          <w:rFonts w:ascii="Arial" w:cs="Arial" w:eastAsia="Arial" w:hAnsi="Arial"/>
          <w:sz w:val="17"/>
          <w:szCs w:val="17"/>
          <w:color w:val="auto"/>
        </w:rPr>
      </w:pPr>
      <w:r>
        <w:rPr>
          <w:rFonts w:ascii="Arial" w:cs="Arial" w:eastAsia="Arial" w:hAnsi="Arial"/>
          <w:sz w:val="17"/>
          <w:szCs w:val="17"/>
          <w:b w:val="1"/>
          <w:bCs w:val="1"/>
          <w:color w:val="auto"/>
        </w:rPr>
        <w:t xml:space="preserve">Lessee Indemnification. </w:t>
      </w:r>
      <w:r>
        <w:rPr>
          <w:rFonts w:ascii="Arial" w:cs="Arial" w:eastAsia="Arial" w:hAnsi="Arial"/>
          <w:sz w:val="17"/>
          <w:szCs w:val="17"/>
          <w:color w:val="auto"/>
        </w:rPr>
        <w:t>Lessee shall indemnify, defend and hold Lessor, its agents, employees, lenders and ground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lessor, if any, harmless from and against any and all loss of rents and/or damages, liabilities judgments, claims, expenses, penalties, and attorneys’ and consultants’ fees arising out of or involving any Hazardous Substance brought onto the Premises by or for Lessee, or any third party (provided, however, that Lessee shall have no liability under this Lease with respect to underground migration of any Hazardous Substance under the Premises from adjacent properties not caused or contributed to by Lessee). Lessee’s obligations shall include, but not be limited to, the effects of any contamination or injury to person, property or the environment created or suffered by Lessee, and the cost of investigation, removal, remediation, restoration and/or abatement, and shall survive the expiration or termination of this Lease. </w:t>
      </w:r>
      <w:r>
        <w:rPr>
          <w:rFonts w:ascii="Arial" w:cs="Arial" w:eastAsia="Arial" w:hAnsi="Arial"/>
          <w:sz w:val="17"/>
          <w:szCs w:val="17"/>
          <w:b w:val="1"/>
          <w:bCs w:val="1"/>
          <w:color w:val="auto"/>
        </w:rPr>
        <w:t>No</w:t>
      </w:r>
      <w:r>
        <w:rPr>
          <w:rFonts w:ascii="Arial" w:cs="Arial" w:eastAsia="Arial" w:hAnsi="Arial"/>
          <w:sz w:val="17"/>
          <w:szCs w:val="17"/>
          <w:color w:val="auto"/>
        </w:rPr>
        <w:t xml:space="preserve"> </w:t>
      </w:r>
      <w:r>
        <w:rPr>
          <w:rFonts w:ascii="Arial" w:cs="Arial" w:eastAsia="Arial" w:hAnsi="Arial"/>
          <w:sz w:val="17"/>
          <w:szCs w:val="17"/>
          <w:b w:val="1"/>
          <w:bCs w:val="1"/>
          <w:color w:val="auto"/>
        </w:rPr>
        <w:t>termination, cancellation or release agreement entered into by Lessor and Lessee shall release Lessee from its obligations under this Lease with respect to Hazardous Substances, unless specifically so agreed by Lessor in writing at the time of such agreement.</w:t>
      </w:r>
    </w:p>
    <w:p>
      <w:pPr>
        <w:spacing w:after="0" w:line="158" w:lineRule="exact"/>
        <w:rPr>
          <w:rFonts w:ascii="Arial" w:cs="Arial" w:eastAsia="Arial" w:hAnsi="Arial"/>
          <w:sz w:val="17"/>
          <w:szCs w:val="17"/>
          <w:color w:val="auto"/>
        </w:rPr>
      </w:pPr>
    </w:p>
    <w:p>
      <w:pPr>
        <w:ind w:right="200" w:firstLine="1154"/>
        <w:spacing w:after="0" w:line="248" w:lineRule="auto"/>
        <w:tabs>
          <w:tab w:leader="none" w:pos="1565"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 xml:space="preserve">Lessor Indemnification. </w:t>
      </w:r>
      <w:r>
        <w:rPr>
          <w:rFonts w:ascii="Arial" w:cs="Arial" w:eastAsia="Arial" w:hAnsi="Arial"/>
          <w:sz w:val="18"/>
          <w:szCs w:val="18"/>
          <w:color w:val="auto"/>
        </w:rPr>
        <w:t>Except as otherwise provided in paragraph 8.7, Lessor and its successors and assigns shall</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indemnify, defend, reimburse and hold Lessee, its employees and lenders, harmless from and against any and all environmental damages, including the cost of remediation, which result from Hazardous Substances which existed on the Premises prior to Lessee’s occupancy or which are caused by the gross negligence or willful misconduct of Lessor, its agents or employees. Lessor’s obligations, as and when required by the Applicable Requirements, shall include, but not be limited to, the cost of investigation, removal, remediation, restoration and/or abatement, and shall survive the expiration or termination of this Lease.</w:t>
      </w:r>
    </w:p>
    <w:p>
      <w:pPr>
        <w:spacing w:after="0" w:line="174" w:lineRule="exact"/>
        <w:rPr>
          <w:rFonts w:ascii="Arial" w:cs="Arial" w:eastAsia="Arial" w:hAnsi="Arial"/>
          <w:sz w:val="18"/>
          <w:szCs w:val="18"/>
          <w:color w:val="auto"/>
        </w:rPr>
      </w:pPr>
    </w:p>
    <w:p>
      <w:pPr>
        <w:ind w:right="60" w:firstLine="1154"/>
        <w:spacing w:after="0" w:line="248" w:lineRule="auto"/>
        <w:tabs>
          <w:tab w:leader="none" w:pos="1515"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 xml:space="preserve">Investigations and Remediations. </w:t>
      </w:r>
      <w:r>
        <w:rPr>
          <w:rFonts w:ascii="Arial" w:cs="Arial" w:eastAsia="Arial" w:hAnsi="Arial"/>
          <w:sz w:val="18"/>
          <w:szCs w:val="18"/>
          <w:color w:val="auto"/>
        </w:rPr>
        <w:t>Lessor shall retain the responsibility and pay for any investigations or remediation</w:t>
      </w:r>
      <w:r>
        <w:rPr>
          <w:rFonts w:ascii="Arial" w:cs="Arial" w:eastAsia="Arial" w:hAnsi="Arial"/>
          <w:sz w:val="18"/>
          <w:szCs w:val="18"/>
          <w:b w:val="1"/>
          <w:bCs w:val="1"/>
          <w:color w:val="auto"/>
        </w:rPr>
        <w:t xml:space="preserve"> </w:t>
      </w:r>
      <w:r>
        <w:rPr>
          <w:rFonts w:ascii="Arial" w:cs="Arial" w:eastAsia="Arial" w:hAnsi="Arial"/>
          <w:sz w:val="18"/>
          <w:szCs w:val="18"/>
          <w:color w:val="auto"/>
        </w:rPr>
        <w:t>measures required by governmental entities having jurisdiction with respect to the existence of Hazardous Substances on the Premises prior to Lessee’s occupancy, unless such remediation measure is required as a result of Lessee’s use (including “Alterations”, as defined in paragraph 7.3(a) below) of the Premises, in which event Lessee shall be responsible for such payment. Lessee shall cooperate fully in any such activities at the request of Lessor, including allowing Lessor and Lessor’s agents to have reasonable access to the Premises at reasonable times in order to carry out Lessor’s investigative and remedial responsibilities.</w:t>
      </w:r>
    </w:p>
    <w:p>
      <w:pPr>
        <w:spacing w:after="0" w:line="174" w:lineRule="exact"/>
        <w:rPr>
          <w:rFonts w:ascii="Arial" w:cs="Arial" w:eastAsia="Arial" w:hAnsi="Arial"/>
          <w:sz w:val="18"/>
          <w:szCs w:val="18"/>
          <w:color w:val="auto"/>
        </w:rPr>
      </w:pPr>
    </w:p>
    <w:p>
      <w:pPr>
        <w:ind w:right="100" w:firstLine="1154"/>
        <w:spacing w:after="0" w:line="244" w:lineRule="auto"/>
        <w:tabs>
          <w:tab w:leader="none" w:pos="1565"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 xml:space="preserve">Lessor Termination Option. </w:t>
      </w:r>
      <w:r>
        <w:rPr>
          <w:rFonts w:ascii="Arial" w:cs="Arial" w:eastAsia="Arial" w:hAnsi="Arial"/>
          <w:sz w:val="18"/>
          <w:szCs w:val="18"/>
          <w:color w:val="auto"/>
        </w:rPr>
        <w:t>If a Hazardous Substance Condition (see Paragraph 9.1(e)) occurs during the term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Lease, unless Lessee is legally responsible therefor (in which case Lessee shall make the investigation and remediation thereof required by the Applicable Requirements and this Lease shall continue in full force and effect, but subject to Lessor’s rights under Paragraph 6.2(d) and Paragraph 13). Lessor may, at Lessor’s option, either (i) investigate and remediate such Hazardous Substance Condition, if required, as soon as reasonably possible at Lessor’s expense, in which event this Lease shall continue in full force and effect, or (ii) if the estimated cost to remediate such condition exceeds 12 times the then monthly Base Rent </w:t>
      </w:r>
      <w:r>
        <w:rPr>
          <w:rFonts w:ascii="Arial" w:cs="Arial" w:eastAsia="Arial" w:hAnsi="Arial"/>
          <w:sz w:val="18"/>
          <w:szCs w:val="18"/>
          <w:color w:val="auto"/>
          <w:strike w:val="1"/>
        </w:rPr>
        <w:t>g</w:t>
      </w:r>
      <w:r>
        <w:rPr>
          <w:rFonts w:ascii="Arial" w:cs="Arial" w:eastAsia="Arial" w:hAnsi="Arial"/>
          <w:sz w:val="18"/>
          <w:szCs w:val="18"/>
          <w:color w:val="auto"/>
        </w:rPr>
        <w:t>ive written notice to Lessee, within 30 days after receipt by Lessor of knowledge of the occurrence of such Hazardous Substance Condition, of Lessor’s desire to terminate this Lease as of the date 60 days following the date of such notice. In the event Lessor elects to give a termination notice, Lessee may, within 10 days thereafter, give written notice to Lessor of Lessee’s commitment to pay the difference of the additional amount by which the cost of the remediation of such Hazardous Substance Condition exceeds an amount equal to 12 times the then</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INITIALS</w:t>
            </w:r>
          </w:p>
        </w:tc>
        <w:tc>
          <w:tcPr>
            <w:tcW w:w="3960" w:type="dxa"/>
            <w:vAlign w:val="bottom"/>
          </w:tcPr>
          <w:p>
            <w:pPr>
              <w:ind w:left="1500"/>
              <w:spacing w:after="0"/>
              <w:rPr>
                <w:sz w:val="20"/>
                <w:szCs w:val="20"/>
                <w:color w:val="auto"/>
              </w:rPr>
            </w:pPr>
            <w:r>
              <w:rPr>
                <w:rFonts w:ascii="Arial" w:cs="Arial" w:eastAsia="Arial" w:hAnsi="Arial"/>
                <w:sz w:val="18"/>
                <w:szCs w:val="18"/>
                <w:color w:val="auto"/>
              </w:rPr>
              <w:t>Page 6 of 28</w:t>
            </w:r>
          </w:p>
        </w:tc>
        <w:tc>
          <w:tcPr>
            <w:tcW w:w="3380" w:type="dxa"/>
            <w:vAlign w:val="bottom"/>
            <w:vMerge w:val="restart"/>
          </w:tcPr>
          <w:p>
            <w:pPr>
              <w:jc w:val="right"/>
              <w:spacing w:after="0"/>
              <w:rPr>
                <w:sz w:val="20"/>
                <w:szCs w:val="20"/>
                <w:color w:val="auto"/>
              </w:rPr>
            </w:pPr>
            <w:r>
              <w:rPr>
                <w:rFonts w:ascii="Arial" w:cs="Arial" w:eastAsia="Arial" w:hAnsi="Arial"/>
                <w:sz w:val="18"/>
                <w:szCs w:val="18"/>
                <w:color w:val="auto"/>
              </w:rPr>
              <w:t>INITIALS</w:t>
            </w:r>
          </w:p>
        </w:tc>
        <w:tc>
          <w:tcPr>
            <w:tcW w:w="0" w:type="dxa"/>
            <w:vAlign w:val="bottom"/>
          </w:tcPr>
          <w:p>
            <w:pPr>
              <w:spacing w:after="0"/>
              <w:rPr>
                <w:sz w:val="1"/>
                <w:szCs w:val="1"/>
                <w:color w:val="auto"/>
              </w:rPr>
            </w:pPr>
          </w:p>
        </w:tc>
      </w:tr>
      <w:tr>
        <w:trPr>
          <w:trHeight w:val="95"/>
        </w:trPr>
        <w:tc>
          <w:tcPr>
            <w:tcW w:w="3900" w:type="dxa"/>
            <w:vAlign w:val="bottom"/>
            <w:vMerge w:val="continue"/>
          </w:tcPr>
          <w:p>
            <w:pPr>
              <w:spacing w:after="0"/>
              <w:rPr>
                <w:sz w:val="8"/>
                <w:szCs w:val="8"/>
                <w:color w:val="auto"/>
              </w:rPr>
            </w:pPr>
          </w:p>
        </w:tc>
        <w:tc>
          <w:tcPr>
            <w:tcW w:w="3960" w:type="dxa"/>
            <w:vAlign w:val="bottom"/>
            <w:vMerge w:val="restart"/>
          </w:tcPr>
          <w:p>
            <w:pPr>
              <w:ind w:left="780"/>
              <w:spacing w:after="0"/>
              <w:rPr>
                <w:sz w:val="20"/>
                <w:szCs w:val="20"/>
                <w:color w:val="auto"/>
              </w:rPr>
            </w:pPr>
            <w:r>
              <w:rPr>
                <w:rFonts w:ascii="Arial" w:cs="Arial" w:eastAsia="Arial" w:hAnsi="Arial"/>
                <w:sz w:val="18"/>
                <w:szCs w:val="18"/>
                <w:color w:val="auto"/>
              </w:rPr>
              <w:t>Last Edited 2/7/2018 1:59 PM</w:t>
            </w:r>
          </w:p>
        </w:tc>
        <w:tc>
          <w:tcPr>
            <w:tcW w:w="3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 2017 AIR CRE. All Rights Reserved.</w:t>
            </w:r>
          </w:p>
        </w:tc>
        <w:tc>
          <w:tcPr>
            <w:tcW w:w="3960" w:type="dxa"/>
            <w:vAlign w:val="bottom"/>
            <w:vMerge w:val="continue"/>
          </w:tcPr>
          <w:p>
            <w:pPr>
              <w:spacing w:after="0"/>
              <w:rPr>
                <w:sz w:val="12"/>
                <w:szCs w:val="12"/>
                <w:color w:val="auto"/>
              </w:rPr>
            </w:pPr>
          </w:p>
        </w:tc>
        <w:tc>
          <w:tcPr>
            <w:tcW w:w="3380" w:type="dxa"/>
            <w:vAlign w:val="bottom"/>
            <w:vMerge w:val="restart"/>
          </w:tcPr>
          <w:p>
            <w:pPr>
              <w:jc w:val="right"/>
              <w:spacing w:after="0"/>
              <w:rPr>
                <w:sz w:val="20"/>
                <w:szCs w:val="20"/>
                <w:color w:val="auto"/>
              </w:rPr>
            </w:pPr>
            <w:r>
              <w:rPr>
                <w:rFonts w:ascii="Arial" w:cs="Arial" w:eastAsia="Arial" w:hAnsi="Arial"/>
                <w:sz w:val="18"/>
                <w:szCs w:val="18"/>
                <w:color w:val="auto"/>
              </w:rPr>
              <w:t>STN-27.10, Revised 11-01-2017</w:t>
            </w:r>
          </w:p>
        </w:tc>
        <w:tc>
          <w:tcPr>
            <w:tcW w:w="0" w:type="dxa"/>
            <w:vAlign w:val="bottom"/>
          </w:tcPr>
          <w:p>
            <w:pPr>
              <w:spacing w:after="0"/>
              <w:rPr>
                <w:sz w:val="1"/>
                <w:szCs w:val="1"/>
                <w:color w:val="auto"/>
              </w:rPr>
            </w:pPr>
          </w:p>
        </w:tc>
      </w:tr>
      <w:tr>
        <w:trPr>
          <w:trHeight w:val="95"/>
        </w:trPr>
        <w:tc>
          <w:tcPr>
            <w:tcW w:w="3900" w:type="dxa"/>
            <w:vAlign w:val="bottom"/>
            <w:vMerge w:val="continue"/>
          </w:tcPr>
          <w:p>
            <w:pPr>
              <w:spacing w:after="0"/>
              <w:rPr>
                <w:sz w:val="8"/>
                <w:szCs w:val="8"/>
                <w:color w:val="auto"/>
              </w:rPr>
            </w:pPr>
          </w:p>
        </w:tc>
        <w:tc>
          <w:tcPr>
            <w:tcW w:w="3960" w:type="dxa"/>
            <w:vAlign w:val="bottom"/>
          </w:tcPr>
          <w:p>
            <w:pPr>
              <w:spacing w:after="0"/>
              <w:rPr>
                <w:sz w:val="8"/>
                <w:szCs w:val="8"/>
                <w:color w:val="auto"/>
              </w:rPr>
            </w:pPr>
          </w:p>
        </w:tc>
        <w:tc>
          <w:tcPr>
            <w:tcW w:w="3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3900" w:type="dxa"/>
            <w:vAlign w:val="bottom"/>
            <w:tcBorders>
              <w:bottom w:val="single" w:sz="8" w:color="9A9A9A"/>
            </w:tcBorders>
          </w:tcPr>
          <w:p>
            <w:pPr>
              <w:spacing w:after="0"/>
              <w:rPr>
                <w:sz w:val="13"/>
                <w:szCs w:val="13"/>
                <w:color w:val="auto"/>
              </w:rPr>
            </w:pPr>
          </w:p>
        </w:tc>
        <w:tc>
          <w:tcPr>
            <w:tcW w:w="3960" w:type="dxa"/>
            <w:vAlign w:val="bottom"/>
            <w:tcBorders>
              <w:bottom w:val="single" w:sz="8" w:color="9A9A9A"/>
            </w:tcBorders>
          </w:tcPr>
          <w:p>
            <w:pPr>
              <w:spacing w:after="0"/>
              <w:rPr>
                <w:sz w:val="13"/>
                <w:szCs w:val="13"/>
                <w:color w:val="auto"/>
              </w:rPr>
            </w:pPr>
          </w:p>
        </w:tc>
        <w:tc>
          <w:tcPr>
            <w:tcW w:w="33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25" w:name="page126"/>
    <w:bookmarkEnd w:id="125"/>
    <w:p>
      <w:pPr>
        <w:ind w:right="40"/>
        <w:spacing w:after="0" w:line="252" w:lineRule="auto"/>
        <w:rPr>
          <w:sz w:val="20"/>
          <w:szCs w:val="20"/>
          <w:color w:val="auto"/>
        </w:rPr>
      </w:pPr>
      <w:r>
        <w:rPr>
          <w:rFonts w:ascii="Arial" w:cs="Arial" w:eastAsia="Arial" w:hAnsi="Arial"/>
          <w:sz w:val="18"/>
          <w:szCs w:val="18"/>
          <w:color w:val="auto"/>
        </w:rPr>
        <w:t>monthly Base Rent</w:t>
      </w:r>
      <w:r>
        <w:rPr>
          <w:rFonts w:ascii="Arial" w:cs="Arial" w:eastAsia="Arial" w:hAnsi="Arial"/>
          <w:sz w:val="18"/>
          <w:szCs w:val="18"/>
          <w:b w:val="1"/>
          <w:bCs w:val="1"/>
          <w:color w:val="auto"/>
        </w:rPr>
        <w:t>,</w:t>
      </w:r>
      <w:r>
        <w:rPr>
          <w:rFonts w:ascii="Arial" w:cs="Arial" w:eastAsia="Arial" w:hAnsi="Arial"/>
          <w:sz w:val="18"/>
          <w:szCs w:val="18"/>
          <w:color w:val="auto"/>
        </w:rPr>
        <w:t xml:space="preserve"> Lessee shall provide Lessor with said funds or satisfactory assurance thereof within 30 days following such commitment. In such event, this Lease shall continue in full force and effect, and Lessor shall proceed to make such remediation as soon as reasonably possible after the required funds are available. If Lessee does not give such notice and provide the required funds or assurance thereof within the time provided, this Lease shall terminate as of the date specified in Lessor’s notice of termination.</w:t>
      </w:r>
    </w:p>
    <w:p>
      <w:pPr>
        <w:spacing w:after="0" w:line="76"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color w:val="auto"/>
        </w:rPr>
        <w:t>Lessee’s Compliance with Applicable Requirements.</w:t>
      </w:r>
      <w:r>
        <w:rPr>
          <w:rFonts w:ascii="Arial" w:cs="Arial" w:eastAsia="Arial" w:hAnsi="Arial"/>
          <w:sz w:val="18"/>
          <w:szCs w:val="18"/>
          <w:color w:val="auto"/>
        </w:rPr>
        <w:t xml:space="preserve"> Except as otherwise provided in this Lease, Lessee shall, at Lessee’s sole expense, fully, diligently and in a timely manner, materially comply with all Applicable Requirements, the requirements of any applicable fire insurance underwriter or rating bureau, and the recommendations of Lessor’s engineers and/or consultants which relate in any manner to the Premises, without regard to whether said Applicable Requirements are now in effect or become effective after the Start Date. Lessee shall, within 10 days after receipt of Lessor’s written request, provide Lessor with copies of all permits and other documents, and other information evidencing Lessee’s compliance with any Applicable Requirements specified by Lessor, and shall immediately upon receipt, notify Lessor in writing (with copies of any documents involved) of any threatened or actual claim, notice, citation, warning, complaint or report pertaining to or involving the failure of Lessee or the Premises to comply with any Applicable Requirements. Likewise, Lessee shall, within two (2) days after discovery, give written notice to Lessor of: (i) any water damage to the Premises and any suspected seepage, pooling, dampness or other condition conducive to the production of mold; or (ii) any mustiness or other odors that might indicate the presence of mold in the Premises. In addition, Lessee shall provide copies of all relevant material safety data sheets </w:t>
      </w:r>
      <w:r>
        <w:rPr>
          <w:rFonts w:ascii="Arial" w:cs="Arial" w:eastAsia="Arial" w:hAnsi="Arial"/>
          <w:sz w:val="18"/>
          <w:szCs w:val="18"/>
          <w:b w:val="1"/>
          <w:bCs w:val="1"/>
          <w:color w:val="auto"/>
        </w:rPr>
        <w:t>(MSDS)</w:t>
      </w:r>
      <w:r>
        <w:rPr>
          <w:rFonts w:ascii="Arial" w:cs="Arial" w:eastAsia="Arial" w:hAnsi="Arial"/>
          <w:sz w:val="18"/>
          <w:szCs w:val="18"/>
          <w:color w:val="auto"/>
        </w:rPr>
        <w:t xml:space="preserve"> to Lessor within 10 days of the receipt of a written request therefor. In addition, Lessee shall provide Lessor with copies of its business license, certificate of occupancy and/or any similar document within 10 days of the receipt of a written request therefor.</w:t>
      </w:r>
    </w:p>
    <w:p>
      <w:pPr>
        <w:spacing w:after="0" w:line="200"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b w:val="1"/>
          <w:bCs w:val="1"/>
          <w:color w:val="auto"/>
        </w:rPr>
        <w:t>Inspection; Compliance.</w:t>
      </w:r>
      <w:r>
        <w:rPr>
          <w:rFonts w:ascii="Arial" w:cs="Arial" w:eastAsia="Arial" w:hAnsi="Arial"/>
          <w:sz w:val="18"/>
          <w:szCs w:val="18"/>
          <w:color w:val="auto"/>
        </w:rPr>
        <w:t xml:space="preserve"> Lessor and Lessor’s </w:t>
      </w:r>
      <w:r>
        <w:rPr>
          <w:rFonts w:ascii="Arial" w:cs="Arial" w:eastAsia="Arial" w:hAnsi="Arial"/>
          <w:sz w:val="18"/>
          <w:szCs w:val="18"/>
          <w:b w:val="1"/>
          <w:bCs w:val="1"/>
          <w:color w:val="auto"/>
        </w:rPr>
        <w:t>“Lender”</w:t>
      </w:r>
      <w:r>
        <w:rPr>
          <w:rFonts w:ascii="Arial" w:cs="Arial" w:eastAsia="Arial" w:hAnsi="Arial"/>
          <w:sz w:val="18"/>
          <w:szCs w:val="18"/>
          <w:color w:val="auto"/>
        </w:rPr>
        <w:t xml:space="preserve"> (as defined in Paragraph 30) and consultants authorized by Lessor shall have the right to enter into Premises at anytime, in the case of an emergency, and otherwise at reasonable times after reasonable notice, for the purpose of inspecting and/or testing the condition of the Premises and/or for verifying compliance by Lessee with this Lease. The cost of any such inspections shall be paid by Lessor, unless a violation of Applicable Requirements, or a Hazardous Substance Condition (see paragraph 9.1) is found to exist or be imminent, or the inspection is requested or ordered by a governmental authority. In such case, Lessee shall upon request reimburse Lessor for the cost of such inspection, so long as such inspection is reasonably related to the violation or contamination. In addition, Lessee shall provide copies of all relevant material safety data sheets (</w:t>
      </w:r>
      <w:r>
        <w:rPr>
          <w:rFonts w:ascii="Arial" w:cs="Arial" w:eastAsia="Arial" w:hAnsi="Arial"/>
          <w:sz w:val="18"/>
          <w:szCs w:val="18"/>
          <w:b w:val="1"/>
          <w:bCs w:val="1"/>
          <w:color w:val="auto"/>
        </w:rPr>
        <w:t>MSDS</w:t>
      </w:r>
      <w:r>
        <w:rPr>
          <w:rFonts w:ascii="Arial" w:cs="Arial" w:eastAsia="Arial" w:hAnsi="Arial"/>
          <w:sz w:val="18"/>
          <w:szCs w:val="18"/>
          <w:color w:val="auto"/>
        </w:rPr>
        <w:t>) to Lessor within 10 days of the receipt of a written request therefor. Lessee acknowledges that any failure on its part to allow such inspections or testing will expose Lessor to risks and potentially cause Lessor to incur costs not contemplated by this Lease, the extent of which will be extremely difficult to ascertain. Accordingly, should the Lessee fail to allow such inspections and/or testing in a timely fashion the Base Rent shall be automatically increased, without any requirement for notice to Lessee, by an amount equal to 10% of the then existing Base Rent or $100, whichever is greater for the remainder to the Lease. The Parties agree that such increase in Base Rent represents fair and reasonable compensation for the additional risk/costs that Lessor will incur by reason of Lessee’s failure to allow such inspection and/or testing. Such increase in Base Rent shall in no event constitute a waiver of Lessee’s Default or Breach with respect to such failure nor prevent the exercise of any of the other rights and remedies granted hereunder.</w:t>
      </w:r>
    </w:p>
    <w:p>
      <w:pPr>
        <w:spacing w:after="0" w:line="298" w:lineRule="exact"/>
        <w:rPr>
          <w:sz w:val="20"/>
          <w:szCs w:val="20"/>
          <w:color w:val="auto"/>
        </w:rPr>
      </w:pPr>
    </w:p>
    <w:p>
      <w:pPr>
        <w:ind w:left="520" w:right="4560" w:hanging="512"/>
        <w:spacing w:after="0" w:line="367" w:lineRule="auto"/>
        <w:tabs>
          <w:tab w:leader="none" w:pos="361"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Maintenance; Repairs; Utility Installations; Trade Fixtures and Alterations. </w:t>
      </w:r>
      <w:r>
        <w:rPr>
          <w:rFonts w:ascii="Arial" w:cs="Arial" w:eastAsia="Arial" w:hAnsi="Arial"/>
          <w:sz w:val="18"/>
          <w:szCs w:val="18"/>
          <w:color w:val="auto"/>
        </w:rPr>
        <w:t xml:space="preserve">7.1 </w:t>
      </w:r>
      <w:r>
        <w:rPr>
          <w:rFonts w:ascii="Arial" w:cs="Arial" w:eastAsia="Arial" w:hAnsi="Arial"/>
          <w:sz w:val="18"/>
          <w:szCs w:val="18"/>
          <w:b w:val="1"/>
          <w:bCs w:val="1"/>
          <w:color w:val="auto"/>
        </w:rPr>
        <w:t>Lessee’s Obligations.</w:t>
      </w:r>
    </w:p>
    <w:p>
      <w:pPr>
        <w:spacing w:after="0" w:line="1" w:lineRule="exact"/>
        <w:rPr>
          <w:rFonts w:ascii="Arial" w:cs="Arial" w:eastAsia="Arial" w:hAnsi="Arial"/>
          <w:sz w:val="18"/>
          <w:szCs w:val="18"/>
          <w:b w:val="1"/>
          <w:bCs w:val="1"/>
          <w:color w:val="auto"/>
        </w:rPr>
      </w:pPr>
    </w:p>
    <w:p>
      <w:pPr>
        <w:ind w:right="100" w:firstLine="1154"/>
        <w:spacing w:after="0" w:line="242" w:lineRule="auto"/>
        <w:tabs>
          <w:tab w:leader="none" w:pos="1565" w:val="left"/>
        </w:tabs>
        <w:numPr>
          <w:ilvl w:val="1"/>
          <w:numId w:val="102"/>
        </w:numPr>
        <w:rPr>
          <w:rFonts w:ascii="Arial" w:cs="Arial" w:eastAsia="Arial" w:hAnsi="Arial"/>
          <w:sz w:val="18"/>
          <w:szCs w:val="18"/>
          <w:color w:val="auto"/>
        </w:rPr>
      </w:pPr>
      <w:r>
        <w:rPr>
          <w:rFonts w:ascii="Arial" w:cs="Arial" w:eastAsia="Arial" w:hAnsi="Arial"/>
          <w:sz w:val="18"/>
          <w:szCs w:val="18"/>
          <w:b w:val="1"/>
          <w:bCs w:val="1"/>
          <w:color w:val="auto"/>
        </w:rPr>
        <w:t xml:space="preserve">In General. </w:t>
      </w:r>
      <w:r>
        <w:rPr>
          <w:rFonts w:ascii="Arial" w:cs="Arial" w:eastAsia="Arial" w:hAnsi="Arial"/>
          <w:sz w:val="18"/>
          <w:szCs w:val="18"/>
          <w:color w:val="auto"/>
        </w:rPr>
        <w:t>Subject to the provisions of Paragraph 2.2 (Condition), 2.3 (Compliance), 6.3 (Lessee’s Compliance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Requirements), 7.2 (Lessor’s Obligations), 9 (Damage or Destruction), and 14 (Condemnation), Lessee shall, at Lessee’s sole expense, keep the Premises, Utility Installations (intended for Lessee’s exclusive use, no matter where located), and Alterations in good order, condition and repair (whether or not the portion of the Premises requiring repairs, or the means of repairing the same, are reasonably or readily accessible to Lessee, and whether or not the need for such repairs occurs as a result of Lessee’s use, any prior use, the elements or the age of such portion of the Premises), including, but not limited to, all equipment or facilities, such as plumbing, HVAC equipment, electrical, lighting facilities, boilers, pressure vessels, fire protection system, fixtures, walls (interior and exterior), foundations, ceilings, roofs, roof drainage systems, floors, windows, doors, plate glass, skylights, landscaping, driveways, parking lots, fences, retaining walls, signs, sidewalks and parkways located in, on, or adjacent to the Premises. Lessee, in keeping the Premises in good order, condition and repair, shall exercise and perform good maintenance practices, specifically including the procurement and maintenance of the service contracts required by Paragraph 7.1(b) below. Lessee’s obligations shall include restorations, replacements or renewals when necessary to keep the Premises and all</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INITIALS</w:t>
            </w:r>
          </w:p>
        </w:tc>
        <w:tc>
          <w:tcPr>
            <w:tcW w:w="3960" w:type="dxa"/>
            <w:vAlign w:val="bottom"/>
          </w:tcPr>
          <w:p>
            <w:pPr>
              <w:ind w:left="1500"/>
              <w:spacing w:after="0"/>
              <w:rPr>
                <w:sz w:val="20"/>
                <w:szCs w:val="20"/>
                <w:color w:val="auto"/>
              </w:rPr>
            </w:pPr>
            <w:r>
              <w:rPr>
                <w:rFonts w:ascii="Arial" w:cs="Arial" w:eastAsia="Arial" w:hAnsi="Arial"/>
                <w:sz w:val="18"/>
                <w:szCs w:val="18"/>
                <w:color w:val="auto"/>
              </w:rPr>
              <w:t>Page 7 of 28</w:t>
            </w:r>
          </w:p>
        </w:tc>
        <w:tc>
          <w:tcPr>
            <w:tcW w:w="3380" w:type="dxa"/>
            <w:vAlign w:val="bottom"/>
            <w:vMerge w:val="restart"/>
          </w:tcPr>
          <w:p>
            <w:pPr>
              <w:jc w:val="right"/>
              <w:spacing w:after="0"/>
              <w:rPr>
                <w:sz w:val="20"/>
                <w:szCs w:val="20"/>
                <w:color w:val="auto"/>
              </w:rPr>
            </w:pPr>
            <w:r>
              <w:rPr>
                <w:rFonts w:ascii="Arial" w:cs="Arial" w:eastAsia="Arial" w:hAnsi="Arial"/>
                <w:sz w:val="18"/>
                <w:szCs w:val="18"/>
                <w:color w:val="auto"/>
              </w:rPr>
              <w:t>INITIALS</w:t>
            </w:r>
          </w:p>
        </w:tc>
        <w:tc>
          <w:tcPr>
            <w:tcW w:w="0" w:type="dxa"/>
            <w:vAlign w:val="bottom"/>
          </w:tcPr>
          <w:p>
            <w:pPr>
              <w:spacing w:after="0"/>
              <w:rPr>
                <w:sz w:val="1"/>
                <w:szCs w:val="1"/>
                <w:color w:val="auto"/>
              </w:rPr>
            </w:pPr>
          </w:p>
        </w:tc>
      </w:tr>
      <w:tr>
        <w:trPr>
          <w:trHeight w:val="94"/>
        </w:trPr>
        <w:tc>
          <w:tcPr>
            <w:tcW w:w="3900" w:type="dxa"/>
            <w:vAlign w:val="bottom"/>
            <w:vMerge w:val="continue"/>
          </w:tcPr>
          <w:p>
            <w:pPr>
              <w:spacing w:after="0"/>
              <w:rPr>
                <w:sz w:val="8"/>
                <w:szCs w:val="8"/>
                <w:color w:val="auto"/>
              </w:rPr>
            </w:pPr>
          </w:p>
        </w:tc>
        <w:tc>
          <w:tcPr>
            <w:tcW w:w="3960" w:type="dxa"/>
            <w:vAlign w:val="bottom"/>
            <w:vMerge w:val="restart"/>
          </w:tcPr>
          <w:p>
            <w:pPr>
              <w:ind w:left="780"/>
              <w:spacing w:after="0"/>
              <w:rPr>
                <w:sz w:val="20"/>
                <w:szCs w:val="20"/>
                <w:color w:val="auto"/>
              </w:rPr>
            </w:pPr>
            <w:r>
              <w:rPr>
                <w:rFonts w:ascii="Arial" w:cs="Arial" w:eastAsia="Arial" w:hAnsi="Arial"/>
                <w:sz w:val="18"/>
                <w:szCs w:val="18"/>
                <w:color w:val="auto"/>
              </w:rPr>
              <w:t>Last Edited 2/7/2018 1:59 PM</w:t>
            </w:r>
          </w:p>
        </w:tc>
        <w:tc>
          <w:tcPr>
            <w:tcW w:w="3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 2017 AIR CRE. All Rights Reserved.</w:t>
            </w:r>
          </w:p>
        </w:tc>
        <w:tc>
          <w:tcPr>
            <w:tcW w:w="3960" w:type="dxa"/>
            <w:vAlign w:val="bottom"/>
            <w:vMerge w:val="continue"/>
          </w:tcPr>
          <w:p>
            <w:pPr>
              <w:spacing w:after="0"/>
              <w:rPr>
                <w:sz w:val="12"/>
                <w:szCs w:val="12"/>
                <w:color w:val="auto"/>
              </w:rPr>
            </w:pPr>
          </w:p>
        </w:tc>
        <w:tc>
          <w:tcPr>
            <w:tcW w:w="3380" w:type="dxa"/>
            <w:vAlign w:val="bottom"/>
            <w:vMerge w:val="restart"/>
          </w:tcPr>
          <w:p>
            <w:pPr>
              <w:jc w:val="right"/>
              <w:spacing w:after="0"/>
              <w:rPr>
                <w:sz w:val="20"/>
                <w:szCs w:val="20"/>
                <w:color w:val="auto"/>
              </w:rPr>
            </w:pPr>
            <w:r>
              <w:rPr>
                <w:rFonts w:ascii="Arial" w:cs="Arial" w:eastAsia="Arial" w:hAnsi="Arial"/>
                <w:sz w:val="18"/>
                <w:szCs w:val="18"/>
                <w:color w:val="auto"/>
              </w:rPr>
              <w:t>STN-27.10, Revised 11-01-2017</w:t>
            </w:r>
          </w:p>
        </w:tc>
        <w:tc>
          <w:tcPr>
            <w:tcW w:w="0" w:type="dxa"/>
            <w:vAlign w:val="bottom"/>
          </w:tcPr>
          <w:p>
            <w:pPr>
              <w:spacing w:after="0"/>
              <w:rPr>
                <w:sz w:val="1"/>
                <w:szCs w:val="1"/>
                <w:color w:val="auto"/>
              </w:rPr>
            </w:pPr>
          </w:p>
        </w:tc>
      </w:tr>
      <w:tr>
        <w:trPr>
          <w:trHeight w:val="95"/>
        </w:trPr>
        <w:tc>
          <w:tcPr>
            <w:tcW w:w="3900" w:type="dxa"/>
            <w:vAlign w:val="bottom"/>
            <w:vMerge w:val="continue"/>
          </w:tcPr>
          <w:p>
            <w:pPr>
              <w:spacing w:after="0"/>
              <w:rPr>
                <w:sz w:val="8"/>
                <w:szCs w:val="8"/>
                <w:color w:val="auto"/>
              </w:rPr>
            </w:pPr>
          </w:p>
        </w:tc>
        <w:tc>
          <w:tcPr>
            <w:tcW w:w="3960" w:type="dxa"/>
            <w:vAlign w:val="bottom"/>
          </w:tcPr>
          <w:p>
            <w:pPr>
              <w:spacing w:after="0"/>
              <w:rPr>
                <w:sz w:val="8"/>
                <w:szCs w:val="8"/>
                <w:color w:val="auto"/>
              </w:rPr>
            </w:pPr>
          </w:p>
        </w:tc>
        <w:tc>
          <w:tcPr>
            <w:tcW w:w="3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3900" w:type="dxa"/>
            <w:vAlign w:val="bottom"/>
            <w:tcBorders>
              <w:bottom w:val="single" w:sz="8" w:color="9A9A9A"/>
            </w:tcBorders>
          </w:tcPr>
          <w:p>
            <w:pPr>
              <w:spacing w:after="0"/>
              <w:rPr>
                <w:sz w:val="13"/>
                <w:szCs w:val="13"/>
                <w:color w:val="auto"/>
              </w:rPr>
            </w:pPr>
          </w:p>
        </w:tc>
        <w:tc>
          <w:tcPr>
            <w:tcW w:w="3960" w:type="dxa"/>
            <w:vAlign w:val="bottom"/>
            <w:tcBorders>
              <w:bottom w:val="single" w:sz="8" w:color="9A9A9A"/>
            </w:tcBorders>
          </w:tcPr>
          <w:p>
            <w:pPr>
              <w:spacing w:after="0"/>
              <w:rPr>
                <w:sz w:val="13"/>
                <w:szCs w:val="13"/>
                <w:color w:val="auto"/>
              </w:rPr>
            </w:pPr>
          </w:p>
        </w:tc>
        <w:tc>
          <w:tcPr>
            <w:tcW w:w="33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6" w:name="page127"/>
    <w:bookmarkEnd w:id="126"/>
    <w:p>
      <w:pPr>
        <w:ind w:right="180"/>
        <w:spacing w:after="0" w:line="261" w:lineRule="auto"/>
        <w:rPr>
          <w:sz w:val="20"/>
          <w:szCs w:val="20"/>
          <w:color w:val="auto"/>
        </w:rPr>
      </w:pPr>
      <w:r>
        <w:rPr>
          <w:rFonts w:ascii="Arial" w:cs="Arial" w:eastAsia="Arial" w:hAnsi="Arial"/>
          <w:sz w:val="18"/>
          <w:szCs w:val="18"/>
          <w:color w:val="auto"/>
        </w:rPr>
        <w:t>improvements thereon or a part thereof in good order, condition and state of repair. Lessee shall, during the term of this Lease, keep the exterior appearance of the Building in a first-class condition (including, e.g. graffiti removal) consistent with the exterior appearance of other similar facilities of comparable age and size in the vicinity, including, when necessary, the exterior repainting of the Building.</w:t>
      </w:r>
    </w:p>
    <w:p>
      <w:pPr>
        <w:spacing w:after="0" w:line="162" w:lineRule="exact"/>
        <w:rPr>
          <w:sz w:val="20"/>
          <w:szCs w:val="20"/>
          <w:color w:val="auto"/>
        </w:rPr>
      </w:pPr>
    </w:p>
    <w:p>
      <w:pPr>
        <w:ind w:right="120" w:firstLine="1154"/>
        <w:spacing w:after="0" w:line="248" w:lineRule="auto"/>
        <w:tabs>
          <w:tab w:leader="none" w:pos="1565"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 xml:space="preserve">Service Contracts. </w:t>
      </w:r>
      <w:r>
        <w:rPr>
          <w:rFonts w:ascii="Arial" w:cs="Arial" w:eastAsia="Arial" w:hAnsi="Arial"/>
          <w:sz w:val="18"/>
          <w:szCs w:val="18"/>
          <w:color w:val="auto"/>
        </w:rPr>
        <w:t>Lessee shall, at Lessee’s sole expense, procure and maintain contracts, with copies to Lessor, in</w:t>
      </w:r>
      <w:r>
        <w:rPr>
          <w:rFonts w:ascii="Arial" w:cs="Arial" w:eastAsia="Arial" w:hAnsi="Arial"/>
          <w:sz w:val="18"/>
          <w:szCs w:val="18"/>
          <w:b w:val="1"/>
          <w:bCs w:val="1"/>
          <w:color w:val="auto"/>
        </w:rPr>
        <w:t xml:space="preserve"> </w:t>
      </w:r>
      <w:r>
        <w:rPr>
          <w:rFonts w:ascii="Arial" w:cs="Arial" w:eastAsia="Arial" w:hAnsi="Arial"/>
          <w:sz w:val="18"/>
          <w:szCs w:val="18"/>
          <w:color w:val="auto"/>
        </w:rPr>
        <w:t>customary form and substance for, and with contractors specializing and experienced in the maintenance of the following equipment and improvements, if any, if and when installed on the Premises: (i) HVAC equipment, (ii) boiler, and pressure vessels, (iii) fire extinguishing systems, including fire alarm and/or smoke detection, (iv) landscaping and irrigation systems, (v) roof covering and drains, and (vi) clarifiers. However, Lessor reserves the right, upon notice to Lessee, to procure and maintain any or all of such service contracts, and Lessee shall reimburse Lessor, upon demand, for the cost thereof.</w:t>
      </w:r>
    </w:p>
    <w:p>
      <w:pPr>
        <w:spacing w:after="0" w:line="174" w:lineRule="exact"/>
        <w:rPr>
          <w:rFonts w:ascii="Arial" w:cs="Arial" w:eastAsia="Arial" w:hAnsi="Arial"/>
          <w:sz w:val="18"/>
          <w:szCs w:val="18"/>
          <w:color w:val="auto"/>
        </w:rPr>
      </w:pPr>
    </w:p>
    <w:p>
      <w:pPr>
        <w:ind w:right="120" w:firstLine="1154"/>
        <w:spacing w:after="0" w:line="252" w:lineRule="auto"/>
        <w:tabs>
          <w:tab w:leader="none" w:pos="1555"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 xml:space="preserve">Failure to Perform. </w:t>
      </w:r>
      <w:r>
        <w:rPr>
          <w:rFonts w:ascii="Arial" w:cs="Arial" w:eastAsia="Arial" w:hAnsi="Arial"/>
          <w:sz w:val="18"/>
          <w:szCs w:val="18"/>
          <w:color w:val="auto"/>
        </w:rPr>
        <w:t>If Lessee fails to perform Lessee’s obligations under this Paragraph 7.1, Lessor may enter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Premises after 10 days’ prior written notice to Lessee (except in the case of an emergency, in which case no notice shall be required), perform such obligations on Lessee’s behalf, and put the Premises in good order, condition and repair, and Lessee shall promptly pay to Lessor a sum equal to 115% of the cost thereof.</w:t>
      </w:r>
    </w:p>
    <w:p>
      <w:pPr>
        <w:spacing w:after="0" w:line="170" w:lineRule="exact"/>
        <w:rPr>
          <w:rFonts w:ascii="Arial" w:cs="Arial" w:eastAsia="Arial" w:hAnsi="Arial"/>
          <w:sz w:val="18"/>
          <w:szCs w:val="18"/>
          <w:color w:val="auto"/>
        </w:rPr>
      </w:pPr>
    </w:p>
    <w:p>
      <w:pPr>
        <w:ind w:right="280" w:firstLine="1161"/>
        <w:spacing w:after="0" w:line="259" w:lineRule="auto"/>
        <w:tabs>
          <w:tab w:leader="none" w:pos="1573" w:val="left"/>
        </w:tabs>
        <w:numPr>
          <w:ilvl w:val="0"/>
          <w:numId w:val="103"/>
        </w:numPr>
        <w:rPr>
          <w:rFonts w:ascii="Arial" w:cs="Arial" w:eastAsia="Arial" w:hAnsi="Arial"/>
          <w:sz w:val="17"/>
          <w:szCs w:val="17"/>
          <w:color w:val="auto"/>
        </w:rPr>
      </w:pPr>
      <w:r>
        <w:rPr>
          <w:rFonts w:ascii="Arial" w:cs="Arial" w:eastAsia="Arial" w:hAnsi="Arial"/>
          <w:sz w:val="17"/>
          <w:szCs w:val="17"/>
          <w:b w:val="1"/>
          <w:bCs w:val="1"/>
          <w:color w:val="auto"/>
        </w:rPr>
        <w:t xml:space="preserve">Replacement. </w:t>
      </w:r>
      <w:r>
        <w:rPr>
          <w:rFonts w:ascii="Arial" w:cs="Arial" w:eastAsia="Arial" w:hAnsi="Arial"/>
          <w:sz w:val="17"/>
          <w:szCs w:val="17"/>
          <w:color w:val="auto"/>
        </w:rPr>
        <w:t>Subject to Lessee’s indemnification of Lessor as set forth in Paragraph 8.7 below, and without relieving</w:t>
      </w:r>
      <w:r>
        <w:rPr>
          <w:rFonts w:ascii="Arial" w:cs="Arial" w:eastAsia="Arial" w:hAnsi="Arial"/>
          <w:sz w:val="17"/>
          <w:szCs w:val="17"/>
          <w:b w:val="1"/>
          <w:bCs w:val="1"/>
          <w:color w:val="auto"/>
        </w:rPr>
        <w:t xml:space="preserve"> </w:t>
      </w:r>
      <w:r>
        <w:rPr>
          <w:rFonts w:ascii="Arial" w:cs="Arial" w:eastAsia="Arial" w:hAnsi="Arial"/>
          <w:sz w:val="17"/>
          <w:szCs w:val="17"/>
          <w:color w:val="auto"/>
        </w:rPr>
        <w:t>Lessee of liability resulting from Lessee’s failure to exercise and perform good maintenance practices, if an item described in Paragraph</w:t>
      </w:r>
    </w:p>
    <w:p>
      <w:pPr>
        <w:spacing w:after="0" w:line="1" w:lineRule="exact"/>
        <w:rPr>
          <w:rFonts w:ascii="Arial" w:cs="Arial" w:eastAsia="Arial" w:hAnsi="Arial"/>
          <w:sz w:val="17"/>
          <w:szCs w:val="17"/>
          <w:color w:val="auto"/>
        </w:rPr>
      </w:pPr>
    </w:p>
    <w:p>
      <w:pPr>
        <w:ind w:right="160"/>
        <w:spacing w:after="0" w:line="246" w:lineRule="auto"/>
        <w:rPr>
          <w:rFonts w:ascii="Arial" w:cs="Arial" w:eastAsia="Arial" w:hAnsi="Arial"/>
          <w:sz w:val="17"/>
          <w:szCs w:val="17"/>
          <w:color w:val="auto"/>
        </w:rPr>
      </w:pPr>
      <w:r>
        <w:rPr>
          <w:rFonts w:ascii="Arial" w:cs="Arial" w:eastAsia="Arial" w:hAnsi="Arial"/>
          <w:sz w:val="18"/>
          <w:szCs w:val="18"/>
          <w:color w:val="auto"/>
        </w:rPr>
        <w:t>7.1(b) cannot be repaired other than at a cost which is in excess of 50% of the cost of replacing such item, then such item shall be replaced by Lessor, and the cost thereof shall be prorated between the Parties and Lessee shall only be obligated to pay, each month during the remainder of the term of this Lease, on the date on which Base Rent is due, an amount equal to the product of multiplying the cost of such replacement by a fraction, the numerator of which is one, and the denominator of which is 144 (ie. l/144th of the cost per month). Lessee shall pay Interest on the unamortized balance but may prepay its obligation at anytime.</w:t>
      </w:r>
    </w:p>
    <w:p>
      <w:pPr>
        <w:spacing w:after="0" w:line="177" w:lineRule="exact"/>
        <w:rPr>
          <w:sz w:val="20"/>
          <w:szCs w:val="20"/>
          <w:color w:val="auto"/>
        </w:rPr>
      </w:pPr>
    </w:p>
    <w:p>
      <w:pPr>
        <w:ind w:right="20" w:firstLine="509"/>
        <w:spacing w:after="0" w:line="252"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b w:val="1"/>
          <w:bCs w:val="1"/>
          <w:color w:val="auto"/>
        </w:rPr>
        <w:t>Lessor’s Obligations.</w:t>
      </w:r>
      <w:r>
        <w:rPr>
          <w:rFonts w:ascii="Arial" w:cs="Arial" w:eastAsia="Arial" w:hAnsi="Arial"/>
          <w:sz w:val="18"/>
          <w:szCs w:val="18"/>
          <w:color w:val="auto"/>
        </w:rPr>
        <w:t xml:space="preserve"> Subject to the provisions of Paragraphs 2.2 (Condition), 2.3 (Compliance), 9 (Damage or Destruction) and 14 (Condemnation), it is intended by the Parties hereto that Lessor have no obligation, in any manner whatsoever, to repair and maintain the Premises, or the equipment therein, all of which obligations are intended to be that of the Lessee. It is the intention of the Parties that the terms of this Lease govern the respective obligations of the Parties as to maintenance and repair of the Premises.</w:t>
      </w:r>
    </w:p>
    <w:p>
      <w:pPr>
        <w:spacing w:after="0" w:line="278" w:lineRule="exact"/>
        <w:rPr>
          <w:sz w:val="20"/>
          <w:szCs w:val="20"/>
          <w:color w:val="auto"/>
        </w:rPr>
      </w:pPr>
    </w:p>
    <w:p>
      <w:pPr>
        <w:ind w:left="520"/>
        <w:spacing w:after="0"/>
        <w:tabs>
          <w:tab w:leader="none" w:pos="9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7"/>
          <w:szCs w:val="17"/>
          <w:b w:val="1"/>
          <w:bCs w:val="1"/>
          <w:color w:val="auto"/>
        </w:rPr>
        <w:t>Utility Installations; Trade Fixtures; Alterations.</w:t>
      </w:r>
    </w:p>
    <w:p>
      <w:pPr>
        <w:spacing w:after="0" w:line="117" w:lineRule="exact"/>
        <w:rPr>
          <w:sz w:val="20"/>
          <w:szCs w:val="20"/>
          <w:color w:val="auto"/>
        </w:rPr>
      </w:pPr>
    </w:p>
    <w:p>
      <w:pPr>
        <w:ind w:right="20" w:firstLine="1154"/>
        <w:spacing w:after="0" w:line="245" w:lineRule="auto"/>
        <w:tabs>
          <w:tab w:leader="none" w:pos="1565"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The term</w:t>
      </w:r>
      <w:r>
        <w:rPr>
          <w:rFonts w:ascii="Arial" w:cs="Arial" w:eastAsia="Arial" w:hAnsi="Arial"/>
          <w:sz w:val="18"/>
          <w:szCs w:val="18"/>
          <w:b w:val="1"/>
          <w:bCs w:val="1"/>
          <w:color w:val="auto"/>
        </w:rPr>
        <w:t xml:space="preserve"> “Utility Installations” </w:t>
      </w:r>
      <w:r>
        <w:rPr>
          <w:rFonts w:ascii="Arial" w:cs="Arial" w:eastAsia="Arial" w:hAnsi="Arial"/>
          <w:sz w:val="18"/>
          <w:szCs w:val="18"/>
          <w:color w:val="auto"/>
        </w:rPr>
        <w:t>refers to all floor and window coverings, air and/or vacuum lines, power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panels, electrical distribution, security and fire protection systems, communication cabling, lighting fixtures, HVAC equipment, plumbing, and fencing in or on the Premises. The term </w:t>
      </w:r>
      <w:r>
        <w:rPr>
          <w:rFonts w:ascii="Arial" w:cs="Arial" w:eastAsia="Arial" w:hAnsi="Arial"/>
          <w:sz w:val="18"/>
          <w:szCs w:val="18"/>
          <w:b w:val="1"/>
          <w:bCs w:val="1"/>
          <w:color w:val="auto"/>
        </w:rPr>
        <w:t>“Trade Fixtures”</w:t>
      </w:r>
      <w:r>
        <w:rPr>
          <w:rFonts w:ascii="Arial" w:cs="Arial" w:eastAsia="Arial" w:hAnsi="Arial"/>
          <w:sz w:val="18"/>
          <w:szCs w:val="18"/>
          <w:color w:val="auto"/>
        </w:rPr>
        <w:t xml:space="preserve"> shall mean Lessee’s machinery and equipment that can be removed without doing material damage to the Premises. The term “Alterations” shall mean any modification of the improvements, other than Utility Installations or Trade Fixtures, whether by addition or deletion. </w:t>
      </w:r>
      <w:r>
        <w:rPr>
          <w:rFonts w:ascii="Arial" w:cs="Arial" w:eastAsia="Arial" w:hAnsi="Arial"/>
          <w:sz w:val="18"/>
          <w:szCs w:val="18"/>
          <w:b w:val="1"/>
          <w:bCs w:val="1"/>
          <w:color w:val="auto"/>
        </w:rPr>
        <w:t>“Lessee Owned Alterations and/or Utility Installations”</w:t>
      </w:r>
      <w:r>
        <w:rPr>
          <w:rFonts w:ascii="Arial" w:cs="Arial" w:eastAsia="Arial" w:hAnsi="Arial"/>
          <w:sz w:val="18"/>
          <w:szCs w:val="18"/>
          <w:color w:val="auto"/>
        </w:rPr>
        <w:t xml:space="preserve"> are defined as Alterations and/or Utility Installations made by Lessee that are not yet owned by Lessor pursuant to Paragraph 7.4(a).</w:t>
      </w:r>
    </w:p>
    <w:p>
      <w:pPr>
        <w:spacing w:after="0" w:line="176" w:lineRule="exact"/>
        <w:rPr>
          <w:rFonts w:ascii="Arial" w:cs="Arial" w:eastAsia="Arial" w:hAnsi="Arial"/>
          <w:sz w:val="18"/>
          <w:szCs w:val="18"/>
          <w:color w:val="auto"/>
        </w:rPr>
      </w:pPr>
    </w:p>
    <w:p>
      <w:pPr>
        <w:ind w:right="180" w:firstLine="1154"/>
        <w:spacing w:after="0" w:line="243" w:lineRule="auto"/>
        <w:tabs>
          <w:tab w:leader="none" w:pos="1565"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 xml:space="preserve">Consent. </w:t>
      </w:r>
      <w:r>
        <w:rPr>
          <w:rFonts w:ascii="Arial" w:cs="Arial" w:eastAsia="Arial" w:hAnsi="Arial"/>
          <w:sz w:val="18"/>
          <w:szCs w:val="18"/>
          <w:color w:val="auto"/>
        </w:rPr>
        <w:t>Lessee shall not make any Alterations or Utility Installations to the Premises without Lessor’s prior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consent. Lessee may, however, make non-structural Alterations or Utility Installations to the interior of the Premises (excluding the roof) without such consent but upon notice to Lessor, as long as they are not visible from the outside, do not involve puncturing, relocating or removing the roof or any existing walls, will not affect the electrical, plumbing, HVAC, and/or life safety systems, do not trigger the requirement for additional modifications and/or improvements to the Premises resulting from Applicable Requirements, such as compliance with Title 24, and the cumulative cost thereof during this Lease as extended does not exceed a sum equal to 3 month’s Base Rent in the aggregate or a sum equal to one month’s Base Rent in any one year. Notwithstanding the foregoing, Lessee shall not make or permit any roof penetrations and/or install anything on the roof without the prior written approval of Lessor. Lessor may, as a precondition to granting such approval, require Lessee to utilize a contractor chosen and/or approved by Lessor. Any Alterations or Utility Installations that Lessee shall desire to make and which require the consent of the Lessor shall be presented to Lessor in written form with detailed plans. Consent shall be deemed conditioned upon Lessee’s: (i) acquiring all applicable governmental permits, (ii) furnishing Lessor with copies of both the permits and the</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INITIALS</w:t>
            </w:r>
          </w:p>
        </w:tc>
        <w:tc>
          <w:tcPr>
            <w:tcW w:w="3960" w:type="dxa"/>
            <w:vAlign w:val="bottom"/>
          </w:tcPr>
          <w:p>
            <w:pPr>
              <w:ind w:left="1500"/>
              <w:spacing w:after="0"/>
              <w:rPr>
                <w:sz w:val="20"/>
                <w:szCs w:val="20"/>
                <w:color w:val="auto"/>
              </w:rPr>
            </w:pPr>
            <w:r>
              <w:rPr>
                <w:rFonts w:ascii="Arial" w:cs="Arial" w:eastAsia="Arial" w:hAnsi="Arial"/>
                <w:sz w:val="18"/>
                <w:szCs w:val="18"/>
                <w:color w:val="auto"/>
              </w:rPr>
              <w:t>Page 8 of 28</w:t>
            </w:r>
          </w:p>
        </w:tc>
        <w:tc>
          <w:tcPr>
            <w:tcW w:w="3380" w:type="dxa"/>
            <w:vAlign w:val="bottom"/>
            <w:vMerge w:val="restart"/>
          </w:tcPr>
          <w:p>
            <w:pPr>
              <w:jc w:val="right"/>
              <w:spacing w:after="0"/>
              <w:rPr>
                <w:sz w:val="20"/>
                <w:szCs w:val="20"/>
                <w:color w:val="auto"/>
              </w:rPr>
            </w:pPr>
            <w:r>
              <w:rPr>
                <w:rFonts w:ascii="Arial" w:cs="Arial" w:eastAsia="Arial" w:hAnsi="Arial"/>
                <w:sz w:val="18"/>
                <w:szCs w:val="18"/>
                <w:color w:val="auto"/>
              </w:rPr>
              <w:t>INITIALS</w:t>
            </w:r>
          </w:p>
        </w:tc>
        <w:tc>
          <w:tcPr>
            <w:tcW w:w="0" w:type="dxa"/>
            <w:vAlign w:val="bottom"/>
          </w:tcPr>
          <w:p>
            <w:pPr>
              <w:spacing w:after="0"/>
              <w:rPr>
                <w:sz w:val="1"/>
                <w:szCs w:val="1"/>
                <w:color w:val="auto"/>
              </w:rPr>
            </w:pPr>
          </w:p>
        </w:tc>
      </w:tr>
      <w:tr>
        <w:trPr>
          <w:trHeight w:val="95"/>
        </w:trPr>
        <w:tc>
          <w:tcPr>
            <w:tcW w:w="3900" w:type="dxa"/>
            <w:vAlign w:val="bottom"/>
            <w:vMerge w:val="continue"/>
          </w:tcPr>
          <w:p>
            <w:pPr>
              <w:spacing w:after="0"/>
              <w:rPr>
                <w:sz w:val="8"/>
                <w:szCs w:val="8"/>
                <w:color w:val="auto"/>
              </w:rPr>
            </w:pPr>
          </w:p>
        </w:tc>
        <w:tc>
          <w:tcPr>
            <w:tcW w:w="3960" w:type="dxa"/>
            <w:vAlign w:val="bottom"/>
            <w:vMerge w:val="restart"/>
          </w:tcPr>
          <w:p>
            <w:pPr>
              <w:ind w:left="780"/>
              <w:spacing w:after="0"/>
              <w:rPr>
                <w:sz w:val="20"/>
                <w:szCs w:val="20"/>
                <w:color w:val="auto"/>
              </w:rPr>
            </w:pPr>
            <w:r>
              <w:rPr>
                <w:rFonts w:ascii="Arial" w:cs="Arial" w:eastAsia="Arial" w:hAnsi="Arial"/>
                <w:sz w:val="18"/>
                <w:szCs w:val="18"/>
                <w:color w:val="auto"/>
              </w:rPr>
              <w:t>Last Edited 2/7/2018 1:59 PM</w:t>
            </w:r>
          </w:p>
        </w:tc>
        <w:tc>
          <w:tcPr>
            <w:tcW w:w="3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 2017 AIR CRE. All Rights Reserved.</w:t>
            </w:r>
          </w:p>
        </w:tc>
        <w:tc>
          <w:tcPr>
            <w:tcW w:w="3960" w:type="dxa"/>
            <w:vAlign w:val="bottom"/>
            <w:vMerge w:val="continue"/>
          </w:tcPr>
          <w:p>
            <w:pPr>
              <w:spacing w:after="0"/>
              <w:rPr>
                <w:sz w:val="12"/>
                <w:szCs w:val="12"/>
                <w:color w:val="auto"/>
              </w:rPr>
            </w:pPr>
          </w:p>
        </w:tc>
        <w:tc>
          <w:tcPr>
            <w:tcW w:w="3380" w:type="dxa"/>
            <w:vAlign w:val="bottom"/>
            <w:vMerge w:val="restart"/>
          </w:tcPr>
          <w:p>
            <w:pPr>
              <w:jc w:val="right"/>
              <w:spacing w:after="0"/>
              <w:rPr>
                <w:sz w:val="20"/>
                <w:szCs w:val="20"/>
                <w:color w:val="auto"/>
              </w:rPr>
            </w:pPr>
            <w:r>
              <w:rPr>
                <w:rFonts w:ascii="Arial" w:cs="Arial" w:eastAsia="Arial" w:hAnsi="Arial"/>
                <w:sz w:val="18"/>
                <w:szCs w:val="18"/>
                <w:color w:val="auto"/>
              </w:rPr>
              <w:t>STN-27.10, Revised 11-01-2017</w:t>
            </w:r>
          </w:p>
        </w:tc>
        <w:tc>
          <w:tcPr>
            <w:tcW w:w="0" w:type="dxa"/>
            <w:vAlign w:val="bottom"/>
          </w:tcPr>
          <w:p>
            <w:pPr>
              <w:spacing w:after="0"/>
              <w:rPr>
                <w:sz w:val="1"/>
                <w:szCs w:val="1"/>
                <w:color w:val="auto"/>
              </w:rPr>
            </w:pPr>
          </w:p>
        </w:tc>
      </w:tr>
      <w:tr>
        <w:trPr>
          <w:trHeight w:val="95"/>
        </w:trPr>
        <w:tc>
          <w:tcPr>
            <w:tcW w:w="3900" w:type="dxa"/>
            <w:vAlign w:val="bottom"/>
            <w:vMerge w:val="continue"/>
          </w:tcPr>
          <w:p>
            <w:pPr>
              <w:spacing w:after="0"/>
              <w:rPr>
                <w:sz w:val="8"/>
                <w:szCs w:val="8"/>
                <w:color w:val="auto"/>
              </w:rPr>
            </w:pPr>
          </w:p>
        </w:tc>
        <w:tc>
          <w:tcPr>
            <w:tcW w:w="3960" w:type="dxa"/>
            <w:vAlign w:val="bottom"/>
          </w:tcPr>
          <w:p>
            <w:pPr>
              <w:spacing w:after="0"/>
              <w:rPr>
                <w:sz w:val="8"/>
                <w:szCs w:val="8"/>
                <w:color w:val="auto"/>
              </w:rPr>
            </w:pPr>
          </w:p>
        </w:tc>
        <w:tc>
          <w:tcPr>
            <w:tcW w:w="3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3900" w:type="dxa"/>
            <w:vAlign w:val="bottom"/>
            <w:tcBorders>
              <w:bottom w:val="single" w:sz="8" w:color="9A9A9A"/>
            </w:tcBorders>
          </w:tcPr>
          <w:p>
            <w:pPr>
              <w:spacing w:after="0"/>
              <w:rPr>
                <w:sz w:val="13"/>
                <w:szCs w:val="13"/>
                <w:color w:val="auto"/>
              </w:rPr>
            </w:pPr>
          </w:p>
        </w:tc>
        <w:tc>
          <w:tcPr>
            <w:tcW w:w="3960" w:type="dxa"/>
            <w:vAlign w:val="bottom"/>
            <w:tcBorders>
              <w:bottom w:val="single" w:sz="8" w:color="9A9A9A"/>
            </w:tcBorders>
          </w:tcPr>
          <w:p>
            <w:pPr>
              <w:spacing w:after="0"/>
              <w:rPr>
                <w:sz w:val="13"/>
                <w:szCs w:val="13"/>
                <w:color w:val="auto"/>
              </w:rPr>
            </w:pPr>
          </w:p>
        </w:tc>
        <w:tc>
          <w:tcPr>
            <w:tcW w:w="33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27" w:name="page128"/>
    <w:bookmarkEnd w:id="127"/>
    <w:p>
      <w:pPr>
        <w:ind w:right="40"/>
        <w:spacing w:after="0" w:line="248" w:lineRule="auto"/>
        <w:rPr>
          <w:sz w:val="20"/>
          <w:szCs w:val="20"/>
          <w:color w:val="auto"/>
        </w:rPr>
      </w:pPr>
      <w:r>
        <w:rPr>
          <w:rFonts w:ascii="Arial" w:cs="Arial" w:eastAsia="Arial" w:hAnsi="Arial"/>
          <w:sz w:val="18"/>
          <w:szCs w:val="18"/>
          <w:color w:val="auto"/>
        </w:rPr>
        <w:t>plans and specifications prior to commencement of the work, and (iii) compliance with all conditions of said permits and other Applicable Requirements in a prompt and expeditious manner. Any Alterations or Utility Installations shall be performed in a workmanlike manner with good and sufficient materials. Lessee shall promptly upon completion furnish Lessor with as-built plans and specifications. For work which costs an amount in excess of one month’s Base Rent, Lessor may condition its consent upon Lessee providing a lien and completion bond in an amount equal to 150% of the estimated cost of such Alteration or Utility Installation and/or upon Lessee’s posting an additional Security Deposit with Lessor.</w:t>
      </w:r>
    </w:p>
    <w:p>
      <w:pPr>
        <w:spacing w:after="0" w:line="175" w:lineRule="exact"/>
        <w:rPr>
          <w:sz w:val="20"/>
          <w:szCs w:val="20"/>
          <w:color w:val="auto"/>
        </w:rPr>
      </w:pPr>
    </w:p>
    <w:p>
      <w:pPr>
        <w:ind w:right="160" w:firstLine="1154"/>
        <w:spacing w:after="0" w:line="244" w:lineRule="auto"/>
        <w:tabs>
          <w:tab w:leader="none" w:pos="1555" w:val="left"/>
        </w:tabs>
        <w:numPr>
          <w:ilvl w:val="0"/>
          <w:numId w:val="105"/>
        </w:numPr>
        <w:rPr>
          <w:rFonts w:ascii="Arial" w:cs="Arial" w:eastAsia="Arial" w:hAnsi="Arial"/>
          <w:sz w:val="18"/>
          <w:szCs w:val="18"/>
          <w:color w:val="auto"/>
        </w:rPr>
      </w:pPr>
      <w:r>
        <w:rPr>
          <w:rFonts w:ascii="Arial" w:cs="Arial" w:eastAsia="Arial" w:hAnsi="Arial"/>
          <w:sz w:val="18"/>
          <w:szCs w:val="18"/>
          <w:b w:val="1"/>
          <w:bCs w:val="1"/>
          <w:color w:val="auto"/>
        </w:rPr>
        <w:t xml:space="preserve">Liens; Bonds. </w:t>
      </w:r>
      <w:r>
        <w:rPr>
          <w:rFonts w:ascii="Arial" w:cs="Arial" w:eastAsia="Arial" w:hAnsi="Arial"/>
          <w:sz w:val="18"/>
          <w:szCs w:val="18"/>
          <w:color w:val="auto"/>
        </w:rPr>
        <w:t>Lessee shall pay, when due, all claims for labor or materials furnished or alleged to have been furnished</w:t>
      </w:r>
      <w:r>
        <w:rPr>
          <w:rFonts w:ascii="Arial" w:cs="Arial" w:eastAsia="Arial" w:hAnsi="Arial"/>
          <w:sz w:val="18"/>
          <w:szCs w:val="18"/>
          <w:b w:val="1"/>
          <w:bCs w:val="1"/>
          <w:color w:val="auto"/>
        </w:rPr>
        <w:t xml:space="preserve"> </w:t>
      </w:r>
      <w:r>
        <w:rPr>
          <w:rFonts w:ascii="Arial" w:cs="Arial" w:eastAsia="Arial" w:hAnsi="Arial"/>
          <w:sz w:val="18"/>
          <w:szCs w:val="18"/>
          <w:color w:val="auto"/>
        </w:rPr>
        <w:t>to or for Lessee at or for use on the Premises, which claims are or may be secured by any mechanic’s or materialmen’s lien against the Premises or any interest therein. Lessee shall give Lessor not less than 10 days notice prior to the commencement of any work in, on or about the Premises, and Lessor shall have the right to post notices of non-responsibility. If Lessee shall contest the validity of any such lien, claim or demand, then Lessee shall, at its sole expense defend and protect itself, Lessor and the Premises against the same and shall pay and satisfy any such adverse judgment that may be rendered thereon before the enforcement thereof. If Lessor shall require. Lessee shall furnish a surety bond in an amount equal to 150% of the amount of such contested lien, claim or demand, indemnifying Lessor against liability for the same. If Lessor elects to participate in any such action, Lessee shall pay Lessor’s attorneys’ fees and costs.</w:t>
      </w:r>
    </w:p>
    <w:p>
      <w:pPr>
        <w:spacing w:after="0" w:line="180" w:lineRule="exact"/>
        <w:rPr>
          <w:sz w:val="20"/>
          <w:szCs w:val="20"/>
          <w:color w:val="auto"/>
        </w:rPr>
      </w:pPr>
    </w:p>
    <w:p>
      <w:pPr>
        <w:ind w:left="520"/>
        <w:spacing w:after="0"/>
        <w:tabs>
          <w:tab w:leader="none" w:pos="9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b w:val="1"/>
          <w:bCs w:val="1"/>
          <w:color w:val="auto"/>
        </w:rPr>
        <w:t>Ownership; Removal; Surrender; and Restoration.</w:t>
      </w:r>
    </w:p>
    <w:p>
      <w:pPr>
        <w:spacing w:after="0" w:line="104" w:lineRule="exact"/>
        <w:rPr>
          <w:sz w:val="20"/>
          <w:szCs w:val="20"/>
          <w:color w:val="auto"/>
        </w:rPr>
      </w:pPr>
    </w:p>
    <w:p>
      <w:pPr>
        <w:ind w:firstLine="1154"/>
        <w:spacing w:after="0" w:line="251" w:lineRule="auto"/>
        <w:tabs>
          <w:tab w:leader="none" w:pos="1565"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 xml:space="preserve">Ownership. </w:t>
      </w:r>
      <w:r>
        <w:rPr>
          <w:rFonts w:ascii="Arial" w:cs="Arial" w:eastAsia="Arial" w:hAnsi="Arial"/>
          <w:sz w:val="18"/>
          <w:szCs w:val="18"/>
          <w:color w:val="auto"/>
        </w:rPr>
        <w:t>Subject to Lessor’s right to require removal or elect ownership as hereinafter provided, all Alterations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Utility Installations made by Lessee shall be the property of Lessee, but considered a part of the Premises. Lessor may, at any time, elect in writing to be the owner of all or any specified part of the Lessee Owned Alterations and Utility Installations. Unless otherwise instructed per paragraph 7.4(b) hereof, all Lessee Owned Alterations and Utility Installations shall, at the expiration or termination of this Lease, become the property of Lessor and be surrendered by Lessee with the Premises.</w:t>
      </w:r>
    </w:p>
    <w:p>
      <w:pPr>
        <w:spacing w:after="0" w:line="173" w:lineRule="exact"/>
        <w:rPr>
          <w:rFonts w:ascii="Arial" w:cs="Arial" w:eastAsia="Arial" w:hAnsi="Arial"/>
          <w:sz w:val="18"/>
          <w:szCs w:val="18"/>
          <w:color w:val="auto"/>
        </w:rPr>
      </w:pPr>
    </w:p>
    <w:p>
      <w:pPr>
        <w:ind w:right="260" w:firstLine="1154"/>
        <w:spacing w:after="0" w:line="252" w:lineRule="auto"/>
        <w:tabs>
          <w:tab w:leader="none" w:pos="1565"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 xml:space="preserve">Removal. </w:t>
      </w:r>
      <w:r>
        <w:rPr>
          <w:rFonts w:ascii="Arial" w:cs="Arial" w:eastAsia="Arial" w:hAnsi="Arial"/>
          <w:sz w:val="18"/>
          <w:szCs w:val="18"/>
          <w:color w:val="auto"/>
        </w:rPr>
        <w:t>By delivery to Lessee of written notice from Lessor not earlier than 90 and not later than 30 days prior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end of the term of this Lease, Lessor may require that any or all Lessee Owned Alterations or Utility Installations be removed by the expiration or termination of this Lease. Lessor may require the removal at anytime of all or any part of any Lessee Owned Alterations or Utility Installations made without the required consent.</w:t>
      </w:r>
    </w:p>
    <w:p>
      <w:pPr>
        <w:spacing w:after="0" w:line="170" w:lineRule="exact"/>
        <w:rPr>
          <w:rFonts w:ascii="Arial" w:cs="Arial" w:eastAsia="Arial" w:hAnsi="Arial"/>
          <w:sz w:val="18"/>
          <w:szCs w:val="18"/>
          <w:color w:val="auto"/>
        </w:rPr>
      </w:pPr>
    </w:p>
    <w:p>
      <w:pPr>
        <w:ind w:firstLine="1154"/>
        <w:spacing w:after="0" w:line="243" w:lineRule="auto"/>
        <w:tabs>
          <w:tab w:leader="none" w:pos="1555"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 xml:space="preserve">Surrender; Restoration. </w:t>
      </w:r>
      <w:r>
        <w:rPr>
          <w:rFonts w:ascii="Arial" w:cs="Arial" w:eastAsia="Arial" w:hAnsi="Arial"/>
          <w:sz w:val="18"/>
          <w:szCs w:val="18"/>
          <w:color w:val="auto"/>
        </w:rPr>
        <w:t>Lessee shall surrender the Premises by the Expiration Date or any earlier termination date, with</w:t>
      </w:r>
      <w:r>
        <w:rPr>
          <w:rFonts w:ascii="Arial" w:cs="Arial" w:eastAsia="Arial" w:hAnsi="Arial"/>
          <w:sz w:val="18"/>
          <w:szCs w:val="18"/>
          <w:b w:val="1"/>
          <w:bCs w:val="1"/>
          <w:color w:val="auto"/>
        </w:rPr>
        <w:t xml:space="preserve"> </w:t>
      </w:r>
      <w:r>
        <w:rPr>
          <w:rFonts w:ascii="Arial" w:cs="Arial" w:eastAsia="Arial" w:hAnsi="Arial"/>
          <w:sz w:val="18"/>
          <w:szCs w:val="18"/>
          <w:color w:val="auto"/>
        </w:rPr>
        <w:t>all of the improvements, parts and surfaces thereof broom clean and free of debris, and in good operating order, condition and state of repair, ordinary wear and tear excepted. “Ordinary wear and tear” shall not include any damage or deterioration that would have been prevented by good maintenance practice. Notwithstanding the foregoing, if the Lessee occupies the Premises for 12 months or less, then Lessee shall surrender the Premises in the same condition as delivered to Lessee on the Start Date with NO allowance for ordinary wear and tear. Lessee shall repair any damage occasioned by the installation, maintenance or removal of Trade Fixtures, Lessee owned Alterations and/or Utility Installations, furnishings, and equipment as well as the removal of any storage tank installed by or for Lessee. Lessee shall also remove from the Premises any and all Hazardous Substances brought onto the Premises by or for Lessee, or any third party (except Hazardous Substances which were deposited via underground migration from areas outside of the Premises) to the level specified in Applicable Requirements. Trade Fixtures shall remain the property of Lessee and shall be removed by Lessee. Any personal property of Lessee not removed on or before the Expiration Date or any earlier termination date shall be deemed to have been abandoned by Lessee and may be disposed of or retained by Lessor as Lessor may desire. The failure by Lessee to timely vacate the Premises pursuant to this Paragraph 7.4(c) without the express written consent of Lessor shall constitute a holdover under the provisions of Paragraph 26 below.</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INITIALS</w:t>
            </w:r>
          </w:p>
        </w:tc>
        <w:tc>
          <w:tcPr>
            <w:tcW w:w="3960" w:type="dxa"/>
            <w:vAlign w:val="bottom"/>
          </w:tcPr>
          <w:p>
            <w:pPr>
              <w:ind w:left="1500"/>
              <w:spacing w:after="0"/>
              <w:rPr>
                <w:sz w:val="20"/>
                <w:szCs w:val="20"/>
                <w:color w:val="auto"/>
              </w:rPr>
            </w:pPr>
            <w:r>
              <w:rPr>
                <w:rFonts w:ascii="Arial" w:cs="Arial" w:eastAsia="Arial" w:hAnsi="Arial"/>
                <w:sz w:val="18"/>
                <w:szCs w:val="18"/>
                <w:color w:val="auto"/>
              </w:rPr>
              <w:t>Page 9 of 28</w:t>
            </w:r>
          </w:p>
        </w:tc>
        <w:tc>
          <w:tcPr>
            <w:tcW w:w="3380" w:type="dxa"/>
            <w:vAlign w:val="bottom"/>
            <w:vMerge w:val="restart"/>
          </w:tcPr>
          <w:p>
            <w:pPr>
              <w:jc w:val="right"/>
              <w:spacing w:after="0"/>
              <w:rPr>
                <w:sz w:val="20"/>
                <w:szCs w:val="20"/>
                <w:color w:val="auto"/>
              </w:rPr>
            </w:pPr>
            <w:r>
              <w:rPr>
                <w:rFonts w:ascii="Arial" w:cs="Arial" w:eastAsia="Arial" w:hAnsi="Arial"/>
                <w:sz w:val="18"/>
                <w:szCs w:val="18"/>
                <w:color w:val="auto"/>
              </w:rPr>
              <w:t>INITIALS</w:t>
            </w:r>
          </w:p>
        </w:tc>
        <w:tc>
          <w:tcPr>
            <w:tcW w:w="0" w:type="dxa"/>
            <w:vAlign w:val="bottom"/>
          </w:tcPr>
          <w:p>
            <w:pPr>
              <w:spacing w:after="0"/>
              <w:rPr>
                <w:sz w:val="1"/>
                <w:szCs w:val="1"/>
                <w:color w:val="auto"/>
              </w:rPr>
            </w:pPr>
          </w:p>
        </w:tc>
      </w:tr>
      <w:tr>
        <w:trPr>
          <w:trHeight w:val="95"/>
        </w:trPr>
        <w:tc>
          <w:tcPr>
            <w:tcW w:w="3900" w:type="dxa"/>
            <w:vAlign w:val="bottom"/>
            <w:vMerge w:val="continue"/>
          </w:tcPr>
          <w:p>
            <w:pPr>
              <w:spacing w:after="0"/>
              <w:rPr>
                <w:sz w:val="8"/>
                <w:szCs w:val="8"/>
                <w:color w:val="auto"/>
              </w:rPr>
            </w:pPr>
          </w:p>
        </w:tc>
        <w:tc>
          <w:tcPr>
            <w:tcW w:w="3960" w:type="dxa"/>
            <w:vAlign w:val="bottom"/>
            <w:vMerge w:val="restart"/>
          </w:tcPr>
          <w:p>
            <w:pPr>
              <w:ind w:left="780"/>
              <w:spacing w:after="0"/>
              <w:rPr>
                <w:sz w:val="20"/>
                <w:szCs w:val="20"/>
                <w:color w:val="auto"/>
              </w:rPr>
            </w:pPr>
            <w:r>
              <w:rPr>
                <w:rFonts w:ascii="Arial" w:cs="Arial" w:eastAsia="Arial" w:hAnsi="Arial"/>
                <w:sz w:val="18"/>
                <w:szCs w:val="18"/>
                <w:color w:val="auto"/>
              </w:rPr>
              <w:t>Last Edited 2/7/2018 1:59 PM</w:t>
            </w:r>
          </w:p>
        </w:tc>
        <w:tc>
          <w:tcPr>
            <w:tcW w:w="3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 2017 AIR CRE. All Rights Reserved.</w:t>
            </w:r>
          </w:p>
        </w:tc>
        <w:tc>
          <w:tcPr>
            <w:tcW w:w="3960" w:type="dxa"/>
            <w:vAlign w:val="bottom"/>
            <w:vMerge w:val="continue"/>
          </w:tcPr>
          <w:p>
            <w:pPr>
              <w:spacing w:after="0"/>
              <w:rPr>
                <w:sz w:val="12"/>
                <w:szCs w:val="12"/>
                <w:color w:val="auto"/>
              </w:rPr>
            </w:pPr>
          </w:p>
        </w:tc>
        <w:tc>
          <w:tcPr>
            <w:tcW w:w="3380" w:type="dxa"/>
            <w:vAlign w:val="bottom"/>
            <w:vMerge w:val="restart"/>
          </w:tcPr>
          <w:p>
            <w:pPr>
              <w:jc w:val="right"/>
              <w:spacing w:after="0"/>
              <w:rPr>
                <w:sz w:val="20"/>
                <w:szCs w:val="20"/>
                <w:color w:val="auto"/>
              </w:rPr>
            </w:pPr>
            <w:r>
              <w:rPr>
                <w:rFonts w:ascii="Arial" w:cs="Arial" w:eastAsia="Arial" w:hAnsi="Arial"/>
                <w:sz w:val="18"/>
                <w:szCs w:val="18"/>
                <w:color w:val="auto"/>
              </w:rPr>
              <w:t>STN-27.10, Revised 11-01-2017</w:t>
            </w:r>
          </w:p>
        </w:tc>
        <w:tc>
          <w:tcPr>
            <w:tcW w:w="0" w:type="dxa"/>
            <w:vAlign w:val="bottom"/>
          </w:tcPr>
          <w:p>
            <w:pPr>
              <w:spacing w:after="0"/>
              <w:rPr>
                <w:sz w:val="1"/>
                <w:szCs w:val="1"/>
                <w:color w:val="auto"/>
              </w:rPr>
            </w:pPr>
          </w:p>
        </w:tc>
      </w:tr>
      <w:tr>
        <w:trPr>
          <w:trHeight w:val="94"/>
        </w:trPr>
        <w:tc>
          <w:tcPr>
            <w:tcW w:w="3900" w:type="dxa"/>
            <w:vAlign w:val="bottom"/>
            <w:vMerge w:val="continue"/>
          </w:tcPr>
          <w:p>
            <w:pPr>
              <w:spacing w:after="0"/>
              <w:rPr>
                <w:sz w:val="8"/>
                <w:szCs w:val="8"/>
                <w:color w:val="auto"/>
              </w:rPr>
            </w:pPr>
          </w:p>
        </w:tc>
        <w:tc>
          <w:tcPr>
            <w:tcW w:w="3960" w:type="dxa"/>
            <w:vAlign w:val="bottom"/>
          </w:tcPr>
          <w:p>
            <w:pPr>
              <w:spacing w:after="0"/>
              <w:rPr>
                <w:sz w:val="8"/>
                <w:szCs w:val="8"/>
                <w:color w:val="auto"/>
              </w:rPr>
            </w:pPr>
          </w:p>
        </w:tc>
        <w:tc>
          <w:tcPr>
            <w:tcW w:w="3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3900" w:type="dxa"/>
            <w:vAlign w:val="bottom"/>
            <w:tcBorders>
              <w:bottom w:val="single" w:sz="8" w:color="9A9A9A"/>
            </w:tcBorders>
          </w:tcPr>
          <w:p>
            <w:pPr>
              <w:spacing w:after="0"/>
              <w:rPr>
                <w:sz w:val="12"/>
                <w:szCs w:val="12"/>
                <w:color w:val="auto"/>
              </w:rPr>
            </w:pPr>
          </w:p>
        </w:tc>
        <w:tc>
          <w:tcPr>
            <w:tcW w:w="3960" w:type="dxa"/>
            <w:vAlign w:val="bottom"/>
            <w:tcBorders>
              <w:bottom w:val="single" w:sz="8" w:color="9A9A9A"/>
            </w:tcBorders>
          </w:tcPr>
          <w:p>
            <w:pPr>
              <w:spacing w:after="0"/>
              <w:rPr>
                <w:sz w:val="12"/>
                <w:szCs w:val="12"/>
                <w:color w:val="auto"/>
              </w:rPr>
            </w:pPr>
          </w:p>
        </w:tc>
        <w:tc>
          <w:tcPr>
            <w:tcW w:w="33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8" w:name="page129"/>
    <w:bookmarkEnd w:id="128"/>
    <w:p>
      <w:pPr>
        <w:ind w:left="360" w:hanging="352"/>
        <w:spacing w:after="0"/>
        <w:tabs>
          <w:tab w:leader="none" w:pos="3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Insurance; Indemnity.</w:t>
      </w:r>
    </w:p>
    <w:p>
      <w:pPr>
        <w:spacing w:after="0" w:line="117" w:lineRule="exact"/>
        <w:rPr>
          <w:sz w:val="20"/>
          <w:szCs w:val="20"/>
          <w:color w:val="auto"/>
        </w:rPr>
      </w:pPr>
    </w:p>
    <w:p>
      <w:pPr>
        <w:ind w:right="60" w:firstLine="509"/>
        <w:spacing w:after="0" w:line="252"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b w:val="1"/>
          <w:bCs w:val="1"/>
          <w:color w:val="auto"/>
        </w:rPr>
        <w:t>Payment For Insurance.</w:t>
      </w:r>
      <w:r>
        <w:rPr>
          <w:rFonts w:ascii="Arial" w:cs="Arial" w:eastAsia="Arial" w:hAnsi="Arial"/>
          <w:sz w:val="18"/>
          <w:szCs w:val="18"/>
          <w:color w:val="auto"/>
        </w:rPr>
        <w:t xml:space="preserve"> Lessee shall pay for all insurance required under Paragraph 8 except to the extent of the cost attributable to liability insurance carried by Lessor under Paragraph 8.2(b) in excess of $3,000,000.00 per occurrence. Premiums for policy periods commencing prior to or extending beyond the Lease term shall be prorated to correspond to the Lease term. Payment shall be made by Lessee to Lessor within 10 days following receipt of an invoice.</w:t>
      </w:r>
    </w:p>
    <w:p>
      <w:pPr>
        <w:spacing w:after="0" w:line="278" w:lineRule="exact"/>
        <w:rPr>
          <w:sz w:val="20"/>
          <w:szCs w:val="20"/>
          <w:color w:val="auto"/>
        </w:rPr>
      </w:pPr>
    </w:p>
    <w:p>
      <w:pPr>
        <w:ind w:left="520"/>
        <w:spacing w:after="0"/>
        <w:tabs>
          <w:tab w:leader="none" w:pos="9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b w:val="1"/>
          <w:bCs w:val="1"/>
          <w:color w:val="auto"/>
        </w:rPr>
        <w:t>Liability Insurance.</w:t>
      </w:r>
    </w:p>
    <w:p>
      <w:pPr>
        <w:spacing w:after="0" w:line="104" w:lineRule="exact"/>
        <w:rPr>
          <w:sz w:val="20"/>
          <w:szCs w:val="20"/>
          <w:color w:val="auto"/>
        </w:rPr>
      </w:pPr>
    </w:p>
    <w:p>
      <w:pPr>
        <w:ind w:right="20" w:firstLine="1154"/>
        <w:spacing w:after="0" w:line="243" w:lineRule="auto"/>
        <w:tabs>
          <w:tab w:leader="none" w:pos="1565" w:val="left"/>
        </w:tabs>
        <w:numPr>
          <w:ilvl w:val="0"/>
          <w:numId w:val="108"/>
        </w:numPr>
        <w:rPr>
          <w:rFonts w:ascii="Arial" w:cs="Arial" w:eastAsia="Arial" w:hAnsi="Arial"/>
          <w:sz w:val="18"/>
          <w:szCs w:val="18"/>
          <w:color w:val="auto"/>
        </w:rPr>
      </w:pPr>
      <w:r>
        <w:rPr>
          <w:rFonts w:ascii="Arial" w:cs="Arial" w:eastAsia="Arial" w:hAnsi="Arial"/>
          <w:sz w:val="18"/>
          <w:szCs w:val="18"/>
          <w:b w:val="1"/>
          <w:bCs w:val="1"/>
          <w:color w:val="auto"/>
        </w:rPr>
        <w:t xml:space="preserve">Carried by Lessee. </w:t>
      </w:r>
      <w:r>
        <w:rPr>
          <w:rFonts w:ascii="Arial" w:cs="Arial" w:eastAsia="Arial" w:hAnsi="Arial"/>
          <w:sz w:val="18"/>
          <w:szCs w:val="18"/>
          <w:color w:val="auto"/>
        </w:rPr>
        <w:t>Lessee shall obtain and keep in force a Commercial General Liability policy of insurance protecting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Lessee and Lessor as an additional insured against claims for bodily injury, personal injury and property damage based upon or arising out of the ownership, use, occupancy or maintenance of the Premises and all areas appurtenant thereto. Such insurance shall be on an occurrence basis providing single limit coverage in an amount not less than $1,000,000 per occurrence with an annual aggregate of not less than $3,000,000,00. Lessee shall add Lessor as an additional insured by means of an endorsement at least as broad as the Insurance Service Organization’s “Additional Insured-Managers or Lessors of Premises” Endorsement. The policy shall not contain any intra-insured exclusions as between insured persons or organizations, but shall include coverage for liability assumed under this Lease as an </w:t>
      </w:r>
      <w:r>
        <w:rPr>
          <w:rFonts w:ascii="Arial" w:cs="Arial" w:eastAsia="Arial" w:hAnsi="Arial"/>
          <w:sz w:val="18"/>
          <w:szCs w:val="18"/>
          <w:b w:val="1"/>
          <w:bCs w:val="1"/>
          <w:color w:val="auto"/>
        </w:rPr>
        <w:t>“insured contract”</w:t>
      </w:r>
      <w:r>
        <w:rPr>
          <w:rFonts w:ascii="Arial" w:cs="Arial" w:eastAsia="Arial" w:hAnsi="Arial"/>
          <w:sz w:val="18"/>
          <w:szCs w:val="18"/>
          <w:color w:val="auto"/>
        </w:rPr>
        <w:t xml:space="preserve"> for the performance of Lessee’s indemnity obligations under this Lease. The limits of said insurance shall not, however, limit the liability of Lessee nor relieve Lessee of any obligation hereunder. Lessee shall provide an endorsement on its liability policy(ies) which provides that its insurance shall be primary to and not contributory with any similar insurance carried by Lessor, whose insurance shall be considered excess insurance only.</w:t>
      </w:r>
    </w:p>
    <w:p>
      <w:pPr>
        <w:spacing w:after="0" w:line="179" w:lineRule="exact"/>
        <w:rPr>
          <w:sz w:val="20"/>
          <w:szCs w:val="20"/>
          <w:color w:val="auto"/>
        </w:rPr>
      </w:pPr>
    </w:p>
    <w:p>
      <w:pPr>
        <w:ind w:left="520"/>
        <w:spacing w:after="0"/>
        <w:tabs>
          <w:tab w:leader="none" w:pos="9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7"/>
          <w:szCs w:val="17"/>
          <w:b w:val="1"/>
          <w:bCs w:val="1"/>
          <w:color w:val="auto"/>
        </w:rPr>
        <w:t>Property Insurance - Building, Improvements and Rental Value.</w:t>
      </w:r>
    </w:p>
    <w:p>
      <w:pPr>
        <w:spacing w:after="0" w:line="104" w:lineRule="exact"/>
        <w:rPr>
          <w:sz w:val="20"/>
          <w:szCs w:val="20"/>
          <w:color w:val="auto"/>
        </w:rPr>
      </w:pPr>
    </w:p>
    <w:p>
      <w:pPr>
        <w:ind w:right="100" w:firstLine="1154"/>
        <w:spacing w:after="0" w:line="243" w:lineRule="auto"/>
        <w:tabs>
          <w:tab w:leader="none" w:pos="1565"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 xml:space="preserve">Building and Improvements. </w:t>
      </w:r>
      <w:r>
        <w:rPr>
          <w:rFonts w:ascii="Arial" w:cs="Arial" w:eastAsia="Arial" w:hAnsi="Arial"/>
          <w:sz w:val="18"/>
          <w:szCs w:val="18"/>
          <w:color w:val="auto"/>
        </w:rPr>
        <w:t>The Insuring Party shall obtain and keep in force a policy or policies in the name of</w:t>
      </w:r>
      <w:r>
        <w:rPr>
          <w:rFonts w:ascii="Arial" w:cs="Arial" w:eastAsia="Arial" w:hAnsi="Arial"/>
          <w:sz w:val="18"/>
          <w:szCs w:val="18"/>
          <w:b w:val="1"/>
          <w:bCs w:val="1"/>
          <w:color w:val="auto"/>
        </w:rPr>
        <w:t xml:space="preserve"> </w:t>
      </w:r>
      <w:r>
        <w:rPr>
          <w:rFonts w:ascii="Arial" w:cs="Arial" w:eastAsia="Arial" w:hAnsi="Arial"/>
          <w:sz w:val="18"/>
          <w:szCs w:val="18"/>
          <w:color w:val="auto"/>
        </w:rPr>
        <w:t>Lessor, with loss payable to Lessor, any ground-lessor, and to any Lender insuring loss or damage to the Premises. The amount of such insurance shall be equal to the full insurable replacement cost of the Premises, as the same shall exist from time to time, or the amount required by any Lender, but in no event more than the commercially reasonable and available insurable value thereof. Lessee Owned Alterations and Utility Installations, Trade Fixtures, and Lessee’s personal property shall be insured by Lessee not by Lessor. If the coverage is available and commercially appropriate, such policy or policies shall insure against all risks of direct physical loss or damage (except the perils of flood and/or earthquake unless required by a Lender), including coverage for debris removal and the enforcement of any Applicable Requirements requiring the upgrading, demolition, reconstruction or replacement of any portion of the Premises as the result of a covered loss. Said policy or policies shall also contain an agreed valuation provision in lieu of any coinsurance clause, waiver of subrogation, and inflation guard protection causing an increase in the annual property insurance coverage amount by a factor of not less than the adjusted U.S. Department of Labor Consumer Price Index for All Urban Consumers for the city nearest to where the Premises are located. If such insurance coverage has a deductible clause, the deductible amount shall not exceed $5,000 per occurrence, and Lessee shall be liable for such deductible amount in the event of an Insured Loss.</w:t>
      </w:r>
    </w:p>
    <w:p>
      <w:pPr>
        <w:spacing w:after="0" w:line="178" w:lineRule="exact"/>
        <w:rPr>
          <w:rFonts w:ascii="Arial" w:cs="Arial" w:eastAsia="Arial" w:hAnsi="Arial"/>
          <w:sz w:val="18"/>
          <w:szCs w:val="18"/>
          <w:color w:val="auto"/>
        </w:rPr>
      </w:pPr>
    </w:p>
    <w:p>
      <w:pPr>
        <w:ind w:right="240" w:firstLine="1154"/>
        <w:spacing w:after="0" w:line="251" w:lineRule="auto"/>
        <w:tabs>
          <w:tab w:leader="none" w:pos="1565"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 xml:space="preserve">Rental Value. </w:t>
      </w:r>
      <w:r>
        <w:rPr>
          <w:rFonts w:ascii="Arial" w:cs="Arial" w:eastAsia="Arial" w:hAnsi="Arial"/>
          <w:sz w:val="18"/>
          <w:szCs w:val="18"/>
          <w:color w:val="auto"/>
        </w:rPr>
        <w:t>The Insuring Party shall obtain and keep in force a policy or policies in the name of Lessor with loss</w:t>
      </w:r>
      <w:r>
        <w:rPr>
          <w:rFonts w:ascii="Arial" w:cs="Arial" w:eastAsia="Arial" w:hAnsi="Arial"/>
          <w:sz w:val="18"/>
          <w:szCs w:val="18"/>
          <w:b w:val="1"/>
          <w:bCs w:val="1"/>
          <w:color w:val="auto"/>
        </w:rPr>
        <w:t xml:space="preserve"> </w:t>
      </w:r>
      <w:r>
        <w:rPr>
          <w:rFonts w:ascii="Arial" w:cs="Arial" w:eastAsia="Arial" w:hAnsi="Arial"/>
          <w:sz w:val="18"/>
          <w:szCs w:val="18"/>
          <w:color w:val="auto"/>
        </w:rPr>
        <w:t>payable to Lessor and any Lender, insuring the loss of the full Rent for one year with an extended period of indemnity for an additional 180 days (“Rental Value insurance”). Said insurance shall contain an agreed valuation provision in lieu of any coinsurance clause, and the amount of coverage shall be adjusted annually to reflect the projected Rent otherwise payable by Lessee, for the next 12 month period. Lessee shall be liable for any deductible amount in the event of such loss.</w:t>
      </w:r>
    </w:p>
    <w:p>
      <w:pPr>
        <w:spacing w:after="0" w:line="173" w:lineRule="exact"/>
        <w:rPr>
          <w:rFonts w:ascii="Arial" w:cs="Arial" w:eastAsia="Arial" w:hAnsi="Arial"/>
          <w:sz w:val="18"/>
          <w:szCs w:val="18"/>
          <w:color w:val="auto"/>
        </w:rPr>
      </w:pPr>
    </w:p>
    <w:p>
      <w:pPr>
        <w:ind w:right="260" w:firstLine="1154"/>
        <w:spacing w:after="0" w:line="261" w:lineRule="auto"/>
        <w:tabs>
          <w:tab w:leader="none" w:pos="1555"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 xml:space="preserve">Adjacent Premises. </w:t>
      </w:r>
      <w:r>
        <w:rPr>
          <w:rFonts w:ascii="Arial" w:cs="Arial" w:eastAsia="Arial" w:hAnsi="Arial"/>
          <w:sz w:val="18"/>
          <w:szCs w:val="18"/>
          <w:color w:val="auto"/>
        </w:rPr>
        <w:t>If the Premises are part of a larger building, or of a group of buildings owned by Lessor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adjacent to the Premises, the Lessee shall pay for any increase in the premiums for the property insurance of such building or buildings if said increase is caused by Lessee’s acts, omissions, use or occupancy of the Premises.</w:t>
      </w:r>
    </w:p>
    <w:p>
      <w:pPr>
        <w:spacing w:after="0" w:line="270" w:lineRule="exact"/>
        <w:rPr>
          <w:sz w:val="20"/>
          <w:szCs w:val="20"/>
          <w:color w:val="auto"/>
        </w:rPr>
      </w:pPr>
    </w:p>
    <w:p>
      <w:pPr>
        <w:ind w:left="520"/>
        <w:spacing w:after="0"/>
        <w:tabs>
          <w:tab w:leader="none" w:pos="9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7"/>
          <w:szCs w:val="17"/>
          <w:b w:val="1"/>
          <w:bCs w:val="1"/>
          <w:color w:val="auto"/>
        </w:rPr>
        <w:t>Lessee’s Property; Business Interruption Insurance; Worker’s Compensation Insurance.</w:t>
      </w:r>
    </w:p>
    <w:p>
      <w:pPr>
        <w:spacing w:after="0" w:line="104" w:lineRule="exact"/>
        <w:rPr>
          <w:sz w:val="20"/>
          <w:szCs w:val="20"/>
          <w:color w:val="auto"/>
        </w:rPr>
      </w:pPr>
    </w:p>
    <w:p>
      <w:pPr>
        <w:ind w:right="120" w:firstLine="1154"/>
        <w:spacing w:after="0" w:line="261" w:lineRule="auto"/>
        <w:tabs>
          <w:tab w:leader="none" w:pos="1565"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 xml:space="preserve">Property Damage. </w:t>
      </w:r>
      <w:r>
        <w:rPr>
          <w:rFonts w:ascii="Arial" w:cs="Arial" w:eastAsia="Arial" w:hAnsi="Arial"/>
          <w:sz w:val="18"/>
          <w:szCs w:val="18"/>
          <w:color w:val="auto"/>
        </w:rPr>
        <w:t>Lessee shall obtain and maintain insurance coverage on all of Lessee’s personal property, Trade</w:t>
      </w:r>
      <w:r>
        <w:rPr>
          <w:rFonts w:ascii="Arial" w:cs="Arial" w:eastAsia="Arial" w:hAnsi="Arial"/>
          <w:sz w:val="18"/>
          <w:szCs w:val="18"/>
          <w:b w:val="1"/>
          <w:bCs w:val="1"/>
          <w:color w:val="auto"/>
        </w:rPr>
        <w:t xml:space="preserve"> </w:t>
      </w:r>
      <w:r>
        <w:rPr>
          <w:rFonts w:ascii="Arial" w:cs="Arial" w:eastAsia="Arial" w:hAnsi="Arial"/>
          <w:sz w:val="18"/>
          <w:szCs w:val="18"/>
          <w:color w:val="auto"/>
        </w:rPr>
        <w:t>Fixtures, and Lessee Owned Alterations and Utility Installations. Such insurance shall be full replacement cost coverage with a deductible of not to exceed $10,000.00 per occurrence. The proceeds from any such insurance shall</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INITIALS</w:t>
            </w:r>
          </w:p>
        </w:tc>
        <w:tc>
          <w:tcPr>
            <w:tcW w:w="3960" w:type="dxa"/>
            <w:vAlign w:val="bottom"/>
          </w:tcPr>
          <w:p>
            <w:pPr>
              <w:ind w:left="1460"/>
              <w:spacing w:after="0"/>
              <w:rPr>
                <w:sz w:val="20"/>
                <w:szCs w:val="20"/>
                <w:color w:val="auto"/>
              </w:rPr>
            </w:pPr>
            <w:r>
              <w:rPr>
                <w:rFonts w:ascii="Arial" w:cs="Arial" w:eastAsia="Arial" w:hAnsi="Arial"/>
                <w:sz w:val="18"/>
                <w:szCs w:val="18"/>
                <w:color w:val="auto"/>
              </w:rPr>
              <w:t>Page 10 of 28</w:t>
            </w:r>
          </w:p>
        </w:tc>
        <w:tc>
          <w:tcPr>
            <w:tcW w:w="3380" w:type="dxa"/>
            <w:vAlign w:val="bottom"/>
            <w:vMerge w:val="restart"/>
          </w:tcPr>
          <w:p>
            <w:pPr>
              <w:jc w:val="right"/>
              <w:spacing w:after="0"/>
              <w:rPr>
                <w:sz w:val="20"/>
                <w:szCs w:val="20"/>
                <w:color w:val="auto"/>
              </w:rPr>
            </w:pPr>
            <w:r>
              <w:rPr>
                <w:rFonts w:ascii="Arial" w:cs="Arial" w:eastAsia="Arial" w:hAnsi="Arial"/>
                <w:sz w:val="18"/>
                <w:szCs w:val="18"/>
                <w:color w:val="auto"/>
              </w:rPr>
              <w:t>INITIALS</w:t>
            </w:r>
          </w:p>
        </w:tc>
        <w:tc>
          <w:tcPr>
            <w:tcW w:w="0" w:type="dxa"/>
            <w:vAlign w:val="bottom"/>
          </w:tcPr>
          <w:p>
            <w:pPr>
              <w:spacing w:after="0"/>
              <w:rPr>
                <w:sz w:val="1"/>
                <w:szCs w:val="1"/>
                <w:color w:val="auto"/>
              </w:rPr>
            </w:pPr>
          </w:p>
        </w:tc>
      </w:tr>
      <w:tr>
        <w:trPr>
          <w:trHeight w:val="95"/>
        </w:trPr>
        <w:tc>
          <w:tcPr>
            <w:tcW w:w="3900" w:type="dxa"/>
            <w:vAlign w:val="bottom"/>
            <w:vMerge w:val="continue"/>
          </w:tcPr>
          <w:p>
            <w:pPr>
              <w:spacing w:after="0"/>
              <w:rPr>
                <w:sz w:val="8"/>
                <w:szCs w:val="8"/>
                <w:color w:val="auto"/>
              </w:rPr>
            </w:pPr>
          </w:p>
        </w:tc>
        <w:tc>
          <w:tcPr>
            <w:tcW w:w="3960" w:type="dxa"/>
            <w:vAlign w:val="bottom"/>
            <w:vMerge w:val="restart"/>
          </w:tcPr>
          <w:p>
            <w:pPr>
              <w:ind w:left="780"/>
              <w:spacing w:after="0"/>
              <w:rPr>
                <w:sz w:val="20"/>
                <w:szCs w:val="20"/>
                <w:color w:val="auto"/>
              </w:rPr>
            </w:pPr>
            <w:r>
              <w:rPr>
                <w:rFonts w:ascii="Arial" w:cs="Arial" w:eastAsia="Arial" w:hAnsi="Arial"/>
                <w:sz w:val="18"/>
                <w:szCs w:val="18"/>
                <w:color w:val="auto"/>
              </w:rPr>
              <w:t>Last Edited 2/7/2018 1:59 PM</w:t>
            </w:r>
          </w:p>
        </w:tc>
        <w:tc>
          <w:tcPr>
            <w:tcW w:w="3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 2017 AIR CRE. All Rights Reserved.</w:t>
            </w:r>
          </w:p>
        </w:tc>
        <w:tc>
          <w:tcPr>
            <w:tcW w:w="3960" w:type="dxa"/>
            <w:vAlign w:val="bottom"/>
            <w:vMerge w:val="continue"/>
          </w:tcPr>
          <w:p>
            <w:pPr>
              <w:spacing w:after="0"/>
              <w:rPr>
                <w:sz w:val="12"/>
                <w:szCs w:val="12"/>
                <w:color w:val="auto"/>
              </w:rPr>
            </w:pPr>
          </w:p>
        </w:tc>
        <w:tc>
          <w:tcPr>
            <w:tcW w:w="3380" w:type="dxa"/>
            <w:vAlign w:val="bottom"/>
            <w:vMerge w:val="restart"/>
          </w:tcPr>
          <w:p>
            <w:pPr>
              <w:jc w:val="right"/>
              <w:spacing w:after="0"/>
              <w:rPr>
                <w:sz w:val="20"/>
                <w:szCs w:val="20"/>
                <w:color w:val="auto"/>
              </w:rPr>
            </w:pPr>
            <w:r>
              <w:rPr>
                <w:rFonts w:ascii="Arial" w:cs="Arial" w:eastAsia="Arial" w:hAnsi="Arial"/>
                <w:sz w:val="18"/>
                <w:szCs w:val="18"/>
                <w:color w:val="auto"/>
              </w:rPr>
              <w:t>STN-27.10, Revised 11-01-2017</w:t>
            </w:r>
          </w:p>
        </w:tc>
        <w:tc>
          <w:tcPr>
            <w:tcW w:w="0" w:type="dxa"/>
            <w:vAlign w:val="bottom"/>
          </w:tcPr>
          <w:p>
            <w:pPr>
              <w:spacing w:after="0"/>
              <w:rPr>
                <w:sz w:val="1"/>
                <w:szCs w:val="1"/>
                <w:color w:val="auto"/>
              </w:rPr>
            </w:pPr>
          </w:p>
        </w:tc>
      </w:tr>
      <w:tr>
        <w:trPr>
          <w:trHeight w:val="94"/>
        </w:trPr>
        <w:tc>
          <w:tcPr>
            <w:tcW w:w="3900" w:type="dxa"/>
            <w:vAlign w:val="bottom"/>
            <w:vMerge w:val="continue"/>
          </w:tcPr>
          <w:p>
            <w:pPr>
              <w:spacing w:after="0"/>
              <w:rPr>
                <w:sz w:val="8"/>
                <w:szCs w:val="8"/>
                <w:color w:val="auto"/>
              </w:rPr>
            </w:pPr>
          </w:p>
        </w:tc>
        <w:tc>
          <w:tcPr>
            <w:tcW w:w="3960" w:type="dxa"/>
            <w:vAlign w:val="bottom"/>
          </w:tcPr>
          <w:p>
            <w:pPr>
              <w:spacing w:after="0"/>
              <w:rPr>
                <w:sz w:val="8"/>
                <w:szCs w:val="8"/>
                <w:color w:val="auto"/>
              </w:rPr>
            </w:pPr>
          </w:p>
        </w:tc>
        <w:tc>
          <w:tcPr>
            <w:tcW w:w="3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3900" w:type="dxa"/>
            <w:vAlign w:val="bottom"/>
            <w:tcBorders>
              <w:bottom w:val="single" w:sz="8" w:color="9A9A9A"/>
            </w:tcBorders>
          </w:tcPr>
          <w:p>
            <w:pPr>
              <w:spacing w:after="0"/>
              <w:rPr>
                <w:sz w:val="13"/>
                <w:szCs w:val="13"/>
                <w:color w:val="auto"/>
              </w:rPr>
            </w:pPr>
          </w:p>
        </w:tc>
        <w:tc>
          <w:tcPr>
            <w:tcW w:w="3960" w:type="dxa"/>
            <w:vAlign w:val="bottom"/>
            <w:tcBorders>
              <w:bottom w:val="single" w:sz="8" w:color="9A9A9A"/>
            </w:tcBorders>
          </w:tcPr>
          <w:p>
            <w:pPr>
              <w:spacing w:after="0"/>
              <w:rPr>
                <w:sz w:val="13"/>
                <w:szCs w:val="13"/>
                <w:color w:val="auto"/>
              </w:rPr>
            </w:pPr>
          </w:p>
        </w:tc>
        <w:tc>
          <w:tcPr>
            <w:tcW w:w="33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color w:val="auto"/>
        </w:rPr>
        <w:t>be used by Lessee for the replacement of personal property, Trade Fixtures and Lessee Owned Alterations and Utility Installations.</w:t>
      </w:r>
    </w:p>
    <w:p>
      <w:pPr>
        <w:spacing w:after="0" w:line="225" w:lineRule="exact"/>
        <w:rPr>
          <w:sz w:val="20"/>
          <w:szCs w:val="20"/>
          <w:color w:val="auto"/>
        </w:rPr>
      </w:pPr>
    </w:p>
    <w:p>
      <w:pPr>
        <w:jc w:val="both"/>
        <w:ind w:right="60" w:firstLine="1154"/>
        <w:spacing w:after="0" w:line="253" w:lineRule="auto"/>
        <w:tabs>
          <w:tab w:leader="none" w:pos="1565"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 xml:space="preserve">Business Interruption. </w:t>
      </w:r>
      <w:r>
        <w:rPr>
          <w:rFonts w:ascii="Arial" w:cs="Arial" w:eastAsia="Arial" w:hAnsi="Arial"/>
          <w:sz w:val="18"/>
          <w:szCs w:val="18"/>
          <w:color w:val="auto"/>
        </w:rPr>
        <w:t>Lessee shall obtain and maintain loss of income and extra expense insurance in amounts as will</w:t>
      </w:r>
      <w:r>
        <w:rPr>
          <w:rFonts w:ascii="Arial" w:cs="Arial" w:eastAsia="Arial" w:hAnsi="Arial"/>
          <w:sz w:val="18"/>
          <w:szCs w:val="18"/>
          <w:b w:val="1"/>
          <w:bCs w:val="1"/>
          <w:color w:val="auto"/>
        </w:rPr>
        <w:t xml:space="preserve"> </w:t>
      </w:r>
      <w:r>
        <w:rPr>
          <w:rFonts w:ascii="Arial" w:cs="Arial" w:eastAsia="Arial" w:hAnsi="Arial"/>
          <w:sz w:val="18"/>
          <w:szCs w:val="18"/>
          <w:color w:val="auto"/>
        </w:rPr>
        <w:t>reimburse Lessee for direct or indirect loss of earnings attributable to all perils commonly insured against by prudent lessees in the business of Lessee or attributable to prevention of access to the Premises as a result of such perils.</w:t>
      </w:r>
    </w:p>
    <w:p>
      <w:pPr>
        <w:spacing w:after="0" w:line="182" w:lineRule="exact"/>
        <w:rPr>
          <w:rFonts w:ascii="Arial" w:cs="Arial" w:eastAsia="Arial" w:hAnsi="Arial"/>
          <w:sz w:val="18"/>
          <w:szCs w:val="18"/>
          <w:color w:val="auto"/>
        </w:rPr>
      </w:pPr>
    </w:p>
    <w:p>
      <w:pPr>
        <w:ind w:right="440" w:firstLine="1154"/>
        <w:spacing w:after="0" w:line="275" w:lineRule="auto"/>
        <w:tabs>
          <w:tab w:leader="none" w:pos="1555" w:val="left"/>
        </w:tabs>
        <w:numPr>
          <w:ilvl w:val="0"/>
          <w:numId w:val="111"/>
        </w:numPr>
        <w:rPr>
          <w:rFonts w:ascii="Arial" w:cs="Arial" w:eastAsia="Arial" w:hAnsi="Arial"/>
          <w:sz w:val="17"/>
          <w:szCs w:val="17"/>
          <w:color w:val="auto"/>
        </w:rPr>
      </w:pPr>
      <w:r>
        <w:rPr>
          <w:rFonts w:ascii="Arial" w:cs="Arial" w:eastAsia="Arial" w:hAnsi="Arial"/>
          <w:sz w:val="17"/>
          <w:szCs w:val="17"/>
          <w:b w:val="1"/>
          <w:bCs w:val="1"/>
          <w:color w:val="auto"/>
        </w:rPr>
        <w:t xml:space="preserve">Worker’s Compensation Insurance. </w:t>
      </w:r>
      <w:r>
        <w:rPr>
          <w:rFonts w:ascii="Arial" w:cs="Arial" w:eastAsia="Arial" w:hAnsi="Arial"/>
          <w:sz w:val="17"/>
          <w:szCs w:val="17"/>
          <w:color w:val="auto"/>
        </w:rPr>
        <w:t>Lessee shall obtain and maintain Worker’s Compensation Insurance in such</w:t>
      </w:r>
      <w:r>
        <w:rPr>
          <w:rFonts w:ascii="Arial" w:cs="Arial" w:eastAsia="Arial" w:hAnsi="Arial"/>
          <w:sz w:val="17"/>
          <w:szCs w:val="17"/>
          <w:b w:val="1"/>
          <w:bCs w:val="1"/>
          <w:color w:val="auto"/>
        </w:rPr>
        <w:t xml:space="preserve"> </w:t>
      </w:r>
      <w:r>
        <w:rPr>
          <w:rFonts w:ascii="Arial" w:cs="Arial" w:eastAsia="Arial" w:hAnsi="Arial"/>
          <w:sz w:val="17"/>
          <w:szCs w:val="17"/>
          <w:color w:val="auto"/>
        </w:rPr>
        <w:t>amount as may be required by Applicable Requirements. Such policy shall include a ‘Waiver of Subrogation’ endorsement. Lessee shall provide Lessor with a copy of such endorsement along with the certificate of insurance or copy of the policy required by paragraph 8.5.</w:t>
      </w:r>
    </w:p>
    <w:p>
      <w:pPr>
        <w:spacing w:after="0" w:line="165" w:lineRule="exact"/>
        <w:rPr>
          <w:rFonts w:ascii="Arial" w:cs="Arial" w:eastAsia="Arial" w:hAnsi="Arial"/>
          <w:sz w:val="17"/>
          <w:szCs w:val="17"/>
          <w:color w:val="auto"/>
        </w:rPr>
      </w:pPr>
    </w:p>
    <w:p>
      <w:pPr>
        <w:ind w:right="420" w:firstLine="1154"/>
        <w:spacing w:after="0" w:line="271" w:lineRule="auto"/>
        <w:tabs>
          <w:tab w:leader="none" w:pos="1565"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 xml:space="preserve">No Representation of Adequate Coverage. </w:t>
      </w:r>
      <w:r>
        <w:rPr>
          <w:rFonts w:ascii="Arial" w:cs="Arial" w:eastAsia="Arial" w:hAnsi="Arial"/>
          <w:sz w:val="18"/>
          <w:szCs w:val="18"/>
          <w:color w:val="auto"/>
        </w:rPr>
        <w:t>Lessor makes no representation that the limits or forms of coverage of</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 specified herein are adequate to cover Lessee’s property, business operations or obligations under this Lease.</w:t>
      </w:r>
    </w:p>
    <w:p>
      <w:pPr>
        <w:spacing w:after="0" w:line="154"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b w:val="1"/>
          <w:bCs w:val="1"/>
          <w:color w:val="auto"/>
        </w:rPr>
        <w:t>Insurance Policies.</w:t>
      </w:r>
      <w:r>
        <w:rPr>
          <w:rFonts w:ascii="Arial" w:cs="Arial" w:eastAsia="Arial" w:hAnsi="Arial"/>
          <w:sz w:val="18"/>
          <w:szCs w:val="18"/>
          <w:color w:val="auto"/>
        </w:rPr>
        <w:t xml:space="preserve"> Insurance required herein shall be by companies maintaining during the policy term a “General Policyholders Rating” of at least A-, VII, as set forth in the most current issue of “Best’s Insurance Guide”, or such other rating as may be required by a Lender. Lessee shall not do or permit to be done anything which invalidates the required insurance policies. Lessee shall, prior to the Start Date, deliver to Lessor certified copies of policies of such insurance or certificates with copies of the required endorsements evidencing the existence and amounts of the required insurance. No such policy shall be cancelable or subject to modification except after 30 days prior written notice to Lessor. Lessee shall, at least 10 days prior to the expiration of such policies, furnish Lessor with evidence of renewals or “insurance binders” evidencing renewal thereof, or Lessor may increase his liability insurance coverage and charge the cost thereof to Lessee, which amount shall be payable by Lessee to Lessor upon demand. Such policies shall be for a term of at least one year, or the length of the remaining term of this Lease, whichever is less. If either Party shall fail to procure and maintain the insurance required to be carried by it, the other Party may, but shall not be required to, procure and maintain the same.</w:t>
      </w:r>
    </w:p>
    <w:p>
      <w:pPr>
        <w:spacing w:after="0" w:line="177"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b w:val="1"/>
          <w:bCs w:val="1"/>
          <w:color w:val="auto"/>
        </w:rPr>
        <w:t>Waiver of Subrogation.</w:t>
      </w:r>
      <w:r>
        <w:rPr>
          <w:rFonts w:ascii="Arial" w:cs="Arial" w:eastAsia="Arial" w:hAnsi="Arial"/>
          <w:sz w:val="18"/>
          <w:szCs w:val="18"/>
          <w:color w:val="auto"/>
        </w:rPr>
        <w:t xml:space="preserve"> Without affecting any other rights or remedies, Lessee and Lessor each hereby release and relieve the other, and waive their entire right to recover damages against the other, for loss of or damage to its property arising out of or incident to the perils required to be insured against herein. The effect of such releases and waivers is not limited by the amount of insurance carried or required, or by any deductibles applicable hereto. The Parties agree to have their respective property damage insurance carriers waive any right to subrogation that such companies may have against Lessor or Lessee, as the case may be, so long as the insurance is not invalidated thereby.</w:t>
      </w:r>
    </w:p>
    <w:p>
      <w:pPr>
        <w:spacing w:after="0" w:line="175"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b w:val="1"/>
          <w:bCs w:val="1"/>
          <w:color w:val="auto"/>
        </w:rPr>
        <w:t>Indemnity.</w:t>
      </w:r>
      <w:r>
        <w:rPr>
          <w:rFonts w:ascii="Arial" w:cs="Arial" w:eastAsia="Arial" w:hAnsi="Arial"/>
          <w:sz w:val="18"/>
          <w:szCs w:val="18"/>
          <w:color w:val="auto"/>
        </w:rPr>
        <w:t xml:space="preserve"> Except for Lessor’s gross negligence or willful misconduct, or any claim relating to hazardous Or toxic materials except to the extent such claim arises out of a breach by Lessee, Lessee shall indemnify, protect, defend and hold harmless the Premises, Lessor and its agents, Lessor’s master or ground lessor, partners and Lenders, from and against any and all claims, loss of rents and/or damages, liens, judgments, penalties, attorneys’ and consultants’ fees, expenses and/or liabilities arising out of, involving, or in connection with, a Breach of the Lease by Lessee and/or the use and/or occupancy of the Premises and/or Project by Lessee and/or by Lessee’s employees, contractors or invitees. If any action or proceeding is brought against Lessor by reason of any of the foregoing matters, Lessee shall upon notice defend the same at Lessee’s expense by counsel reasonably satisfactory to Lessor and Lessor shall cooperate with Lessee in such defense. Lessor need not have first paid any such claim in order to be defended or indemnified. Except for Lessee’s gross negligence or willful misconduct or any claim relating to hazardous or toxic materials to the extent such claim arises out of a breach by Lessee, Lessor shall indemnify, protect, defend, and hold harmless Lessee and its agents, Lessee’s master or ground lessee, partners and Lenders, from and against any and all claims, loss of rents and/or damages, liens, judgments, penalties, attorneys’ and consultants’ fees, expenses and/or liabilities arising out of, involving, or in connection with, a Breach of the Lease by Lessor and/or the use and/or occupancy’ of the Premises and/or Project by’ Lessor and/or by Lessor’s employees, contractors or invitees. If any’ action or proceeding is brought against Lessee by reason of any of the foregoing matters, Lessor shall upon notice defend the same at Lessor’s expense by’ counsel reasonably’ satisfactory to Lessee and Lessee shall cooperate with Lessor in such defense. Lessee need not have first paid any such claim in order to be defended or indemnified.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INITIALS</w:t>
            </w:r>
          </w:p>
        </w:tc>
        <w:tc>
          <w:tcPr>
            <w:tcW w:w="3960" w:type="dxa"/>
            <w:vAlign w:val="bottom"/>
          </w:tcPr>
          <w:p>
            <w:pPr>
              <w:ind w:left="1460"/>
              <w:spacing w:after="0"/>
              <w:rPr>
                <w:sz w:val="20"/>
                <w:szCs w:val="20"/>
                <w:color w:val="auto"/>
              </w:rPr>
            </w:pPr>
            <w:r>
              <w:rPr>
                <w:rFonts w:ascii="Arial" w:cs="Arial" w:eastAsia="Arial" w:hAnsi="Arial"/>
                <w:sz w:val="18"/>
                <w:szCs w:val="18"/>
                <w:color w:val="auto"/>
              </w:rPr>
              <w:t>Page 11 of 28</w:t>
            </w:r>
          </w:p>
        </w:tc>
        <w:tc>
          <w:tcPr>
            <w:tcW w:w="3380" w:type="dxa"/>
            <w:vAlign w:val="bottom"/>
            <w:vMerge w:val="restart"/>
          </w:tcPr>
          <w:p>
            <w:pPr>
              <w:jc w:val="right"/>
              <w:spacing w:after="0"/>
              <w:rPr>
                <w:sz w:val="20"/>
                <w:szCs w:val="20"/>
                <w:color w:val="auto"/>
              </w:rPr>
            </w:pPr>
            <w:r>
              <w:rPr>
                <w:rFonts w:ascii="Arial" w:cs="Arial" w:eastAsia="Arial" w:hAnsi="Arial"/>
                <w:sz w:val="18"/>
                <w:szCs w:val="18"/>
                <w:color w:val="auto"/>
              </w:rPr>
              <w:t>INITIALS</w:t>
            </w:r>
          </w:p>
        </w:tc>
        <w:tc>
          <w:tcPr>
            <w:tcW w:w="0" w:type="dxa"/>
            <w:vAlign w:val="bottom"/>
          </w:tcPr>
          <w:p>
            <w:pPr>
              <w:spacing w:after="0"/>
              <w:rPr>
                <w:sz w:val="1"/>
                <w:szCs w:val="1"/>
                <w:color w:val="auto"/>
              </w:rPr>
            </w:pPr>
          </w:p>
        </w:tc>
      </w:tr>
      <w:tr>
        <w:trPr>
          <w:trHeight w:val="95"/>
        </w:trPr>
        <w:tc>
          <w:tcPr>
            <w:tcW w:w="3900" w:type="dxa"/>
            <w:vAlign w:val="bottom"/>
            <w:vMerge w:val="continue"/>
          </w:tcPr>
          <w:p>
            <w:pPr>
              <w:spacing w:after="0"/>
              <w:rPr>
                <w:sz w:val="8"/>
                <w:szCs w:val="8"/>
                <w:color w:val="auto"/>
              </w:rPr>
            </w:pPr>
          </w:p>
        </w:tc>
        <w:tc>
          <w:tcPr>
            <w:tcW w:w="3960" w:type="dxa"/>
            <w:vAlign w:val="bottom"/>
            <w:vMerge w:val="restart"/>
          </w:tcPr>
          <w:p>
            <w:pPr>
              <w:ind w:left="780"/>
              <w:spacing w:after="0"/>
              <w:rPr>
                <w:sz w:val="20"/>
                <w:szCs w:val="20"/>
                <w:color w:val="auto"/>
              </w:rPr>
            </w:pPr>
            <w:r>
              <w:rPr>
                <w:rFonts w:ascii="Arial" w:cs="Arial" w:eastAsia="Arial" w:hAnsi="Arial"/>
                <w:sz w:val="18"/>
                <w:szCs w:val="18"/>
                <w:color w:val="auto"/>
              </w:rPr>
              <w:t>Last Edited 2/7/2018 1:59 PM</w:t>
            </w:r>
          </w:p>
        </w:tc>
        <w:tc>
          <w:tcPr>
            <w:tcW w:w="3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 2017 AIR CRE. All Rights Reserved.</w:t>
            </w:r>
          </w:p>
        </w:tc>
        <w:tc>
          <w:tcPr>
            <w:tcW w:w="3960" w:type="dxa"/>
            <w:vAlign w:val="bottom"/>
            <w:vMerge w:val="continue"/>
          </w:tcPr>
          <w:p>
            <w:pPr>
              <w:spacing w:after="0"/>
              <w:rPr>
                <w:sz w:val="12"/>
                <w:szCs w:val="12"/>
                <w:color w:val="auto"/>
              </w:rPr>
            </w:pPr>
          </w:p>
        </w:tc>
        <w:tc>
          <w:tcPr>
            <w:tcW w:w="3380" w:type="dxa"/>
            <w:vAlign w:val="bottom"/>
            <w:vMerge w:val="restart"/>
          </w:tcPr>
          <w:p>
            <w:pPr>
              <w:jc w:val="right"/>
              <w:spacing w:after="0"/>
              <w:rPr>
                <w:sz w:val="20"/>
                <w:szCs w:val="20"/>
                <w:color w:val="auto"/>
              </w:rPr>
            </w:pPr>
            <w:r>
              <w:rPr>
                <w:rFonts w:ascii="Arial" w:cs="Arial" w:eastAsia="Arial" w:hAnsi="Arial"/>
                <w:sz w:val="18"/>
                <w:szCs w:val="18"/>
                <w:color w:val="auto"/>
              </w:rPr>
              <w:t>STN-27.10, Revised 11-01-2017</w:t>
            </w:r>
          </w:p>
        </w:tc>
        <w:tc>
          <w:tcPr>
            <w:tcW w:w="0" w:type="dxa"/>
            <w:vAlign w:val="bottom"/>
          </w:tcPr>
          <w:p>
            <w:pPr>
              <w:spacing w:after="0"/>
              <w:rPr>
                <w:sz w:val="1"/>
                <w:szCs w:val="1"/>
                <w:color w:val="auto"/>
              </w:rPr>
            </w:pPr>
          </w:p>
        </w:tc>
      </w:tr>
      <w:tr>
        <w:trPr>
          <w:trHeight w:val="95"/>
        </w:trPr>
        <w:tc>
          <w:tcPr>
            <w:tcW w:w="3900" w:type="dxa"/>
            <w:vAlign w:val="bottom"/>
            <w:vMerge w:val="continue"/>
          </w:tcPr>
          <w:p>
            <w:pPr>
              <w:spacing w:after="0"/>
              <w:rPr>
                <w:sz w:val="8"/>
                <w:szCs w:val="8"/>
                <w:color w:val="auto"/>
              </w:rPr>
            </w:pPr>
          </w:p>
        </w:tc>
        <w:tc>
          <w:tcPr>
            <w:tcW w:w="3960" w:type="dxa"/>
            <w:vAlign w:val="bottom"/>
          </w:tcPr>
          <w:p>
            <w:pPr>
              <w:spacing w:after="0"/>
              <w:rPr>
                <w:sz w:val="8"/>
                <w:szCs w:val="8"/>
                <w:color w:val="auto"/>
              </w:rPr>
            </w:pPr>
          </w:p>
        </w:tc>
        <w:tc>
          <w:tcPr>
            <w:tcW w:w="3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3900" w:type="dxa"/>
            <w:vAlign w:val="bottom"/>
            <w:tcBorders>
              <w:bottom w:val="single" w:sz="8" w:color="9A9A9A"/>
            </w:tcBorders>
          </w:tcPr>
          <w:p>
            <w:pPr>
              <w:spacing w:after="0"/>
              <w:rPr>
                <w:sz w:val="13"/>
                <w:szCs w:val="13"/>
                <w:color w:val="auto"/>
              </w:rPr>
            </w:pPr>
          </w:p>
        </w:tc>
        <w:tc>
          <w:tcPr>
            <w:tcW w:w="3960" w:type="dxa"/>
            <w:vAlign w:val="bottom"/>
            <w:tcBorders>
              <w:bottom w:val="single" w:sz="8" w:color="9A9A9A"/>
            </w:tcBorders>
          </w:tcPr>
          <w:p>
            <w:pPr>
              <w:spacing w:after="0"/>
              <w:rPr>
                <w:sz w:val="13"/>
                <w:szCs w:val="13"/>
                <w:color w:val="auto"/>
              </w:rPr>
            </w:pPr>
          </w:p>
        </w:tc>
        <w:tc>
          <w:tcPr>
            <w:tcW w:w="33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30" w:name="page131"/>
    <w:bookmarkEnd w:id="130"/>
    <w:p>
      <w:pPr>
        <w:ind w:right="40" w:firstLine="509"/>
        <w:spacing w:after="0" w:line="260" w:lineRule="auto"/>
        <w:rPr>
          <w:sz w:val="20"/>
          <w:szCs w:val="20"/>
          <w:color w:val="auto"/>
        </w:rPr>
      </w:pPr>
      <w:r>
        <w:rPr>
          <w:rFonts w:ascii="Arial" w:cs="Arial" w:eastAsia="Arial" w:hAnsi="Arial"/>
          <w:sz w:val="17"/>
          <w:szCs w:val="17"/>
          <w:color w:val="auto"/>
        </w:rPr>
        <w:t xml:space="preserve">8.8 </w:t>
      </w:r>
      <w:r>
        <w:rPr>
          <w:rFonts w:ascii="Arial" w:cs="Arial" w:eastAsia="Arial" w:hAnsi="Arial"/>
          <w:sz w:val="17"/>
          <w:szCs w:val="17"/>
          <w:b w:val="1"/>
          <w:bCs w:val="1"/>
          <w:color w:val="auto"/>
        </w:rPr>
        <w:t>Exemption of Lessor and its Agents from Liability.</w:t>
      </w:r>
      <w:r>
        <w:rPr>
          <w:rFonts w:ascii="Arial" w:cs="Arial" w:eastAsia="Arial" w:hAnsi="Arial"/>
          <w:sz w:val="17"/>
          <w:szCs w:val="17"/>
          <w:color w:val="auto"/>
        </w:rPr>
        <w:t xml:space="preserve"> Notwithstanding the negligence or breach of this Lease by Lessor or its agents, neither Lessor nor its agents shall be liable under any circumstances for: (i) injury or damage to the person or goods, wares, merchandise or other property of Lessee, Lessee’s employees, contractors, invitees, customers, or any other person in or about the Premises, whether such damage or injury is caused by or results from fire, steam, electricity, gas, water or rain, indoor air quality, the presence of mold or from the breakage, leakage, obstruction or other defects of pipes, fire sprinklers, wires, appliances, plumbing, HVAC or lighting fixtures, or from any other cause, whether the said injury or damage results from conditions arising upon the Premises or upon other portions of the building of which the Premises are a part, or from other sources or places, (ii) any damages arising from any act or neglect of any other tenant of Lessor or from the failure of Lessor or its agents to enforce the provisions of any other lease in the Project, or (iii) injury to Lessee’s business or for any loss of income or profit therefrom. Instead, it is intended that Lessee’s sole recourse in the event of such damages or injury be to file a claim on the insurance policy(ies) that Lessee is required to maintain pursuant to the provisions of paragraph 8.</w:t>
      </w:r>
    </w:p>
    <w:p>
      <w:pPr>
        <w:spacing w:after="0" w:line="177"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b w:val="1"/>
          <w:bCs w:val="1"/>
          <w:color w:val="auto"/>
        </w:rPr>
        <w:t>Failure to Provide Insurance.</w:t>
      </w:r>
      <w:r>
        <w:rPr>
          <w:rFonts w:ascii="Arial" w:cs="Arial" w:eastAsia="Arial" w:hAnsi="Arial"/>
          <w:sz w:val="18"/>
          <w:szCs w:val="18"/>
          <w:color w:val="auto"/>
        </w:rPr>
        <w:t xml:space="preserve"> Lessee acknowledges that any failure on its part to obtain or maintain the insurance required herein will expose Lessor to risks and potentially cause Lessor to incur costs not contemplated by this Lease, the extent of which will be extremely difficult to ascertain. Accordingly, for any month or portion thereof that Lessee does not maintain the required insurance and/or does not provide Lessor with the required binders or certificates evidencing the existence of the required insurance, the Base Rent shall be automatically increased, without any requirement for notice to Lessee, by an amount equal to 10% of the then existing Base Rent or $100. whichever is greater. The parties agree that such increase in Base Rent represents fair and reasonable compensation for the additional risk/costs that Lessor will incur by reason of Lessee’s failure to maintain the required insurance. Such increase in Base Rent shall in no event constitute a waiver of Lessee’s Default or Breach with respect to the failure to maintain such insurance, prevent the exercise of any of the other rights and remedies granted hereunder, nor relieve Lessee of its obligation to maintain the insurance specified in this Lease.</w:t>
      </w:r>
    </w:p>
    <w:p>
      <w:pPr>
        <w:spacing w:after="0" w:line="287" w:lineRule="exact"/>
        <w:rPr>
          <w:sz w:val="20"/>
          <w:szCs w:val="20"/>
          <w:color w:val="auto"/>
        </w:rPr>
      </w:pPr>
    </w:p>
    <w:p>
      <w:pPr>
        <w:ind w:left="520" w:right="8860" w:hanging="512"/>
        <w:spacing w:after="0" w:line="389" w:lineRule="auto"/>
        <w:tabs>
          <w:tab w:leader="none" w:pos="361" w:val="left"/>
        </w:tabs>
        <w:numPr>
          <w:ilvl w:val="0"/>
          <w:numId w:val="11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Damage or Destruction. </w:t>
      </w:r>
      <w:r>
        <w:rPr>
          <w:rFonts w:ascii="Arial" w:cs="Arial" w:eastAsia="Arial" w:hAnsi="Arial"/>
          <w:sz w:val="17"/>
          <w:szCs w:val="17"/>
          <w:color w:val="auto"/>
        </w:rPr>
        <w:t xml:space="preserve">9.1 </w:t>
      </w:r>
      <w:r>
        <w:rPr>
          <w:rFonts w:ascii="Arial" w:cs="Arial" w:eastAsia="Arial" w:hAnsi="Arial"/>
          <w:sz w:val="17"/>
          <w:szCs w:val="17"/>
          <w:b w:val="1"/>
          <w:bCs w:val="1"/>
          <w:color w:val="auto"/>
        </w:rPr>
        <w:t>Definitions.</w:t>
      </w:r>
    </w:p>
    <w:p>
      <w:pPr>
        <w:ind w:firstLine="1154"/>
        <w:spacing w:after="0" w:line="252" w:lineRule="auto"/>
        <w:tabs>
          <w:tab w:leader="none" w:pos="1565" w:val="left"/>
        </w:tabs>
        <w:numPr>
          <w:ilvl w:val="1"/>
          <w:numId w:val="112"/>
        </w:numPr>
        <w:rPr>
          <w:rFonts w:ascii="Arial" w:cs="Arial" w:eastAsia="Arial" w:hAnsi="Arial"/>
          <w:sz w:val="18"/>
          <w:szCs w:val="18"/>
          <w:color w:val="auto"/>
        </w:rPr>
      </w:pPr>
      <w:r>
        <w:rPr>
          <w:rFonts w:ascii="Arial" w:cs="Arial" w:eastAsia="Arial" w:hAnsi="Arial"/>
          <w:sz w:val="18"/>
          <w:szCs w:val="18"/>
          <w:b w:val="1"/>
          <w:bCs w:val="1"/>
          <w:color w:val="auto"/>
        </w:rPr>
        <w:t xml:space="preserve">“Premises Partial Damage” </w:t>
      </w:r>
      <w:r>
        <w:rPr>
          <w:rFonts w:ascii="Arial" w:cs="Arial" w:eastAsia="Arial" w:hAnsi="Arial"/>
          <w:sz w:val="18"/>
          <w:szCs w:val="18"/>
          <w:color w:val="auto"/>
        </w:rPr>
        <w:t>shall mean damage or destruction to the improvements on the Premises, other than Lessee</w:t>
      </w:r>
      <w:r>
        <w:rPr>
          <w:rFonts w:ascii="Arial" w:cs="Arial" w:eastAsia="Arial" w:hAnsi="Arial"/>
          <w:sz w:val="18"/>
          <w:szCs w:val="18"/>
          <w:b w:val="1"/>
          <w:bCs w:val="1"/>
          <w:color w:val="auto"/>
        </w:rPr>
        <w:t xml:space="preserve"> </w:t>
      </w:r>
      <w:r>
        <w:rPr>
          <w:rFonts w:ascii="Arial" w:cs="Arial" w:eastAsia="Arial" w:hAnsi="Arial"/>
          <w:sz w:val="18"/>
          <w:szCs w:val="18"/>
          <w:color w:val="auto"/>
        </w:rPr>
        <w:t>Owned Alterations and Utility Installations, which can reasonably be repaired in 6 months or less from the date of the damage or destruction. Lessor shall notify Lessee in writing within 30 days from the date of the damage or destruction as to whether or not the damage is Partial or Total.</w:t>
      </w:r>
    </w:p>
    <w:p>
      <w:pPr>
        <w:spacing w:after="0" w:line="170" w:lineRule="exact"/>
        <w:rPr>
          <w:rFonts w:ascii="Arial" w:cs="Arial" w:eastAsia="Arial" w:hAnsi="Arial"/>
          <w:sz w:val="18"/>
          <w:szCs w:val="18"/>
          <w:color w:val="auto"/>
        </w:rPr>
      </w:pPr>
    </w:p>
    <w:p>
      <w:pPr>
        <w:ind w:right="40" w:firstLine="1154"/>
        <w:spacing w:after="0" w:line="252" w:lineRule="auto"/>
        <w:tabs>
          <w:tab w:leader="none" w:pos="1565" w:val="left"/>
        </w:tabs>
        <w:numPr>
          <w:ilvl w:val="1"/>
          <w:numId w:val="112"/>
        </w:numPr>
        <w:rPr>
          <w:rFonts w:ascii="Arial" w:cs="Arial" w:eastAsia="Arial" w:hAnsi="Arial"/>
          <w:sz w:val="18"/>
          <w:szCs w:val="18"/>
          <w:color w:val="auto"/>
        </w:rPr>
      </w:pPr>
      <w:r>
        <w:rPr>
          <w:rFonts w:ascii="Arial" w:cs="Arial" w:eastAsia="Arial" w:hAnsi="Arial"/>
          <w:sz w:val="18"/>
          <w:szCs w:val="18"/>
          <w:b w:val="1"/>
          <w:bCs w:val="1"/>
          <w:color w:val="auto"/>
        </w:rPr>
        <w:t xml:space="preserve">“Premises Total Destruction” </w:t>
      </w:r>
      <w:r>
        <w:rPr>
          <w:rFonts w:ascii="Arial" w:cs="Arial" w:eastAsia="Arial" w:hAnsi="Arial"/>
          <w:sz w:val="18"/>
          <w:szCs w:val="18"/>
          <w:color w:val="auto"/>
        </w:rPr>
        <w:t>shall mean damage or destruction to the Premises, other than Lessee Owned Alterations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Utility Installations and Trade Fixtures, which cannot reasonably be repaired in 6 months or less from the date of the damage or destruction. Lessor shall notify Lessee in writing within 30 days from the date of the damage or destruction as to whether or not the damage is Partial or Total.</w:t>
      </w:r>
    </w:p>
    <w:p>
      <w:pPr>
        <w:spacing w:after="0" w:line="170" w:lineRule="exact"/>
        <w:rPr>
          <w:rFonts w:ascii="Arial" w:cs="Arial" w:eastAsia="Arial" w:hAnsi="Arial"/>
          <w:sz w:val="18"/>
          <w:szCs w:val="18"/>
          <w:color w:val="auto"/>
        </w:rPr>
      </w:pPr>
    </w:p>
    <w:p>
      <w:pPr>
        <w:ind w:right="200" w:firstLine="1154"/>
        <w:spacing w:after="0" w:line="261" w:lineRule="auto"/>
        <w:tabs>
          <w:tab w:leader="none" w:pos="1555" w:val="left"/>
        </w:tabs>
        <w:numPr>
          <w:ilvl w:val="1"/>
          <w:numId w:val="112"/>
        </w:numPr>
        <w:rPr>
          <w:rFonts w:ascii="Arial" w:cs="Arial" w:eastAsia="Arial" w:hAnsi="Arial"/>
          <w:sz w:val="18"/>
          <w:szCs w:val="18"/>
          <w:color w:val="auto"/>
        </w:rPr>
      </w:pPr>
      <w:r>
        <w:rPr>
          <w:rFonts w:ascii="Arial" w:cs="Arial" w:eastAsia="Arial" w:hAnsi="Arial"/>
          <w:sz w:val="18"/>
          <w:szCs w:val="18"/>
          <w:b w:val="1"/>
          <w:bCs w:val="1"/>
          <w:color w:val="auto"/>
        </w:rPr>
        <w:t xml:space="preserve">“Insured Loss” </w:t>
      </w:r>
      <w:r>
        <w:rPr>
          <w:rFonts w:ascii="Arial" w:cs="Arial" w:eastAsia="Arial" w:hAnsi="Arial"/>
          <w:sz w:val="18"/>
          <w:szCs w:val="18"/>
          <w:color w:val="auto"/>
        </w:rPr>
        <w:t>shall mean damage or destruction to improvements on the Premises, other than Lessee Owned</w:t>
      </w:r>
      <w:r>
        <w:rPr>
          <w:rFonts w:ascii="Arial" w:cs="Arial" w:eastAsia="Arial" w:hAnsi="Arial"/>
          <w:sz w:val="18"/>
          <w:szCs w:val="18"/>
          <w:b w:val="1"/>
          <w:bCs w:val="1"/>
          <w:color w:val="auto"/>
        </w:rPr>
        <w:t xml:space="preserve"> </w:t>
      </w:r>
      <w:r>
        <w:rPr>
          <w:rFonts w:ascii="Arial" w:cs="Arial" w:eastAsia="Arial" w:hAnsi="Arial"/>
          <w:sz w:val="18"/>
          <w:szCs w:val="18"/>
          <w:color w:val="auto"/>
        </w:rPr>
        <w:t>Alterations and Utility Installations and Trade Fixtures, which was caused by an event required to be covered by the insurance described in Paragraph 8.3(a), irrespective of any deductible amounts or coverage limits involved.</w:t>
      </w:r>
    </w:p>
    <w:p>
      <w:pPr>
        <w:spacing w:after="0" w:line="161" w:lineRule="exact"/>
        <w:rPr>
          <w:rFonts w:ascii="Arial" w:cs="Arial" w:eastAsia="Arial" w:hAnsi="Arial"/>
          <w:sz w:val="18"/>
          <w:szCs w:val="18"/>
          <w:color w:val="auto"/>
        </w:rPr>
      </w:pPr>
    </w:p>
    <w:p>
      <w:pPr>
        <w:ind w:right="80" w:firstLine="1154"/>
        <w:spacing w:after="0" w:line="253" w:lineRule="auto"/>
        <w:tabs>
          <w:tab w:leader="none" w:pos="1565" w:val="left"/>
        </w:tabs>
        <w:numPr>
          <w:ilvl w:val="1"/>
          <w:numId w:val="112"/>
        </w:numPr>
        <w:rPr>
          <w:rFonts w:ascii="Arial" w:cs="Arial" w:eastAsia="Arial" w:hAnsi="Arial"/>
          <w:sz w:val="18"/>
          <w:szCs w:val="18"/>
          <w:color w:val="auto"/>
        </w:rPr>
      </w:pPr>
      <w:r>
        <w:rPr>
          <w:rFonts w:ascii="Arial" w:cs="Arial" w:eastAsia="Arial" w:hAnsi="Arial"/>
          <w:sz w:val="18"/>
          <w:szCs w:val="18"/>
          <w:b w:val="1"/>
          <w:bCs w:val="1"/>
          <w:color w:val="auto"/>
        </w:rPr>
        <w:t xml:space="preserve">“Replacement Cost” </w:t>
      </w:r>
      <w:r>
        <w:rPr>
          <w:rFonts w:ascii="Arial" w:cs="Arial" w:eastAsia="Arial" w:hAnsi="Arial"/>
          <w:sz w:val="18"/>
          <w:szCs w:val="18"/>
          <w:color w:val="auto"/>
        </w:rPr>
        <w:t>shall mean the cost to repair or rebuild the improvements owned by Lessor at the time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occurrence to their condition existing immediately prior thereto, including demolition, debris removal and upgrading required by the operation of Applicable Requirements, and without deduction for depreciation.</w:t>
      </w:r>
    </w:p>
    <w:p>
      <w:pPr>
        <w:spacing w:after="0" w:line="182" w:lineRule="exact"/>
        <w:rPr>
          <w:rFonts w:ascii="Arial" w:cs="Arial" w:eastAsia="Arial" w:hAnsi="Arial"/>
          <w:sz w:val="18"/>
          <w:szCs w:val="18"/>
          <w:color w:val="auto"/>
        </w:rPr>
      </w:pPr>
    </w:p>
    <w:p>
      <w:pPr>
        <w:ind w:right="120" w:firstLine="1154"/>
        <w:spacing w:after="0" w:line="271" w:lineRule="auto"/>
        <w:tabs>
          <w:tab w:leader="none" w:pos="1565" w:val="left"/>
        </w:tabs>
        <w:numPr>
          <w:ilvl w:val="1"/>
          <w:numId w:val="112"/>
        </w:numPr>
        <w:rPr>
          <w:rFonts w:ascii="Arial" w:cs="Arial" w:eastAsia="Arial" w:hAnsi="Arial"/>
          <w:sz w:val="18"/>
          <w:szCs w:val="18"/>
          <w:color w:val="auto"/>
        </w:rPr>
      </w:pPr>
      <w:r>
        <w:rPr>
          <w:rFonts w:ascii="Arial" w:cs="Arial" w:eastAsia="Arial" w:hAnsi="Arial"/>
          <w:sz w:val="18"/>
          <w:szCs w:val="18"/>
          <w:b w:val="1"/>
          <w:bCs w:val="1"/>
          <w:color w:val="auto"/>
        </w:rPr>
        <w:t xml:space="preserve">“Hazardous Substance Condition” </w:t>
      </w:r>
      <w:r>
        <w:rPr>
          <w:rFonts w:ascii="Arial" w:cs="Arial" w:eastAsia="Arial" w:hAnsi="Arial"/>
          <w:sz w:val="18"/>
          <w:szCs w:val="18"/>
          <w:color w:val="auto"/>
        </w:rPr>
        <w:t>shall mean the occurrence or discovery of a condition involving the presence of, or</w:t>
      </w:r>
      <w:r>
        <w:rPr>
          <w:rFonts w:ascii="Arial" w:cs="Arial" w:eastAsia="Arial" w:hAnsi="Arial"/>
          <w:sz w:val="18"/>
          <w:szCs w:val="18"/>
          <w:b w:val="1"/>
          <w:bCs w:val="1"/>
          <w:color w:val="auto"/>
        </w:rPr>
        <w:t xml:space="preserve"> </w:t>
      </w:r>
      <w:r>
        <w:rPr>
          <w:rFonts w:ascii="Arial" w:cs="Arial" w:eastAsia="Arial" w:hAnsi="Arial"/>
          <w:sz w:val="18"/>
          <w:szCs w:val="18"/>
          <w:color w:val="auto"/>
        </w:rPr>
        <w:t>a contamination by, a Hazardous Substance, in, on, or under the Premises which requires restoration.</w:t>
      </w:r>
    </w:p>
    <w:p>
      <w:pPr>
        <w:spacing w:after="0" w:line="154"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b w:val="1"/>
          <w:bCs w:val="1"/>
          <w:color w:val="auto"/>
        </w:rPr>
        <w:t>Partial Damage - Insured Loss.</w:t>
      </w:r>
      <w:r>
        <w:rPr>
          <w:rFonts w:ascii="Arial" w:cs="Arial" w:eastAsia="Arial" w:hAnsi="Arial"/>
          <w:sz w:val="18"/>
          <w:szCs w:val="18"/>
          <w:color w:val="auto"/>
        </w:rPr>
        <w:t xml:space="preserve"> If a Premises Partial Damage that is an Insured Loss occurs, then Lessor shall, at Lessor’s expense, repair such damage (but not Lessee’s Trade Fixtures or Lessee Owned Alterations and Utility Installations) as soon as reasonably possible and this Lease shall continue in full force and effect; provided, however, that Lessee shall, at Lessor’s election, make the repair of any damage or destruction the total cost to repair of which is $10,000 or less, and, in such event, Lessor shall make any applicable insurance proceeds available to Lessee on a reasonable basis for that purpose. Notwithstanding the foregoing, if the required insurance was not in force or the</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INITIALS</w:t>
            </w:r>
          </w:p>
        </w:tc>
        <w:tc>
          <w:tcPr>
            <w:tcW w:w="3960" w:type="dxa"/>
            <w:vAlign w:val="bottom"/>
          </w:tcPr>
          <w:p>
            <w:pPr>
              <w:ind w:left="1460"/>
              <w:spacing w:after="0"/>
              <w:rPr>
                <w:sz w:val="20"/>
                <w:szCs w:val="20"/>
                <w:color w:val="auto"/>
              </w:rPr>
            </w:pPr>
            <w:r>
              <w:rPr>
                <w:rFonts w:ascii="Arial" w:cs="Arial" w:eastAsia="Arial" w:hAnsi="Arial"/>
                <w:sz w:val="18"/>
                <w:szCs w:val="18"/>
                <w:color w:val="auto"/>
              </w:rPr>
              <w:t>Page 12 of 28</w:t>
            </w:r>
          </w:p>
        </w:tc>
        <w:tc>
          <w:tcPr>
            <w:tcW w:w="3380" w:type="dxa"/>
            <w:vAlign w:val="bottom"/>
            <w:vMerge w:val="restart"/>
          </w:tcPr>
          <w:p>
            <w:pPr>
              <w:jc w:val="right"/>
              <w:spacing w:after="0"/>
              <w:rPr>
                <w:sz w:val="20"/>
                <w:szCs w:val="20"/>
                <w:color w:val="auto"/>
              </w:rPr>
            </w:pPr>
            <w:r>
              <w:rPr>
                <w:rFonts w:ascii="Arial" w:cs="Arial" w:eastAsia="Arial" w:hAnsi="Arial"/>
                <w:sz w:val="18"/>
                <w:szCs w:val="18"/>
                <w:color w:val="auto"/>
              </w:rPr>
              <w:t>INITIALS</w:t>
            </w:r>
          </w:p>
        </w:tc>
        <w:tc>
          <w:tcPr>
            <w:tcW w:w="0" w:type="dxa"/>
            <w:vAlign w:val="bottom"/>
          </w:tcPr>
          <w:p>
            <w:pPr>
              <w:spacing w:after="0"/>
              <w:rPr>
                <w:sz w:val="1"/>
                <w:szCs w:val="1"/>
                <w:color w:val="auto"/>
              </w:rPr>
            </w:pPr>
          </w:p>
        </w:tc>
      </w:tr>
      <w:tr>
        <w:trPr>
          <w:trHeight w:val="95"/>
        </w:trPr>
        <w:tc>
          <w:tcPr>
            <w:tcW w:w="3900" w:type="dxa"/>
            <w:vAlign w:val="bottom"/>
            <w:vMerge w:val="continue"/>
          </w:tcPr>
          <w:p>
            <w:pPr>
              <w:spacing w:after="0"/>
              <w:rPr>
                <w:sz w:val="8"/>
                <w:szCs w:val="8"/>
                <w:color w:val="auto"/>
              </w:rPr>
            </w:pPr>
          </w:p>
        </w:tc>
        <w:tc>
          <w:tcPr>
            <w:tcW w:w="3960" w:type="dxa"/>
            <w:vAlign w:val="bottom"/>
            <w:vMerge w:val="restart"/>
          </w:tcPr>
          <w:p>
            <w:pPr>
              <w:ind w:left="780"/>
              <w:spacing w:after="0"/>
              <w:rPr>
                <w:sz w:val="20"/>
                <w:szCs w:val="20"/>
                <w:color w:val="auto"/>
              </w:rPr>
            </w:pPr>
            <w:r>
              <w:rPr>
                <w:rFonts w:ascii="Arial" w:cs="Arial" w:eastAsia="Arial" w:hAnsi="Arial"/>
                <w:sz w:val="18"/>
                <w:szCs w:val="18"/>
                <w:color w:val="auto"/>
              </w:rPr>
              <w:t>Last Edited 2/7/2018 1:59 PM</w:t>
            </w:r>
          </w:p>
        </w:tc>
        <w:tc>
          <w:tcPr>
            <w:tcW w:w="3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 2017 AIR CRE. All Rights Reserved.</w:t>
            </w:r>
          </w:p>
        </w:tc>
        <w:tc>
          <w:tcPr>
            <w:tcW w:w="3960" w:type="dxa"/>
            <w:vAlign w:val="bottom"/>
            <w:vMerge w:val="continue"/>
          </w:tcPr>
          <w:p>
            <w:pPr>
              <w:spacing w:after="0"/>
              <w:rPr>
                <w:sz w:val="12"/>
                <w:szCs w:val="12"/>
                <w:color w:val="auto"/>
              </w:rPr>
            </w:pPr>
          </w:p>
        </w:tc>
        <w:tc>
          <w:tcPr>
            <w:tcW w:w="3380" w:type="dxa"/>
            <w:vAlign w:val="bottom"/>
            <w:vMerge w:val="restart"/>
          </w:tcPr>
          <w:p>
            <w:pPr>
              <w:jc w:val="right"/>
              <w:spacing w:after="0"/>
              <w:rPr>
                <w:sz w:val="20"/>
                <w:szCs w:val="20"/>
                <w:color w:val="auto"/>
              </w:rPr>
            </w:pPr>
            <w:r>
              <w:rPr>
                <w:rFonts w:ascii="Arial" w:cs="Arial" w:eastAsia="Arial" w:hAnsi="Arial"/>
                <w:sz w:val="18"/>
                <w:szCs w:val="18"/>
                <w:color w:val="auto"/>
              </w:rPr>
              <w:t>STN-27.10, Revised 11-01-2017</w:t>
            </w:r>
          </w:p>
        </w:tc>
        <w:tc>
          <w:tcPr>
            <w:tcW w:w="0" w:type="dxa"/>
            <w:vAlign w:val="bottom"/>
          </w:tcPr>
          <w:p>
            <w:pPr>
              <w:spacing w:after="0"/>
              <w:rPr>
                <w:sz w:val="1"/>
                <w:szCs w:val="1"/>
                <w:color w:val="auto"/>
              </w:rPr>
            </w:pPr>
          </w:p>
        </w:tc>
      </w:tr>
      <w:tr>
        <w:trPr>
          <w:trHeight w:val="94"/>
        </w:trPr>
        <w:tc>
          <w:tcPr>
            <w:tcW w:w="3900" w:type="dxa"/>
            <w:vAlign w:val="bottom"/>
            <w:vMerge w:val="continue"/>
          </w:tcPr>
          <w:p>
            <w:pPr>
              <w:spacing w:after="0"/>
              <w:rPr>
                <w:sz w:val="8"/>
                <w:szCs w:val="8"/>
                <w:color w:val="auto"/>
              </w:rPr>
            </w:pPr>
          </w:p>
        </w:tc>
        <w:tc>
          <w:tcPr>
            <w:tcW w:w="3960" w:type="dxa"/>
            <w:vAlign w:val="bottom"/>
          </w:tcPr>
          <w:p>
            <w:pPr>
              <w:spacing w:after="0"/>
              <w:rPr>
                <w:sz w:val="8"/>
                <w:szCs w:val="8"/>
                <w:color w:val="auto"/>
              </w:rPr>
            </w:pPr>
          </w:p>
        </w:tc>
        <w:tc>
          <w:tcPr>
            <w:tcW w:w="3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3900" w:type="dxa"/>
            <w:vAlign w:val="bottom"/>
            <w:tcBorders>
              <w:bottom w:val="single" w:sz="8" w:color="9A9A9A"/>
            </w:tcBorders>
          </w:tcPr>
          <w:p>
            <w:pPr>
              <w:spacing w:after="0"/>
              <w:rPr>
                <w:sz w:val="13"/>
                <w:szCs w:val="13"/>
                <w:color w:val="auto"/>
              </w:rPr>
            </w:pPr>
          </w:p>
        </w:tc>
        <w:tc>
          <w:tcPr>
            <w:tcW w:w="3960" w:type="dxa"/>
            <w:vAlign w:val="bottom"/>
            <w:tcBorders>
              <w:bottom w:val="single" w:sz="8" w:color="9A9A9A"/>
            </w:tcBorders>
          </w:tcPr>
          <w:p>
            <w:pPr>
              <w:spacing w:after="0"/>
              <w:rPr>
                <w:sz w:val="13"/>
                <w:szCs w:val="13"/>
                <w:color w:val="auto"/>
              </w:rPr>
            </w:pPr>
          </w:p>
        </w:tc>
        <w:tc>
          <w:tcPr>
            <w:tcW w:w="33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31" w:name="page132"/>
    <w:bookmarkEnd w:id="131"/>
    <w:p>
      <w:pPr>
        <w:ind w:right="20"/>
        <w:spacing w:after="0" w:line="243" w:lineRule="auto"/>
        <w:rPr>
          <w:sz w:val="20"/>
          <w:szCs w:val="20"/>
          <w:color w:val="auto"/>
        </w:rPr>
      </w:pPr>
      <w:r>
        <w:rPr>
          <w:rFonts w:ascii="Arial" w:cs="Arial" w:eastAsia="Arial" w:hAnsi="Arial"/>
          <w:sz w:val="18"/>
          <w:szCs w:val="18"/>
          <w:color w:val="auto"/>
        </w:rPr>
        <w:t>insurance proceeds are not sufficient to effect such repair, the Insuring Party shall promptly contribute the shortage in proceeds (except as to the deductible which is Lessee’s responsibility) as and when required to complete said repairs. In the event, however, such shortage was due to the fact that, by reason of the unique nature of the improvements, full replacement cost insurance coverage was not commercially reasonable and available, Lessor shall have no obligation to pay for the shortage in insurance proceeds or to fully restore the unique aspects of the Premises unless Lessee provides Lessor with the funds to cover same, or adequate assurance thereof, within 10 days following receipt of written notice of such shortage and request therefor. If Lessor receives said funds or adequate assurance thereof within said 10 day period, the party responsible for making the repairs shall complete them as soon as reasonably possible and this Lease shall remain in full force and effect. If such funds or assurance are not received, Lessor may nevertheless elect by written notice to Lessee within 10 days thereafter to: (i) make such restoration and repair as is commercially reasonable with Lessor paying any shortage in proceeds, in which case this Lease shall remain in full force and effect, or (ii) have this Lease terminate 30 days thereafter. Lessee shall not be entitled to reimbursement of any funds contributed by Lessee to repair any such damage or destruction. Premises Partial Damage due to flood or earthquake shall be subject to Paragraph 9.3, notwithstanding that there may be some insurance coverage, but the net proceeds of any such insurance shall be made available for the repairs if made by either Party.</w:t>
      </w:r>
    </w:p>
    <w:p>
      <w:pPr>
        <w:spacing w:after="0" w:line="178"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b w:val="1"/>
          <w:bCs w:val="1"/>
          <w:color w:val="auto"/>
        </w:rPr>
        <w:t>Partial Damage - Uninsured Loss.</w:t>
      </w:r>
      <w:r>
        <w:rPr>
          <w:rFonts w:ascii="Arial" w:cs="Arial" w:eastAsia="Arial" w:hAnsi="Arial"/>
          <w:sz w:val="18"/>
          <w:szCs w:val="18"/>
          <w:color w:val="auto"/>
        </w:rPr>
        <w:t xml:space="preserve"> If a Premises Partial Damage that is not an Insured Loss occurs, unless caused by a negligent or willful act of Lessee (in which event Lessee shall make the repairs at Lessee’s expense), Lessor may either: (i) repair such damage as soon as reasonably possible at Lessor’s expense, in which event this Lease shall continue in full force and effect, or (ii) terminate this Lease by giving written notice to Lessee within 30 days after receipt by Lessor of knowledge of the occurrence of such damage. Such termination shall be effective 60 days following the date of such notice. In the event Lessor elects to terminate this Lease, Lessee shall have the right within 10 days after receipt of the termination notice to give written notice to Lessor of Lessee’s commitment to pay for the repair of such damage without reimbursement from Lessor. Lessee shall provide Lessor with said funds or satisfactory assurance thereof within 30 days after making such commitment. In such event this Lease shall continue in full force and effect, and Lessor shall proceed to make such repairs as soon as reasonably possible after the required funds are available. If Lessee does not make the required commitment, this Lease shall terminate as of the date specified in the termination notice.</w:t>
      </w:r>
    </w:p>
    <w:p>
      <w:pPr>
        <w:spacing w:after="0" w:line="191" w:lineRule="exact"/>
        <w:rPr>
          <w:sz w:val="20"/>
          <w:szCs w:val="20"/>
          <w:color w:val="auto"/>
        </w:rPr>
      </w:pPr>
    </w:p>
    <w:p>
      <w:pPr>
        <w:jc w:val="both"/>
        <w:ind w:right="40" w:firstLine="509"/>
        <w:spacing w:after="0" w:line="253"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b w:val="1"/>
          <w:bCs w:val="1"/>
          <w:color w:val="auto"/>
        </w:rPr>
        <w:t>Total Destruction.</w:t>
      </w:r>
      <w:r>
        <w:rPr>
          <w:rFonts w:ascii="Arial" w:cs="Arial" w:eastAsia="Arial" w:hAnsi="Arial"/>
          <w:sz w:val="18"/>
          <w:szCs w:val="18"/>
          <w:color w:val="auto"/>
        </w:rPr>
        <w:t xml:space="preserve"> Notwithstanding any other provision hereof, if a Premises Total Destruction occurs, this Lease shall terminate 60 days following such Destruction. If the damage or destruction was caused by the gross negligence or willful misconduct of Lessee, Lessor shall have the right to recover Lessor’s damages from Lessee, except as provided in Paragraph 8.6.</w:t>
      </w:r>
    </w:p>
    <w:p>
      <w:pPr>
        <w:spacing w:after="0" w:line="169"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b w:val="1"/>
          <w:bCs w:val="1"/>
          <w:color w:val="auto"/>
        </w:rPr>
        <w:t>Damage Near End of Term.</w:t>
      </w:r>
      <w:r>
        <w:rPr>
          <w:rFonts w:ascii="Arial" w:cs="Arial" w:eastAsia="Arial" w:hAnsi="Arial"/>
          <w:sz w:val="18"/>
          <w:szCs w:val="18"/>
          <w:color w:val="auto"/>
        </w:rPr>
        <w:t xml:space="preserve"> If at any time during the last 6 months of this Lease there is damage for which the cost to repair exceeds one month’s Base Rent, whether or not an Insured Loss, Lessor may terminate this Lease effective 60 days following the date of occurrence of such damage by giving a written termination notice to Lessee within 30 days after the date of occurrence of such damage. Notwithstanding the foregoing, if Lessee at that time has an exercisable option to extend this Lease or to purchase the Premises, then Lessee may preserve this Lease by, (a) exercising such option and (b) providing Lessor with any shortage in insurance proceeds (or adequate assurance thereof) needed to make the repairs on or before the earlier of (i) the date which is 10 days after Lessee’s receipt of Lessor’s written notice purporting to terminate this Lease, or (ii) the day prior to the date upon which such option expires. If Lessee duly exercises such option during such period and provides Lessor with funds (or adequate assurance thereof) to cover any shortage in insurance proceeds, Lessor shall, at Lessor’s commercially reasonable expense, repair such damage as soon as reasonably possible and this Lease shall continue in full force and effect. If Lessee fails to exercise such option and provide such funds or assurance during such period, then this Lease shall terminate on the date specified in the termination notice and Lessee’s option shall be extinguished.</w:t>
      </w:r>
    </w:p>
    <w:p>
      <w:pPr>
        <w:spacing w:after="0" w:line="287" w:lineRule="exact"/>
        <w:rPr>
          <w:sz w:val="20"/>
          <w:szCs w:val="20"/>
          <w:color w:val="auto"/>
        </w:rPr>
      </w:pPr>
    </w:p>
    <w:p>
      <w:pPr>
        <w:ind w:left="520"/>
        <w:spacing w:after="0"/>
        <w:tabs>
          <w:tab w:leader="none" w:pos="94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7"/>
          <w:szCs w:val="17"/>
          <w:b w:val="1"/>
          <w:bCs w:val="1"/>
          <w:color w:val="auto"/>
        </w:rPr>
        <w:t>Abatement of Rent; Lessee’s Remedies.</w:t>
      </w:r>
    </w:p>
    <w:p>
      <w:pPr>
        <w:spacing w:after="0" w:line="117" w:lineRule="exact"/>
        <w:rPr>
          <w:sz w:val="20"/>
          <w:szCs w:val="20"/>
          <w:color w:val="auto"/>
        </w:rPr>
      </w:pPr>
    </w:p>
    <w:p>
      <w:pPr>
        <w:ind w:right="20" w:firstLine="1154"/>
        <w:spacing w:after="0" w:line="247" w:lineRule="auto"/>
        <w:tabs>
          <w:tab w:leader="none" w:pos="1565"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 xml:space="preserve">Abatement. </w:t>
      </w:r>
      <w:r>
        <w:rPr>
          <w:rFonts w:ascii="Arial" w:cs="Arial" w:eastAsia="Arial" w:hAnsi="Arial"/>
          <w:sz w:val="18"/>
          <w:szCs w:val="18"/>
          <w:color w:val="auto"/>
        </w:rPr>
        <w:t>In the event of Premises Partial Damage or Premises Total Destruction or a Hazardous Substance Condition</w:t>
      </w:r>
      <w:r>
        <w:rPr>
          <w:rFonts w:ascii="Arial" w:cs="Arial" w:eastAsia="Arial" w:hAnsi="Arial"/>
          <w:sz w:val="18"/>
          <w:szCs w:val="18"/>
          <w:b w:val="1"/>
          <w:bCs w:val="1"/>
          <w:color w:val="auto"/>
        </w:rPr>
        <w:t xml:space="preserve"> </w:t>
      </w:r>
      <w:r>
        <w:rPr>
          <w:rFonts w:ascii="Arial" w:cs="Arial" w:eastAsia="Arial" w:hAnsi="Arial"/>
          <w:sz w:val="18"/>
          <w:szCs w:val="18"/>
          <w:color w:val="auto"/>
        </w:rPr>
        <w:t>for which Lessee is not responsible under this Lease, the Rent payable by Lessee for the period required for the repair, remediation or restoration of such damage shall be abated in proportion to the degree to which Lessee’s use of the Premises is impaired, but not to exceed the proceeds received from the Rental Value insurance. All other obligations of Lessee hereunder shall be performed by Lessee, and Lessor shall have no liability for any such damage, destruction, remediation, repair or restoration except as provided herein.</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INITIALS</w:t>
            </w:r>
          </w:p>
        </w:tc>
        <w:tc>
          <w:tcPr>
            <w:tcW w:w="3960" w:type="dxa"/>
            <w:vAlign w:val="bottom"/>
          </w:tcPr>
          <w:p>
            <w:pPr>
              <w:ind w:left="1460"/>
              <w:spacing w:after="0"/>
              <w:rPr>
                <w:sz w:val="20"/>
                <w:szCs w:val="20"/>
                <w:color w:val="auto"/>
              </w:rPr>
            </w:pPr>
            <w:r>
              <w:rPr>
                <w:rFonts w:ascii="Arial" w:cs="Arial" w:eastAsia="Arial" w:hAnsi="Arial"/>
                <w:sz w:val="18"/>
                <w:szCs w:val="18"/>
                <w:color w:val="auto"/>
              </w:rPr>
              <w:t>Page 13 of 28</w:t>
            </w:r>
          </w:p>
        </w:tc>
        <w:tc>
          <w:tcPr>
            <w:tcW w:w="3380" w:type="dxa"/>
            <w:vAlign w:val="bottom"/>
            <w:vMerge w:val="restart"/>
          </w:tcPr>
          <w:p>
            <w:pPr>
              <w:jc w:val="right"/>
              <w:spacing w:after="0"/>
              <w:rPr>
                <w:sz w:val="20"/>
                <w:szCs w:val="20"/>
                <w:color w:val="auto"/>
              </w:rPr>
            </w:pPr>
            <w:r>
              <w:rPr>
                <w:rFonts w:ascii="Arial" w:cs="Arial" w:eastAsia="Arial" w:hAnsi="Arial"/>
                <w:sz w:val="18"/>
                <w:szCs w:val="18"/>
                <w:color w:val="auto"/>
              </w:rPr>
              <w:t>INITIALS</w:t>
            </w:r>
          </w:p>
        </w:tc>
        <w:tc>
          <w:tcPr>
            <w:tcW w:w="0" w:type="dxa"/>
            <w:vAlign w:val="bottom"/>
          </w:tcPr>
          <w:p>
            <w:pPr>
              <w:spacing w:after="0"/>
              <w:rPr>
                <w:sz w:val="1"/>
                <w:szCs w:val="1"/>
                <w:color w:val="auto"/>
              </w:rPr>
            </w:pPr>
          </w:p>
        </w:tc>
      </w:tr>
      <w:tr>
        <w:trPr>
          <w:trHeight w:val="94"/>
        </w:trPr>
        <w:tc>
          <w:tcPr>
            <w:tcW w:w="3900" w:type="dxa"/>
            <w:vAlign w:val="bottom"/>
            <w:vMerge w:val="continue"/>
          </w:tcPr>
          <w:p>
            <w:pPr>
              <w:spacing w:after="0"/>
              <w:rPr>
                <w:sz w:val="8"/>
                <w:szCs w:val="8"/>
                <w:color w:val="auto"/>
              </w:rPr>
            </w:pPr>
          </w:p>
        </w:tc>
        <w:tc>
          <w:tcPr>
            <w:tcW w:w="3960" w:type="dxa"/>
            <w:vAlign w:val="bottom"/>
            <w:vMerge w:val="restart"/>
          </w:tcPr>
          <w:p>
            <w:pPr>
              <w:ind w:left="780"/>
              <w:spacing w:after="0"/>
              <w:rPr>
                <w:sz w:val="20"/>
                <w:szCs w:val="20"/>
                <w:color w:val="auto"/>
              </w:rPr>
            </w:pPr>
            <w:r>
              <w:rPr>
                <w:rFonts w:ascii="Arial" w:cs="Arial" w:eastAsia="Arial" w:hAnsi="Arial"/>
                <w:sz w:val="18"/>
                <w:szCs w:val="18"/>
                <w:color w:val="auto"/>
              </w:rPr>
              <w:t>Last Edited 2/7/2018 1:59 PM</w:t>
            </w:r>
          </w:p>
        </w:tc>
        <w:tc>
          <w:tcPr>
            <w:tcW w:w="3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 2017 AIR CRE. All Rights Reserved.</w:t>
            </w:r>
          </w:p>
        </w:tc>
        <w:tc>
          <w:tcPr>
            <w:tcW w:w="3960" w:type="dxa"/>
            <w:vAlign w:val="bottom"/>
            <w:vMerge w:val="continue"/>
          </w:tcPr>
          <w:p>
            <w:pPr>
              <w:spacing w:after="0"/>
              <w:rPr>
                <w:sz w:val="12"/>
                <w:szCs w:val="12"/>
                <w:color w:val="auto"/>
              </w:rPr>
            </w:pPr>
          </w:p>
        </w:tc>
        <w:tc>
          <w:tcPr>
            <w:tcW w:w="3380" w:type="dxa"/>
            <w:vAlign w:val="bottom"/>
            <w:vMerge w:val="restart"/>
          </w:tcPr>
          <w:p>
            <w:pPr>
              <w:jc w:val="right"/>
              <w:spacing w:after="0"/>
              <w:rPr>
                <w:sz w:val="20"/>
                <w:szCs w:val="20"/>
                <w:color w:val="auto"/>
              </w:rPr>
            </w:pPr>
            <w:r>
              <w:rPr>
                <w:rFonts w:ascii="Arial" w:cs="Arial" w:eastAsia="Arial" w:hAnsi="Arial"/>
                <w:sz w:val="18"/>
                <w:szCs w:val="18"/>
                <w:color w:val="auto"/>
              </w:rPr>
              <w:t>STN-27.10, Revised 11-01-2017</w:t>
            </w:r>
          </w:p>
        </w:tc>
        <w:tc>
          <w:tcPr>
            <w:tcW w:w="0" w:type="dxa"/>
            <w:vAlign w:val="bottom"/>
          </w:tcPr>
          <w:p>
            <w:pPr>
              <w:spacing w:after="0"/>
              <w:rPr>
                <w:sz w:val="1"/>
                <w:szCs w:val="1"/>
                <w:color w:val="auto"/>
              </w:rPr>
            </w:pPr>
          </w:p>
        </w:tc>
      </w:tr>
      <w:tr>
        <w:trPr>
          <w:trHeight w:val="95"/>
        </w:trPr>
        <w:tc>
          <w:tcPr>
            <w:tcW w:w="3900" w:type="dxa"/>
            <w:vAlign w:val="bottom"/>
            <w:vMerge w:val="continue"/>
          </w:tcPr>
          <w:p>
            <w:pPr>
              <w:spacing w:after="0"/>
              <w:rPr>
                <w:sz w:val="8"/>
                <w:szCs w:val="8"/>
                <w:color w:val="auto"/>
              </w:rPr>
            </w:pPr>
          </w:p>
        </w:tc>
        <w:tc>
          <w:tcPr>
            <w:tcW w:w="3960" w:type="dxa"/>
            <w:vAlign w:val="bottom"/>
          </w:tcPr>
          <w:p>
            <w:pPr>
              <w:spacing w:after="0"/>
              <w:rPr>
                <w:sz w:val="8"/>
                <w:szCs w:val="8"/>
                <w:color w:val="auto"/>
              </w:rPr>
            </w:pPr>
          </w:p>
        </w:tc>
        <w:tc>
          <w:tcPr>
            <w:tcW w:w="3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3900" w:type="dxa"/>
            <w:vAlign w:val="bottom"/>
            <w:tcBorders>
              <w:bottom w:val="single" w:sz="8" w:color="9A9A9A"/>
            </w:tcBorders>
          </w:tcPr>
          <w:p>
            <w:pPr>
              <w:spacing w:after="0"/>
              <w:rPr>
                <w:sz w:val="13"/>
                <w:szCs w:val="13"/>
                <w:color w:val="auto"/>
              </w:rPr>
            </w:pPr>
          </w:p>
        </w:tc>
        <w:tc>
          <w:tcPr>
            <w:tcW w:w="3960" w:type="dxa"/>
            <w:vAlign w:val="bottom"/>
            <w:tcBorders>
              <w:bottom w:val="single" w:sz="8" w:color="9A9A9A"/>
            </w:tcBorders>
          </w:tcPr>
          <w:p>
            <w:pPr>
              <w:spacing w:after="0"/>
              <w:rPr>
                <w:sz w:val="13"/>
                <w:szCs w:val="13"/>
                <w:color w:val="auto"/>
              </w:rPr>
            </w:pPr>
          </w:p>
        </w:tc>
        <w:tc>
          <w:tcPr>
            <w:tcW w:w="33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2" w:name="page133"/>
    <w:bookmarkEnd w:id="132"/>
    <w:p>
      <w:pPr>
        <w:ind w:firstLine="1161"/>
        <w:spacing w:after="0" w:line="246" w:lineRule="auto"/>
        <w:tabs>
          <w:tab w:leader="none" w:pos="1573" w:val="left"/>
        </w:tabs>
        <w:numPr>
          <w:ilvl w:val="0"/>
          <w:numId w:val="114"/>
        </w:numPr>
        <w:rPr>
          <w:rFonts w:ascii="Arial" w:cs="Arial" w:eastAsia="Arial" w:hAnsi="Arial"/>
          <w:sz w:val="18"/>
          <w:szCs w:val="18"/>
          <w:color w:val="auto"/>
        </w:rPr>
      </w:pPr>
      <w:r>
        <w:rPr>
          <w:rFonts w:ascii="Arial" w:cs="Arial" w:eastAsia="Arial" w:hAnsi="Arial"/>
          <w:sz w:val="18"/>
          <w:szCs w:val="18"/>
          <w:b w:val="1"/>
          <w:bCs w:val="1"/>
          <w:color w:val="auto"/>
        </w:rPr>
        <w:t xml:space="preserve">Remedies. </w:t>
      </w:r>
      <w:r>
        <w:rPr>
          <w:rFonts w:ascii="Arial" w:cs="Arial" w:eastAsia="Arial" w:hAnsi="Arial"/>
          <w:sz w:val="18"/>
          <w:szCs w:val="18"/>
          <w:color w:val="auto"/>
        </w:rPr>
        <w:t>If Lessor is obligated to repair or restore the Premises and does not commence, in a substantial and</w:t>
      </w:r>
      <w:r>
        <w:rPr>
          <w:rFonts w:ascii="Arial" w:cs="Arial" w:eastAsia="Arial" w:hAnsi="Arial"/>
          <w:sz w:val="18"/>
          <w:szCs w:val="18"/>
          <w:b w:val="1"/>
          <w:bCs w:val="1"/>
          <w:color w:val="auto"/>
        </w:rPr>
        <w:t xml:space="preserve"> </w:t>
      </w:r>
      <w:r>
        <w:rPr>
          <w:rFonts w:ascii="Arial" w:cs="Arial" w:eastAsia="Arial" w:hAnsi="Arial"/>
          <w:sz w:val="18"/>
          <w:szCs w:val="18"/>
          <w:color w:val="auto"/>
        </w:rPr>
        <w:t>meaningful way, such repair or restoration within 90 days after such obligation shall accrue. Lessee may, at any time prior to the commencement of such repair or restoration, give written notice to Lessor and to any Lenders of which Lessee has actual notice, of Lessee’s election to terminate this Lease on a date not less than 60 days following the giving of such notice. If Lessee gives such notice and such repair or restoration is not commenced within 30 days thereafter, this Lease shall terminate as of the date specified in said notice. If the repair or restoration is commenced within such 30 days, this Lease shall continue in full force and effect. “Commence” shall mean either the unconditional authorization of the preparation of the required plans, or the beginning of the actual work on the Premises, whichever first occurs.</w:t>
      </w:r>
    </w:p>
    <w:p>
      <w:pPr>
        <w:spacing w:after="0" w:line="71"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b w:val="1"/>
          <w:bCs w:val="1"/>
          <w:color w:val="auto"/>
        </w:rPr>
        <w:t>Termination; Advance Payments.</w:t>
      </w:r>
      <w:r>
        <w:rPr>
          <w:rFonts w:ascii="Arial" w:cs="Arial" w:eastAsia="Arial" w:hAnsi="Arial"/>
          <w:sz w:val="18"/>
          <w:szCs w:val="18"/>
          <w:color w:val="auto"/>
        </w:rPr>
        <w:t xml:space="preserve"> Upon termination of this Lease pursuant to Paragraph 6.2(g) or Paragraph 9, an equitable adjustment shall be made concerning advance Base Rent and any other advance payments made by Lessee to Lessor. Lessor shall, in addition, return to Lessee so much of Lessee’s Security Deposit as has not been, or is not then required to be, used by Lessor.</w:t>
      </w:r>
    </w:p>
    <w:p>
      <w:pPr>
        <w:spacing w:after="0" w:line="270" w:lineRule="exact"/>
        <w:rPr>
          <w:sz w:val="20"/>
          <w:szCs w:val="20"/>
          <w:color w:val="auto"/>
        </w:rPr>
      </w:pPr>
    </w:p>
    <w:p>
      <w:pPr>
        <w:ind w:left="460" w:hanging="452"/>
        <w:spacing w:after="0"/>
        <w:tabs>
          <w:tab w:leader="none" w:pos="4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Real Property Taxes.</w:t>
      </w:r>
    </w:p>
    <w:p>
      <w:pPr>
        <w:spacing w:after="0" w:line="104" w:lineRule="exact"/>
        <w:rPr>
          <w:sz w:val="20"/>
          <w:szCs w:val="20"/>
          <w:color w:val="auto"/>
        </w:rPr>
      </w:pPr>
    </w:p>
    <w:p>
      <w:pPr>
        <w:ind w:right="240" w:firstLine="509"/>
        <w:spacing w:after="0" w:line="263"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b w:val="1"/>
          <w:bCs w:val="1"/>
          <w:color w:val="auto"/>
        </w:rPr>
        <w:t>Definition.</w:t>
      </w:r>
      <w:r>
        <w:rPr>
          <w:rFonts w:ascii="Arial" w:cs="Arial" w:eastAsia="Arial" w:hAnsi="Arial"/>
          <w:sz w:val="17"/>
          <w:szCs w:val="17"/>
          <w:color w:val="auto"/>
        </w:rPr>
        <w:t xml:space="preserve"> As used herein, the term </w:t>
      </w:r>
      <w:r>
        <w:rPr>
          <w:rFonts w:ascii="Arial" w:cs="Arial" w:eastAsia="Arial" w:hAnsi="Arial"/>
          <w:sz w:val="17"/>
          <w:szCs w:val="17"/>
          <w:b w:val="1"/>
          <w:bCs w:val="1"/>
          <w:color w:val="auto"/>
        </w:rPr>
        <w:t>“Real Property Taxes”</w:t>
      </w:r>
      <w:r>
        <w:rPr>
          <w:rFonts w:ascii="Arial" w:cs="Arial" w:eastAsia="Arial" w:hAnsi="Arial"/>
          <w:sz w:val="17"/>
          <w:szCs w:val="17"/>
          <w:color w:val="auto"/>
        </w:rPr>
        <w:t xml:space="preserve"> shall include any form of assessment; real estate, general, special, ordinary or extraordinary, or rental levy or tax (other than inheritance, personal income or estate taxes); improvement bond; and/or license fee imposed upon or levied against any legal or equitable interest of Lessor in the Premises or the Project, Lessor’s right to other income therefrom, and/or Lessor’s business of leasing, by any authority having the direct or indirect power to tax and where the funds are generated with reference to the Building address. Real Property Taxes shall also include any tax, fee, levy, assessment or charge, or any increase therein: (i) imposed by reason of events occurring during the term of this Lease, including but not limited to, a change in the ownership of the Premises, and (ii) levied or assessed on machinery or equipment provided by Lessor to Lessee pursuant to this Lease.</w:t>
      </w:r>
    </w:p>
    <w:p>
      <w:pPr>
        <w:spacing w:after="0" w:line="161"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b w:val="1"/>
          <w:bCs w:val="1"/>
          <w:color w:val="auto"/>
        </w:rPr>
        <w:t>Payment of Taxes.</w:t>
      </w:r>
      <w:r>
        <w:rPr>
          <w:rFonts w:ascii="Arial" w:cs="Arial" w:eastAsia="Arial" w:hAnsi="Arial"/>
          <w:sz w:val="18"/>
          <w:szCs w:val="18"/>
          <w:color w:val="auto"/>
        </w:rPr>
        <w:t xml:space="preserve"> In addition to Base Rent, Lessee shall pay to Lessor an amount equal to the Real Property Tax installment due at least 20 days prior to the applicable delinquency date. If any such installment shall cover any period of time prior to or after the expiration or termination of this Lease, Lessee’s share of such installment shall be prorated. In the event Lessee incurs a late charge on any Rent payment, Lessor may estimate the current Real Property Taxes, and require that such taxes be paid in advance to Lessor by Lessee monthly in advance with the payment of the Base Rent. Such monthly payments shall be an amount equal to the amount of the estimated installment of taxes divided by the number of months remaining before the month in which said installment becomes delinquent. When the actual amount of the applicable tax bill is known, the amount of such equal monthly advance payments shall be adjusted as required to provide the funds needed to pay the applicable taxes. If the amount collected by Lessor is insufficient to pay such Real Property Taxes when due, Lessee shall pay Lessor, upon demand, such additional sum as is necessary. Advance payments may be intermingled with other moneys of Lessor and shall not bear interest. In the event of a Breach by Lessee in the performance of its obligations under this Lease, then any such advance payments may be treated by Lessor as an additional Security Deposit.</w:t>
      </w:r>
    </w:p>
    <w:p>
      <w:pPr>
        <w:spacing w:after="0" w:line="179" w:lineRule="exact"/>
        <w:rPr>
          <w:sz w:val="20"/>
          <w:szCs w:val="20"/>
          <w:color w:val="auto"/>
        </w:rPr>
      </w:pPr>
    </w:p>
    <w:p>
      <w:pPr>
        <w:jc w:val="both"/>
        <w:ind w:right="160" w:firstLine="509"/>
        <w:spacing w:after="0" w:line="261"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b w:val="1"/>
          <w:bCs w:val="1"/>
          <w:color w:val="auto"/>
        </w:rPr>
        <w:t>Joint Assessment.</w:t>
      </w:r>
      <w:r>
        <w:rPr>
          <w:rFonts w:ascii="Arial" w:cs="Arial" w:eastAsia="Arial" w:hAnsi="Arial"/>
          <w:sz w:val="18"/>
          <w:szCs w:val="18"/>
          <w:color w:val="auto"/>
        </w:rPr>
        <w:t xml:space="preserve"> If the Premises are not separately assessed, Lessee’s liability shall be an equitable proportion of the Real Property Taxes for all of the land and improvements included within the tax parcel assessed, such proportion to be conclusively determined by Lessor from the respective valuations assigned in the assessor’s worksheets or such other information as may be reasonably available.</w:t>
      </w:r>
    </w:p>
    <w:p>
      <w:pPr>
        <w:spacing w:after="0" w:line="162" w:lineRule="exact"/>
        <w:rPr>
          <w:sz w:val="20"/>
          <w:szCs w:val="20"/>
          <w:color w:val="auto"/>
        </w:rPr>
      </w:pPr>
    </w:p>
    <w:p>
      <w:pPr>
        <w:ind w:right="220" w:firstLine="509"/>
        <w:spacing w:after="0" w:line="248"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b w:val="1"/>
          <w:bCs w:val="1"/>
          <w:color w:val="auto"/>
        </w:rPr>
        <w:t>Personal Property Taxes.</w:t>
      </w:r>
      <w:r>
        <w:rPr>
          <w:rFonts w:ascii="Arial" w:cs="Arial" w:eastAsia="Arial" w:hAnsi="Arial"/>
          <w:sz w:val="18"/>
          <w:szCs w:val="18"/>
          <w:color w:val="auto"/>
        </w:rPr>
        <w:t xml:space="preserve"> Lessee shall pay, prior to delinquency, all taxes assessed against and levied upon Lessee Owned Alterations, Utility Installations, Trade Fixtures, furnishings, equipment and all personal property of Lessee. When possible, Lessee shall cause its Lessee Owned Alterations and Utility Installations, Trade Fixtures, furnishings, equipment and all other personal property to be assessed and billed separately from the real property of Lessor. If any of Lessee’s said property shall be assessed with Lessor’s real property, Lessee shall pay Lessor the taxes attributable to Lessee’s property within 10 days after receipt of a written statement setting forth the taxes applicable to Lessee’s property.</w:t>
      </w:r>
    </w:p>
    <w:p>
      <w:pPr>
        <w:spacing w:after="0" w:line="161" w:lineRule="exact"/>
        <w:rPr>
          <w:sz w:val="20"/>
          <w:szCs w:val="20"/>
          <w:color w:val="auto"/>
        </w:rPr>
      </w:pPr>
    </w:p>
    <w:p>
      <w:pPr>
        <w:ind w:right="160" w:firstLine="8"/>
        <w:spacing w:after="0" w:line="287" w:lineRule="auto"/>
        <w:tabs>
          <w:tab w:leader="none" w:pos="44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Utilities and Services. </w:t>
      </w:r>
      <w:r>
        <w:rPr>
          <w:rFonts w:ascii="Arial" w:cs="Arial" w:eastAsia="Arial" w:hAnsi="Arial"/>
          <w:sz w:val="18"/>
          <w:szCs w:val="18"/>
          <w:color w:val="auto"/>
        </w:rPr>
        <w:t>Lessee shall pay for all water, gas, heat, light, power, telephone, trash disposal and other utilities and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supplied to the Premises, together with any taxes thereon. If any such services are not separately</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INITIALS</w:t>
            </w:r>
          </w:p>
        </w:tc>
        <w:tc>
          <w:tcPr>
            <w:tcW w:w="3960" w:type="dxa"/>
            <w:vAlign w:val="bottom"/>
          </w:tcPr>
          <w:p>
            <w:pPr>
              <w:ind w:left="1460"/>
              <w:spacing w:after="0"/>
              <w:rPr>
                <w:sz w:val="20"/>
                <w:szCs w:val="20"/>
                <w:color w:val="auto"/>
              </w:rPr>
            </w:pPr>
            <w:r>
              <w:rPr>
                <w:rFonts w:ascii="Arial" w:cs="Arial" w:eastAsia="Arial" w:hAnsi="Arial"/>
                <w:sz w:val="18"/>
                <w:szCs w:val="18"/>
                <w:color w:val="auto"/>
              </w:rPr>
              <w:t>Page 14 of 28</w:t>
            </w:r>
          </w:p>
        </w:tc>
        <w:tc>
          <w:tcPr>
            <w:tcW w:w="3380" w:type="dxa"/>
            <w:vAlign w:val="bottom"/>
            <w:vMerge w:val="restart"/>
          </w:tcPr>
          <w:p>
            <w:pPr>
              <w:jc w:val="right"/>
              <w:spacing w:after="0"/>
              <w:rPr>
                <w:sz w:val="20"/>
                <w:szCs w:val="20"/>
                <w:color w:val="auto"/>
              </w:rPr>
            </w:pPr>
            <w:r>
              <w:rPr>
                <w:rFonts w:ascii="Arial" w:cs="Arial" w:eastAsia="Arial" w:hAnsi="Arial"/>
                <w:sz w:val="18"/>
                <w:szCs w:val="18"/>
                <w:color w:val="auto"/>
              </w:rPr>
              <w:t>INITIALS</w:t>
            </w:r>
          </w:p>
        </w:tc>
        <w:tc>
          <w:tcPr>
            <w:tcW w:w="0" w:type="dxa"/>
            <w:vAlign w:val="bottom"/>
          </w:tcPr>
          <w:p>
            <w:pPr>
              <w:spacing w:after="0"/>
              <w:rPr>
                <w:sz w:val="1"/>
                <w:szCs w:val="1"/>
                <w:color w:val="auto"/>
              </w:rPr>
            </w:pPr>
          </w:p>
        </w:tc>
      </w:tr>
      <w:tr>
        <w:trPr>
          <w:trHeight w:val="95"/>
        </w:trPr>
        <w:tc>
          <w:tcPr>
            <w:tcW w:w="3900" w:type="dxa"/>
            <w:vAlign w:val="bottom"/>
            <w:vMerge w:val="continue"/>
          </w:tcPr>
          <w:p>
            <w:pPr>
              <w:spacing w:after="0"/>
              <w:rPr>
                <w:sz w:val="8"/>
                <w:szCs w:val="8"/>
                <w:color w:val="auto"/>
              </w:rPr>
            </w:pPr>
          </w:p>
        </w:tc>
        <w:tc>
          <w:tcPr>
            <w:tcW w:w="3960" w:type="dxa"/>
            <w:vAlign w:val="bottom"/>
            <w:vMerge w:val="restart"/>
          </w:tcPr>
          <w:p>
            <w:pPr>
              <w:ind w:left="780"/>
              <w:spacing w:after="0"/>
              <w:rPr>
                <w:sz w:val="20"/>
                <w:szCs w:val="20"/>
                <w:color w:val="auto"/>
              </w:rPr>
            </w:pPr>
            <w:r>
              <w:rPr>
                <w:rFonts w:ascii="Arial" w:cs="Arial" w:eastAsia="Arial" w:hAnsi="Arial"/>
                <w:sz w:val="18"/>
                <w:szCs w:val="18"/>
                <w:color w:val="auto"/>
              </w:rPr>
              <w:t>Last Edited 2/7/2018 1:59 PM</w:t>
            </w:r>
          </w:p>
        </w:tc>
        <w:tc>
          <w:tcPr>
            <w:tcW w:w="3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 2017 AIR CRE. All Rights Reserved.</w:t>
            </w:r>
          </w:p>
        </w:tc>
        <w:tc>
          <w:tcPr>
            <w:tcW w:w="3960" w:type="dxa"/>
            <w:vAlign w:val="bottom"/>
            <w:vMerge w:val="continue"/>
          </w:tcPr>
          <w:p>
            <w:pPr>
              <w:spacing w:after="0"/>
              <w:rPr>
                <w:sz w:val="12"/>
                <w:szCs w:val="12"/>
                <w:color w:val="auto"/>
              </w:rPr>
            </w:pPr>
          </w:p>
        </w:tc>
        <w:tc>
          <w:tcPr>
            <w:tcW w:w="3380" w:type="dxa"/>
            <w:vAlign w:val="bottom"/>
            <w:vMerge w:val="restart"/>
          </w:tcPr>
          <w:p>
            <w:pPr>
              <w:jc w:val="right"/>
              <w:spacing w:after="0"/>
              <w:rPr>
                <w:sz w:val="20"/>
                <w:szCs w:val="20"/>
                <w:color w:val="auto"/>
              </w:rPr>
            </w:pPr>
            <w:r>
              <w:rPr>
                <w:rFonts w:ascii="Arial" w:cs="Arial" w:eastAsia="Arial" w:hAnsi="Arial"/>
                <w:sz w:val="18"/>
                <w:szCs w:val="18"/>
                <w:color w:val="auto"/>
              </w:rPr>
              <w:t>STN-27.10, Revised 11-01-2017</w:t>
            </w:r>
          </w:p>
        </w:tc>
        <w:tc>
          <w:tcPr>
            <w:tcW w:w="0" w:type="dxa"/>
            <w:vAlign w:val="bottom"/>
          </w:tcPr>
          <w:p>
            <w:pPr>
              <w:spacing w:after="0"/>
              <w:rPr>
                <w:sz w:val="1"/>
                <w:szCs w:val="1"/>
                <w:color w:val="auto"/>
              </w:rPr>
            </w:pPr>
          </w:p>
        </w:tc>
      </w:tr>
      <w:tr>
        <w:trPr>
          <w:trHeight w:val="94"/>
        </w:trPr>
        <w:tc>
          <w:tcPr>
            <w:tcW w:w="3900" w:type="dxa"/>
            <w:vAlign w:val="bottom"/>
            <w:vMerge w:val="continue"/>
          </w:tcPr>
          <w:p>
            <w:pPr>
              <w:spacing w:after="0"/>
              <w:rPr>
                <w:sz w:val="8"/>
                <w:szCs w:val="8"/>
                <w:color w:val="auto"/>
              </w:rPr>
            </w:pPr>
          </w:p>
        </w:tc>
        <w:tc>
          <w:tcPr>
            <w:tcW w:w="3960" w:type="dxa"/>
            <w:vAlign w:val="bottom"/>
          </w:tcPr>
          <w:p>
            <w:pPr>
              <w:spacing w:after="0"/>
              <w:rPr>
                <w:sz w:val="8"/>
                <w:szCs w:val="8"/>
                <w:color w:val="auto"/>
              </w:rPr>
            </w:pPr>
          </w:p>
        </w:tc>
        <w:tc>
          <w:tcPr>
            <w:tcW w:w="3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3900" w:type="dxa"/>
            <w:vAlign w:val="bottom"/>
            <w:tcBorders>
              <w:bottom w:val="single" w:sz="8" w:color="9A9A9A"/>
            </w:tcBorders>
          </w:tcPr>
          <w:p>
            <w:pPr>
              <w:spacing w:after="0"/>
              <w:rPr>
                <w:sz w:val="13"/>
                <w:szCs w:val="13"/>
                <w:color w:val="auto"/>
              </w:rPr>
            </w:pPr>
          </w:p>
        </w:tc>
        <w:tc>
          <w:tcPr>
            <w:tcW w:w="3960" w:type="dxa"/>
            <w:vAlign w:val="bottom"/>
            <w:tcBorders>
              <w:bottom w:val="single" w:sz="8" w:color="9A9A9A"/>
            </w:tcBorders>
          </w:tcPr>
          <w:p>
            <w:pPr>
              <w:spacing w:after="0"/>
              <w:rPr>
                <w:sz w:val="13"/>
                <w:szCs w:val="13"/>
                <w:color w:val="auto"/>
              </w:rPr>
            </w:pPr>
          </w:p>
        </w:tc>
        <w:tc>
          <w:tcPr>
            <w:tcW w:w="33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3" w:name="page134"/>
    <w:bookmarkEnd w:id="133"/>
    <w:p>
      <w:pPr>
        <w:ind w:right="280"/>
        <w:spacing w:after="0" w:line="252" w:lineRule="auto"/>
        <w:rPr>
          <w:sz w:val="20"/>
          <w:szCs w:val="20"/>
          <w:color w:val="auto"/>
        </w:rPr>
      </w:pPr>
      <w:r>
        <w:rPr>
          <w:rFonts w:ascii="Arial" w:cs="Arial" w:eastAsia="Arial" w:hAnsi="Arial"/>
          <w:sz w:val="18"/>
          <w:szCs w:val="18"/>
          <w:color w:val="auto"/>
        </w:rPr>
        <w:t>metered or billed to Lessee, Lessee shall pay a reasonable proportion, to be determined by Lessor, of all charges jointly metered or billed. There shall be no abatement of rent and Lessor shall not be liable in any respect whatsoever for the inadequacy, stoppage, interruption or discontinuance of any utility or service due to riot, strike, labor dispute, breakdown, accident, repair or other cause beyond Lessor’s reasonable control or in cooperation with governmental requestor directions.</w:t>
      </w:r>
    </w:p>
    <w:p>
      <w:pPr>
        <w:spacing w:after="0" w:line="292" w:lineRule="exact"/>
        <w:rPr>
          <w:sz w:val="20"/>
          <w:szCs w:val="20"/>
          <w:color w:val="auto"/>
        </w:rPr>
      </w:pPr>
    </w:p>
    <w:p>
      <w:pPr>
        <w:ind w:left="460" w:hanging="452"/>
        <w:spacing w:after="0"/>
        <w:tabs>
          <w:tab w:leader="none" w:pos="4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 and Subletting.</w:t>
      </w:r>
    </w:p>
    <w:p>
      <w:pPr>
        <w:spacing w:after="0" w:line="104"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b w:val="1"/>
          <w:bCs w:val="1"/>
          <w:color w:val="auto"/>
        </w:rPr>
        <w:t>Lessor’s Consent Required.</w:t>
      </w:r>
    </w:p>
    <w:p>
      <w:pPr>
        <w:spacing w:after="0" w:line="104" w:lineRule="exact"/>
        <w:rPr>
          <w:sz w:val="20"/>
          <w:szCs w:val="20"/>
          <w:color w:val="auto"/>
        </w:rPr>
      </w:pPr>
    </w:p>
    <w:p>
      <w:pPr>
        <w:ind w:right="580" w:firstLine="1154"/>
        <w:spacing w:after="0" w:line="296" w:lineRule="auto"/>
        <w:tabs>
          <w:tab w:leader="none" w:pos="156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Lessee shall not voluntarily or by operation of law assign, transfer, mortgage or encumber (collectively, </w:t>
      </w:r>
      <w:r>
        <w:rPr>
          <w:rFonts w:ascii="Arial" w:cs="Arial" w:eastAsia="Arial" w:hAnsi="Arial"/>
          <w:sz w:val="18"/>
          <w:szCs w:val="18"/>
          <w:b w:val="1"/>
          <w:bCs w:val="1"/>
          <w:color w:val="auto"/>
        </w:rPr>
        <w:t>“assign or</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assignment”) </w:t>
      </w:r>
      <w:r>
        <w:rPr>
          <w:rFonts w:ascii="Arial" w:cs="Arial" w:eastAsia="Arial" w:hAnsi="Arial"/>
          <w:sz w:val="18"/>
          <w:szCs w:val="18"/>
          <w:color w:val="auto"/>
        </w:rPr>
        <w:t>or sublet all or any part, of Lessee’s interest in this Lease or in the Premises without Lessor’s prior written consent.</w:t>
      </w:r>
    </w:p>
    <w:p>
      <w:pPr>
        <w:spacing w:after="0" w:line="110" w:lineRule="exact"/>
        <w:rPr>
          <w:sz w:val="20"/>
          <w:szCs w:val="20"/>
          <w:color w:val="auto"/>
        </w:rPr>
      </w:pPr>
    </w:p>
    <w:p>
      <w:pPr>
        <w:ind w:right="520" w:firstLine="1146"/>
        <w:spacing w:after="0" w:line="287" w:lineRule="auto"/>
        <w:rPr>
          <w:sz w:val="20"/>
          <w:szCs w:val="20"/>
          <w:color w:val="auto"/>
        </w:rPr>
      </w:pPr>
      <w:r>
        <w:rPr>
          <w:rFonts w:ascii="Arial" w:cs="Arial" w:eastAsia="Arial" w:hAnsi="Arial"/>
          <w:sz w:val="18"/>
          <w:szCs w:val="18"/>
          <w:color w:val="auto"/>
        </w:rPr>
        <w:t>Lessor shall expressly consent an assignment by Lessee if there is a merger, consolidation, reorganization, or change of control of Lessee.</w:t>
      </w:r>
    </w:p>
    <w:p>
      <w:pPr>
        <w:spacing w:after="0" w:line="139" w:lineRule="exact"/>
        <w:rPr>
          <w:sz w:val="20"/>
          <w:szCs w:val="20"/>
          <w:color w:val="auto"/>
        </w:rPr>
      </w:pPr>
    </w:p>
    <w:p>
      <w:pPr>
        <w:ind w:right="160" w:firstLine="1154"/>
        <w:spacing w:after="0" w:line="246" w:lineRule="auto"/>
        <w:tabs>
          <w:tab w:leader="none" w:pos="156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 assignment or subletting without consent shall, at Lessor’s option, be a Default curable after notice per Paragraph 13.1(d), or a noncurable Breach without the necessity of any notice and grace period. If Lessor elects to treat such unapproved assignment or subletting as a noncurable Breach, Lessor may either: (i) terminate this Lease, or (ii) upon 30 days written notice, increase the monthly Base Rent to 110% of the Base Rent then in effect. Further, in the event of such Breach and rental adjustment, (i) the purchase price of any option to purchase the Premises held by Lessee shall be subject to similar adjustment to 110% of the price previously in effect, and (ii) all fixed and non-fixed rental adjustments scheduled during the remainder of the Lease term shall be increased to 110% of the scheduled adjusted rent.</w:t>
      </w:r>
    </w:p>
    <w:p>
      <w:pPr>
        <w:spacing w:after="0" w:line="175" w:lineRule="exact"/>
        <w:rPr>
          <w:rFonts w:ascii="Arial" w:cs="Arial" w:eastAsia="Arial" w:hAnsi="Arial"/>
          <w:sz w:val="18"/>
          <w:szCs w:val="18"/>
          <w:color w:val="auto"/>
        </w:rPr>
      </w:pPr>
    </w:p>
    <w:p>
      <w:pPr>
        <w:ind w:left="1580" w:hanging="426"/>
        <w:spacing w:after="0"/>
        <w:tabs>
          <w:tab w:leader="none" w:pos="15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Lessee’s remedy for any breach of Paragraph 12.1 by Lessor shall be limited to compensatory damages and/or injunctive</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relief.</w:t>
      </w:r>
    </w:p>
    <w:p>
      <w:pPr>
        <w:spacing w:after="0" w:line="207" w:lineRule="exact"/>
        <w:rPr>
          <w:rFonts w:ascii="Arial" w:cs="Arial" w:eastAsia="Arial" w:hAnsi="Arial"/>
          <w:sz w:val="18"/>
          <w:szCs w:val="18"/>
          <w:color w:val="auto"/>
        </w:rPr>
      </w:pPr>
    </w:p>
    <w:p>
      <w:pPr>
        <w:ind w:right="660" w:firstLine="1154"/>
        <w:spacing w:after="0" w:line="271" w:lineRule="auto"/>
        <w:tabs>
          <w:tab w:leader="none" w:pos="151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Lessor may reasonably withhold consent to a proposed assignment or subletting if Lessee is in Default at the time consent is requested.</w:t>
      </w:r>
    </w:p>
    <w:p>
      <w:pPr>
        <w:spacing w:after="0" w:line="153" w:lineRule="exact"/>
        <w:rPr>
          <w:rFonts w:ascii="Arial" w:cs="Arial" w:eastAsia="Arial" w:hAnsi="Arial"/>
          <w:sz w:val="18"/>
          <w:szCs w:val="18"/>
          <w:color w:val="auto"/>
        </w:rPr>
      </w:pPr>
    </w:p>
    <w:p>
      <w:pPr>
        <w:ind w:right="180" w:firstLine="1154"/>
        <w:spacing w:after="0" w:line="287" w:lineRule="auto"/>
        <w:tabs>
          <w:tab w:leader="none" w:pos="156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Notwithstanding the foregoing, allowing a de minimis portion of the Premises, ie. 20 square feet or less, to be used by a third party vendor in connection with the installation of a vending machine or payphone shall not constitute a subletting.</w:t>
      </w:r>
    </w:p>
    <w:p>
      <w:pPr>
        <w:spacing w:after="0" w:line="247"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7"/>
          <w:szCs w:val="17"/>
          <w:b w:val="1"/>
          <w:bCs w:val="1"/>
          <w:color w:val="auto"/>
        </w:rPr>
        <w:t>Terms and Conditions Applicable to Assignment and Subletting.</w:t>
      </w:r>
    </w:p>
    <w:p>
      <w:pPr>
        <w:spacing w:after="0" w:line="104" w:lineRule="exact"/>
        <w:rPr>
          <w:sz w:val="20"/>
          <w:szCs w:val="20"/>
          <w:color w:val="auto"/>
        </w:rPr>
      </w:pPr>
    </w:p>
    <w:p>
      <w:pPr>
        <w:jc w:val="both"/>
        <w:ind w:right="20" w:firstLine="1154"/>
        <w:spacing w:after="0" w:line="261" w:lineRule="auto"/>
        <w:tabs>
          <w:tab w:leader="none" w:pos="156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Regardless of Lessor’s consent, no assignment or subletting shall: (i) be effective without the express written assumption by such assignee or sublessee of the obligations of Lessee under this Lease, (ii) release Lessee of any obligations hereunder, or (iii) alter the primary liability of Lessee for the payment of Rent or for the performance of any other obligations to be performed by Lessee.</w:t>
      </w:r>
    </w:p>
    <w:p>
      <w:pPr>
        <w:spacing w:after="0" w:line="161" w:lineRule="exact"/>
        <w:rPr>
          <w:rFonts w:ascii="Arial" w:cs="Arial" w:eastAsia="Arial" w:hAnsi="Arial"/>
          <w:sz w:val="18"/>
          <w:szCs w:val="18"/>
          <w:color w:val="auto"/>
        </w:rPr>
      </w:pPr>
    </w:p>
    <w:p>
      <w:pPr>
        <w:jc w:val="both"/>
        <w:ind w:right="80" w:firstLine="1154"/>
        <w:spacing w:after="0" w:line="261" w:lineRule="auto"/>
        <w:tabs>
          <w:tab w:leader="none" w:pos="156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Lessor may accept Rent or performance of Lessee’s obligations from any person other than Lessee pending approval or disapproval of an assignment. Neither a delay in the approval or disapproval of such assignment nor the acceptance of Rent or performance shall constitute a waiver or estoppel of Lessor’s right to exercise its remedies for Lessee’s Default or Breach.</w:t>
      </w:r>
    </w:p>
    <w:p>
      <w:pPr>
        <w:spacing w:after="0" w:line="161" w:lineRule="exact"/>
        <w:rPr>
          <w:rFonts w:ascii="Arial" w:cs="Arial" w:eastAsia="Arial" w:hAnsi="Arial"/>
          <w:sz w:val="18"/>
          <w:szCs w:val="18"/>
          <w:color w:val="auto"/>
        </w:rPr>
      </w:pPr>
    </w:p>
    <w:p>
      <w:pPr>
        <w:ind w:left="1560" w:hanging="406"/>
        <w:spacing w:after="0"/>
        <w:tabs>
          <w:tab w:leader="none" w:pos="15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Lessor’s consent to any assignment or subletting shall not constitute a consent to any subsequent assignment or</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subletting.</w:t>
      </w:r>
    </w:p>
    <w:p>
      <w:pPr>
        <w:spacing w:after="0" w:line="207" w:lineRule="exact"/>
        <w:rPr>
          <w:rFonts w:ascii="Arial" w:cs="Arial" w:eastAsia="Arial" w:hAnsi="Arial"/>
          <w:sz w:val="18"/>
          <w:szCs w:val="18"/>
          <w:color w:val="auto"/>
        </w:rPr>
      </w:pPr>
    </w:p>
    <w:p>
      <w:pPr>
        <w:ind w:right="60" w:firstLine="1161"/>
        <w:spacing w:after="0" w:line="253" w:lineRule="auto"/>
        <w:tabs>
          <w:tab w:leader="none" w:pos="1573"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the event of any Default or Breach by Lessee, Lessor may proceed directly against Lessee, any Guarantors or anyone else responsible for the performance of Lessee’s obligations under this Lease, including any assignee or sublessee, without first exhausting Lessor’s remedies against any other person or entity responsible therefor to Lessor, or any security held by Lessor.</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INITIALS</w:t>
            </w:r>
          </w:p>
        </w:tc>
        <w:tc>
          <w:tcPr>
            <w:tcW w:w="3960" w:type="dxa"/>
            <w:vAlign w:val="bottom"/>
          </w:tcPr>
          <w:p>
            <w:pPr>
              <w:ind w:left="1460"/>
              <w:spacing w:after="0"/>
              <w:rPr>
                <w:sz w:val="20"/>
                <w:szCs w:val="20"/>
                <w:color w:val="auto"/>
              </w:rPr>
            </w:pPr>
            <w:r>
              <w:rPr>
                <w:rFonts w:ascii="Arial" w:cs="Arial" w:eastAsia="Arial" w:hAnsi="Arial"/>
                <w:sz w:val="18"/>
                <w:szCs w:val="18"/>
                <w:color w:val="auto"/>
              </w:rPr>
              <w:t>Page 15 of 28</w:t>
            </w:r>
          </w:p>
        </w:tc>
        <w:tc>
          <w:tcPr>
            <w:tcW w:w="3380" w:type="dxa"/>
            <w:vAlign w:val="bottom"/>
            <w:vMerge w:val="restart"/>
          </w:tcPr>
          <w:p>
            <w:pPr>
              <w:jc w:val="right"/>
              <w:spacing w:after="0"/>
              <w:rPr>
                <w:sz w:val="20"/>
                <w:szCs w:val="20"/>
                <w:color w:val="auto"/>
              </w:rPr>
            </w:pPr>
            <w:r>
              <w:rPr>
                <w:rFonts w:ascii="Arial" w:cs="Arial" w:eastAsia="Arial" w:hAnsi="Arial"/>
                <w:sz w:val="18"/>
                <w:szCs w:val="18"/>
                <w:color w:val="auto"/>
              </w:rPr>
              <w:t>INITIALS</w:t>
            </w:r>
          </w:p>
        </w:tc>
        <w:tc>
          <w:tcPr>
            <w:tcW w:w="0" w:type="dxa"/>
            <w:vAlign w:val="bottom"/>
          </w:tcPr>
          <w:p>
            <w:pPr>
              <w:spacing w:after="0"/>
              <w:rPr>
                <w:sz w:val="1"/>
                <w:szCs w:val="1"/>
                <w:color w:val="auto"/>
              </w:rPr>
            </w:pPr>
          </w:p>
        </w:tc>
      </w:tr>
      <w:tr>
        <w:trPr>
          <w:trHeight w:val="94"/>
        </w:trPr>
        <w:tc>
          <w:tcPr>
            <w:tcW w:w="3900" w:type="dxa"/>
            <w:vAlign w:val="bottom"/>
            <w:vMerge w:val="continue"/>
          </w:tcPr>
          <w:p>
            <w:pPr>
              <w:spacing w:after="0"/>
              <w:rPr>
                <w:sz w:val="8"/>
                <w:szCs w:val="8"/>
                <w:color w:val="auto"/>
              </w:rPr>
            </w:pPr>
          </w:p>
        </w:tc>
        <w:tc>
          <w:tcPr>
            <w:tcW w:w="3960" w:type="dxa"/>
            <w:vAlign w:val="bottom"/>
            <w:vMerge w:val="restart"/>
          </w:tcPr>
          <w:p>
            <w:pPr>
              <w:ind w:left="780"/>
              <w:spacing w:after="0"/>
              <w:rPr>
                <w:sz w:val="20"/>
                <w:szCs w:val="20"/>
                <w:color w:val="auto"/>
              </w:rPr>
            </w:pPr>
            <w:r>
              <w:rPr>
                <w:rFonts w:ascii="Arial" w:cs="Arial" w:eastAsia="Arial" w:hAnsi="Arial"/>
                <w:sz w:val="18"/>
                <w:szCs w:val="18"/>
                <w:color w:val="auto"/>
              </w:rPr>
              <w:t>Last Edited 2/7/2018 1:59 PM</w:t>
            </w:r>
          </w:p>
        </w:tc>
        <w:tc>
          <w:tcPr>
            <w:tcW w:w="3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 2017 AIR CRE. All Rights Reserved.</w:t>
            </w:r>
          </w:p>
        </w:tc>
        <w:tc>
          <w:tcPr>
            <w:tcW w:w="3960" w:type="dxa"/>
            <w:vAlign w:val="bottom"/>
            <w:vMerge w:val="continue"/>
          </w:tcPr>
          <w:p>
            <w:pPr>
              <w:spacing w:after="0"/>
              <w:rPr>
                <w:sz w:val="12"/>
                <w:szCs w:val="12"/>
                <w:color w:val="auto"/>
              </w:rPr>
            </w:pPr>
          </w:p>
        </w:tc>
        <w:tc>
          <w:tcPr>
            <w:tcW w:w="3380" w:type="dxa"/>
            <w:vAlign w:val="bottom"/>
            <w:vMerge w:val="restart"/>
          </w:tcPr>
          <w:p>
            <w:pPr>
              <w:jc w:val="right"/>
              <w:spacing w:after="0"/>
              <w:rPr>
                <w:sz w:val="20"/>
                <w:szCs w:val="20"/>
                <w:color w:val="auto"/>
              </w:rPr>
            </w:pPr>
            <w:r>
              <w:rPr>
                <w:rFonts w:ascii="Arial" w:cs="Arial" w:eastAsia="Arial" w:hAnsi="Arial"/>
                <w:sz w:val="18"/>
                <w:szCs w:val="18"/>
                <w:color w:val="auto"/>
              </w:rPr>
              <w:t>STN-27.10, Revised 11-01-2017</w:t>
            </w:r>
          </w:p>
        </w:tc>
        <w:tc>
          <w:tcPr>
            <w:tcW w:w="0" w:type="dxa"/>
            <w:vAlign w:val="bottom"/>
          </w:tcPr>
          <w:p>
            <w:pPr>
              <w:spacing w:after="0"/>
              <w:rPr>
                <w:sz w:val="1"/>
                <w:szCs w:val="1"/>
                <w:color w:val="auto"/>
              </w:rPr>
            </w:pPr>
          </w:p>
        </w:tc>
      </w:tr>
      <w:tr>
        <w:trPr>
          <w:trHeight w:val="95"/>
        </w:trPr>
        <w:tc>
          <w:tcPr>
            <w:tcW w:w="3900" w:type="dxa"/>
            <w:vAlign w:val="bottom"/>
            <w:vMerge w:val="continue"/>
          </w:tcPr>
          <w:p>
            <w:pPr>
              <w:spacing w:after="0"/>
              <w:rPr>
                <w:sz w:val="8"/>
                <w:szCs w:val="8"/>
                <w:color w:val="auto"/>
              </w:rPr>
            </w:pPr>
          </w:p>
        </w:tc>
        <w:tc>
          <w:tcPr>
            <w:tcW w:w="3960" w:type="dxa"/>
            <w:vAlign w:val="bottom"/>
          </w:tcPr>
          <w:p>
            <w:pPr>
              <w:spacing w:after="0"/>
              <w:rPr>
                <w:sz w:val="8"/>
                <w:szCs w:val="8"/>
                <w:color w:val="auto"/>
              </w:rPr>
            </w:pPr>
          </w:p>
        </w:tc>
        <w:tc>
          <w:tcPr>
            <w:tcW w:w="3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3900" w:type="dxa"/>
            <w:vAlign w:val="bottom"/>
            <w:tcBorders>
              <w:bottom w:val="single" w:sz="8" w:color="9A9A9A"/>
            </w:tcBorders>
          </w:tcPr>
          <w:p>
            <w:pPr>
              <w:spacing w:after="0"/>
              <w:rPr>
                <w:sz w:val="12"/>
                <w:szCs w:val="12"/>
                <w:color w:val="auto"/>
              </w:rPr>
            </w:pPr>
          </w:p>
        </w:tc>
        <w:tc>
          <w:tcPr>
            <w:tcW w:w="3960" w:type="dxa"/>
            <w:vAlign w:val="bottom"/>
            <w:tcBorders>
              <w:bottom w:val="single" w:sz="8" w:color="9A9A9A"/>
            </w:tcBorders>
          </w:tcPr>
          <w:p>
            <w:pPr>
              <w:spacing w:after="0"/>
              <w:rPr>
                <w:sz w:val="12"/>
                <w:szCs w:val="12"/>
                <w:color w:val="auto"/>
              </w:rPr>
            </w:pPr>
          </w:p>
        </w:tc>
        <w:tc>
          <w:tcPr>
            <w:tcW w:w="33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4" w:name="page135"/>
    <w:bookmarkEnd w:id="134"/>
    <w:p>
      <w:pPr>
        <w:ind w:right="80" w:firstLine="1154"/>
        <w:spacing w:after="0" w:line="251" w:lineRule="auto"/>
        <w:tabs>
          <w:tab w:leader="none" w:pos="156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Each request for consent to an assignment or subletting shall be in writing, accompanied by information relevant to Lessor’s determination as to the financial and operational responsibility and appropriateness of the proposed assignee or sublessee, including but not limited to the intended use and/or required modification of the Premises, if any, together with a fee of $500 as consideration for Lessor’s considering and processing said request. Lessee agrees to provide Lessor with such other or additional information and/or documentation as may be reasonably requested. (See also Paragraph 36)</w:t>
      </w:r>
    </w:p>
    <w:p>
      <w:pPr>
        <w:spacing w:after="0" w:line="173" w:lineRule="exact"/>
        <w:rPr>
          <w:rFonts w:ascii="Arial" w:cs="Arial" w:eastAsia="Arial" w:hAnsi="Arial"/>
          <w:sz w:val="18"/>
          <w:szCs w:val="18"/>
          <w:color w:val="auto"/>
        </w:rPr>
      </w:pPr>
    </w:p>
    <w:p>
      <w:pPr>
        <w:ind w:right="80" w:firstLine="1154"/>
        <w:spacing w:after="0" w:line="247" w:lineRule="auto"/>
        <w:tabs>
          <w:tab w:leader="none" w:pos="151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assignee of, or sublessee under, this Lease shall, by reason of accepting such assignment, entering into such sublease, or entering into possession of the Premises or any portion thereof, be deemed to have assumed and agreed to conform and comply with each and every term, covenant, condition and obligation herein to be observed or performed by Lessee during the term of said assignment or sublease, other than such obligations as are contrary to or inconsistent with provisions of an assignment or sublease to which Lessor has specifically consented to in writing.</w:t>
      </w:r>
    </w:p>
    <w:p>
      <w:pPr>
        <w:spacing w:after="0" w:line="190" w:lineRule="exact"/>
        <w:rPr>
          <w:rFonts w:ascii="Arial" w:cs="Arial" w:eastAsia="Arial" w:hAnsi="Arial"/>
          <w:sz w:val="18"/>
          <w:szCs w:val="18"/>
          <w:color w:val="auto"/>
        </w:rPr>
      </w:pPr>
    </w:p>
    <w:p>
      <w:pPr>
        <w:ind w:right="280" w:firstLine="1154"/>
        <w:spacing w:after="0" w:line="271" w:lineRule="auto"/>
        <w:tabs>
          <w:tab w:leader="none" w:pos="156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Lessor’s consent to any assignment or subletting shall not transfer to the assignee or sublessee any Option granted to the original Lessee by this Lease unless such transfer is specifically consented to by Lessor in writing. (See Paragraph 39.2)</w:t>
      </w:r>
    </w:p>
    <w:p>
      <w:pPr>
        <w:spacing w:after="0" w:line="154"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b w:val="1"/>
          <w:bCs w:val="1"/>
          <w:color w:val="auto"/>
        </w:rPr>
        <w:t>Additional Terms and Conditions Applicable to Subletting.</w:t>
      </w:r>
      <w:r>
        <w:rPr>
          <w:rFonts w:ascii="Arial" w:cs="Arial" w:eastAsia="Arial" w:hAnsi="Arial"/>
          <w:sz w:val="18"/>
          <w:szCs w:val="18"/>
          <w:color w:val="auto"/>
        </w:rPr>
        <w:t xml:space="preserve"> The following terms and conditions shall apply to any subletting by Lessee of all or any part of the Premises and shall be deemed included in all subleases under this Lease whether or not expressly incorporated therein:</w:t>
      </w:r>
    </w:p>
    <w:p>
      <w:pPr>
        <w:spacing w:after="0" w:line="162" w:lineRule="exact"/>
        <w:rPr>
          <w:sz w:val="20"/>
          <w:szCs w:val="20"/>
          <w:color w:val="auto"/>
        </w:rPr>
      </w:pPr>
    </w:p>
    <w:p>
      <w:pPr>
        <w:ind w:firstLine="1154"/>
        <w:spacing w:after="0" w:line="245" w:lineRule="auto"/>
        <w:tabs>
          <w:tab w:leader="none" w:pos="156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Lessee hereby assigns and transfers to Lessor all of Lessee’s interest in all Rent payable on any sublease, and Lessor may collect such Rent and apply same toward Lessee’s obligations under this Lease; provided, however, that until a Breach shall occur in the performance of Lessee’s obligations, Lessee may collect said Rent. In the event that the amount collected by Lessor exceeds Lessee’s then outstanding obligations any such excess shall be refunded to Lessee. Lessor shall not, by reason of the foregoing or any assignment of such sublease, nor by reason of the collection of Rent, be deemed liable to the sublessee for any failure of Lessee to perform and comply with any of Lessee’s obligations to such sublessee. Lessee hereby irrevocably authorizes and directs any such sublessee, upon receipt of a written notice from Lessor stating that a Breach exists in the performance of Lessee’s obligations under this Lease, to pay to Lessor all Rent due and to become due under the sublease. Sublessee shall rely upon any such notice from Lessor and shall pay all Rents to Lessor without any obligation or right to inquire as to whether such Breach exists, notwithstanding any claim from Lessee to the contrary.</w:t>
      </w:r>
    </w:p>
    <w:p>
      <w:pPr>
        <w:spacing w:after="0" w:line="163" w:lineRule="exact"/>
        <w:rPr>
          <w:rFonts w:ascii="Arial" w:cs="Arial" w:eastAsia="Arial" w:hAnsi="Arial"/>
          <w:sz w:val="18"/>
          <w:szCs w:val="18"/>
          <w:color w:val="auto"/>
        </w:rPr>
      </w:pPr>
    </w:p>
    <w:p>
      <w:pPr>
        <w:ind w:firstLine="1161"/>
        <w:spacing w:after="0" w:line="252" w:lineRule="auto"/>
        <w:tabs>
          <w:tab w:leader="none" w:pos="1573"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 the event of a Breach by Lessee, Lessor may, at its option, require sublessee to attorn to Lessor, in which event Lessor shall undertake the obligations of the sublessor under such sublease from the time of the exercise of said option to the expiration of such sublease; provided, however, Lessor shall not be liable for any prepaid rents or security deposit paid by such sublessee to such sublessor or for any prior Defaults or Breaches of such sublessor.</w:t>
      </w:r>
    </w:p>
    <w:p>
      <w:pPr>
        <w:spacing w:after="0" w:line="170" w:lineRule="exact"/>
        <w:rPr>
          <w:rFonts w:ascii="Arial" w:cs="Arial" w:eastAsia="Arial" w:hAnsi="Arial"/>
          <w:sz w:val="18"/>
          <w:szCs w:val="18"/>
          <w:color w:val="auto"/>
        </w:rPr>
      </w:pPr>
    </w:p>
    <w:p>
      <w:pPr>
        <w:ind w:left="1560" w:hanging="406"/>
        <w:spacing w:after="0"/>
        <w:tabs>
          <w:tab w:leader="none" w:pos="15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matter requiring the consent of the sublessor under a sublease shall also require the consent of Lessor.</w:t>
      </w:r>
    </w:p>
    <w:p>
      <w:pPr>
        <w:spacing w:after="0" w:line="225" w:lineRule="exact"/>
        <w:rPr>
          <w:rFonts w:ascii="Arial" w:cs="Arial" w:eastAsia="Arial" w:hAnsi="Arial"/>
          <w:sz w:val="18"/>
          <w:szCs w:val="18"/>
          <w:color w:val="auto"/>
        </w:rPr>
      </w:pPr>
    </w:p>
    <w:p>
      <w:pPr>
        <w:ind w:left="1580" w:hanging="426"/>
        <w:spacing w:after="0"/>
        <w:tabs>
          <w:tab w:leader="none" w:pos="15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No sublessee shall further assign or sublet all or any part of the Premises without Lessor’s prior written consent.</w:t>
      </w:r>
    </w:p>
    <w:p>
      <w:pPr>
        <w:spacing w:after="0" w:line="211" w:lineRule="exact"/>
        <w:rPr>
          <w:rFonts w:ascii="Arial" w:cs="Arial" w:eastAsia="Arial" w:hAnsi="Arial"/>
          <w:sz w:val="18"/>
          <w:szCs w:val="18"/>
          <w:color w:val="auto"/>
        </w:rPr>
      </w:pPr>
    </w:p>
    <w:p>
      <w:pPr>
        <w:ind w:firstLine="1154"/>
        <w:spacing w:after="0" w:line="261" w:lineRule="auto"/>
        <w:tabs>
          <w:tab w:leader="none" w:pos="156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Lessor shall deliver a copy of any notice of Default or Breach by Lessee to the sublessee, who shall have the right to cure the Default of Lessee within the grace period, if any, specified in such notice. The sublessee shall have a right of reimbursement and offset from and against Lessee for any such Defaults cured by the sublessee.</w:t>
      </w:r>
    </w:p>
    <w:p>
      <w:pPr>
        <w:spacing w:after="0" w:line="162" w:lineRule="exact"/>
        <w:rPr>
          <w:sz w:val="20"/>
          <w:szCs w:val="20"/>
          <w:color w:val="auto"/>
        </w:rPr>
      </w:pPr>
    </w:p>
    <w:p>
      <w:pPr>
        <w:ind w:left="460" w:hanging="452"/>
        <w:spacing w:after="0"/>
        <w:tabs>
          <w:tab w:leader="none" w:pos="4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Default; Breach; Remedies.</w:t>
      </w:r>
    </w:p>
    <w:p>
      <w:pPr>
        <w:spacing w:after="0" w:line="104"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b w:val="1"/>
          <w:bCs w:val="1"/>
          <w:color w:val="auto"/>
        </w:rPr>
        <w:t>Default; Breach.</w:t>
      </w:r>
      <w:r>
        <w:rPr>
          <w:rFonts w:ascii="Arial" w:cs="Arial" w:eastAsia="Arial" w:hAnsi="Arial"/>
          <w:sz w:val="18"/>
          <w:szCs w:val="18"/>
          <w:color w:val="auto"/>
        </w:rPr>
        <w:t xml:space="preserve"> A </w:t>
      </w:r>
      <w:r>
        <w:rPr>
          <w:rFonts w:ascii="Arial" w:cs="Arial" w:eastAsia="Arial" w:hAnsi="Arial"/>
          <w:sz w:val="18"/>
          <w:szCs w:val="18"/>
          <w:b w:val="1"/>
          <w:bCs w:val="1"/>
          <w:color w:val="auto"/>
        </w:rPr>
        <w:t>“Default”</w:t>
      </w:r>
      <w:r>
        <w:rPr>
          <w:rFonts w:ascii="Arial" w:cs="Arial" w:eastAsia="Arial" w:hAnsi="Arial"/>
          <w:sz w:val="18"/>
          <w:szCs w:val="18"/>
          <w:color w:val="auto"/>
        </w:rPr>
        <w:t xml:space="preserve"> is defined as a failure by the Lessee to comply with or perform any of the terms, covenants, conditions or Rules and Regulations under this Lease. A </w:t>
      </w:r>
      <w:r>
        <w:rPr>
          <w:rFonts w:ascii="Arial" w:cs="Arial" w:eastAsia="Arial" w:hAnsi="Arial"/>
          <w:sz w:val="18"/>
          <w:szCs w:val="18"/>
          <w:b w:val="1"/>
          <w:bCs w:val="1"/>
          <w:color w:val="auto"/>
        </w:rPr>
        <w:t>“Breach”</w:t>
      </w:r>
      <w:r>
        <w:rPr>
          <w:rFonts w:ascii="Arial" w:cs="Arial" w:eastAsia="Arial" w:hAnsi="Arial"/>
          <w:sz w:val="18"/>
          <w:szCs w:val="18"/>
          <w:color w:val="auto"/>
        </w:rPr>
        <w:t xml:space="preserve"> is defined as the occurrence of one or more of the following Defaults, and the failure of Lessee to cure such Default within any applicable grace period:</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INITIALS</w:t>
            </w:r>
          </w:p>
        </w:tc>
        <w:tc>
          <w:tcPr>
            <w:tcW w:w="3960" w:type="dxa"/>
            <w:vAlign w:val="bottom"/>
          </w:tcPr>
          <w:p>
            <w:pPr>
              <w:ind w:left="1460"/>
              <w:spacing w:after="0"/>
              <w:rPr>
                <w:sz w:val="20"/>
                <w:szCs w:val="20"/>
                <w:color w:val="auto"/>
              </w:rPr>
            </w:pPr>
            <w:r>
              <w:rPr>
                <w:rFonts w:ascii="Arial" w:cs="Arial" w:eastAsia="Arial" w:hAnsi="Arial"/>
                <w:sz w:val="18"/>
                <w:szCs w:val="18"/>
                <w:color w:val="auto"/>
              </w:rPr>
              <w:t>Page 16 of 28</w:t>
            </w:r>
          </w:p>
        </w:tc>
        <w:tc>
          <w:tcPr>
            <w:tcW w:w="3380" w:type="dxa"/>
            <w:vAlign w:val="bottom"/>
            <w:vMerge w:val="restart"/>
          </w:tcPr>
          <w:p>
            <w:pPr>
              <w:jc w:val="right"/>
              <w:spacing w:after="0"/>
              <w:rPr>
                <w:sz w:val="20"/>
                <w:szCs w:val="20"/>
                <w:color w:val="auto"/>
              </w:rPr>
            </w:pPr>
            <w:r>
              <w:rPr>
                <w:rFonts w:ascii="Arial" w:cs="Arial" w:eastAsia="Arial" w:hAnsi="Arial"/>
                <w:sz w:val="18"/>
                <w:szCs w:val="18"/>
                <w:color w:val="auto"/>
              </w:rPr>
              <w:t>INITIALS</w:t>
            </w:r>
          </w:p>
        </w:tc>
        <w:tc>
          <w:tcPr>
            <w:tcW w:w="0" w:type="dxa"/>
            <w:vAlign w:val="bottom"/>
          </w:tcPr>
          <w:p>
            <w:pPr>
              <w:spacing w:after="0"/>
              <w:rPr>
                <w:sz w:val="1"/>
                <w:szCs w:val="1"/>
                <w:color w:val="auto"/>
              </w:rPr>
            </w:pPr>
          </w:p>
        </w:tc>
      </w:tr>
      <w:tr>
        <w:trPr>
          <w:trHeight w:val="95"/>
        </w:trPr>
        <w:tc>
          <w:tcPr>
            <w:tcW w:w="3900" w:type="dxa"/>
            <w:vAlign w:val="bottom"/>
            <w:vMerge w:val="continue"/>
          </w:tcPr>
          <w:p>
            <w:pPr>
              <w:spacing w:after="0"/>
              <w:rPr>
                <w:sz w:val="8"/>
                <w:szCs w:val="8"/>
                <w:color w:val="auto"/>
              </w:rPr>
            </w:pPr>
          </w:p>
        </w:tc>
        <w:tc>
          <w:tcPr>
            <w:tcW w:w="3960" w:type="dxa"/>
            <w:vAlign w:val="bottom"/>
            <w:vMerge w:val="restart"/>
          </w:tcPr>
          <w:p>
            <w:pPr>
              <w:ind w:left="780"/>
              <w:spacing w:after="0"/>
              <w:rPr>
                <w:sz w:val="20"/>
                <w:szCs w:val="20"/>
                <w:color w:val="auto"/>
              </w:rPr>
            </w:pPr>
            <w:r>
              <w:rPr>
                <w:rFonts w:ascii="Arial" w:cs="Arial" w:eastAsia="Arial" w:hAnsi="Arial"/>
                <w:sz w:val="18"/>
                <w:szCs w:val="18"/>
                <w:color w:val="auto"/>
              </w:rPr>
              <w:t>Last Edited 2/7/2018 1:59 PM</w:t>
            </w:r>
          </w:p>
        </w:tc>
        <w:tc>
          <w:tcPr>
            <w:tcW w:w="3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 2017 AIR CRE. All Rights Reserved.</w:t>
            </w:r>
          </w:p>
        </w:tc>
        <w:tc>
          <w:tcPr>
            <w:tcW w:w="3960" w:type="dxa"/>
            <w:vAlign w:val="bottom"/>
            <w:vMerge w:val="continue"/>
          </w:tcPr>
          <w:p>
            <w:pPr>
              <w:spacing w:after="0"/>
              <w:rPr>
                <w:sz w:val="12"/>
                <w:szCs w:val="12"/>
                <w:color w:val="auto"/>
              </w:rPr>
            </w:pPr>
          </w:p>
        </w:tc>
        <w:tc>
          <w:tcPr>
            <w:tcW w:w="3380" w:type="dxa"/>
            <w:vAlign w:val="bottom"/>
            <w:vMerge w:val="restart"/>
          </w:tcPr>
          <w:p>
            <w:pPr>
              <w:jc w:val="right"/>
              <w:spacing w:after="0"/>
              <w:rPr>
                <w:sz w:val="20"/>
                <w:szCs w:val="20"/>
                <w:color w:val="auto"/>
              </w:rPr>
            </w:pPr>
            <w:r>
              <w:rPr>
                <w:rFonts w:ascii="Arial" w:cs="Arial" w:eastAsia="Arial" w:hAnsi="Arial"/>
                <w:sz w:val="18"/>
                <w:szCs w:val="18"/>
                <w:color w:val="auto"/>
              </w:rPr>
              <w:t>STN-27.10, Revised 11-01-2017</w:t>
            </w:r>
          </w:p>
        </w:tc>
        <w:tc>
          <w:tcPr>
            <w:tcW w:w="0" w:type="dxa"/>
            <w:vAlign w:val="bottom"/>
          </w:tcPr>
          <w:p>
            <w:pPr>
              <w:spacing w:after="0"/>
              <w:rPr>
                <w:sz w:val="1"/>
                <w:szCs w:val="1"/>
                <w:color w:val="auto"/>
              </w:rPr>
            </w:pPr>
          </w:p>
        </w:tc>
      </w:tr>
      <w:tr>
        <w:trPr>
          <w:trHeight w:val="95"/>
        </w:trPr>
        <w:tc>
          <w:tcPr>
            <w:tcW w:w="3900" w:type="dxa"/>
            <w:vAlign w:val="bottom"/>
            <w:vMerge w:val="continue"/>
          </w:tcPr>
          <w:p>
            <w:pPr>
              <w:spacing w:after="0"/>
              <w:rPr>
                <w:sz w:val="8"/>
                <w:szCs w:val="8"/>
                <w:color w:val="auto"/>
              </w:rPr>
            </w:pPr>
          </w:p>
        </w:tc>
        <w:tc>
          <w:tcPr>
            <w:tcW w:w="3960" w:type="dxa"/>
            <w:vAlign w:val="bottom"/>
          </w:tcPr>
          <w:p>
            <w:pPr>
              <w:spacing w:after="0"/>
              <w:rPr>
                <w:sz w:val="8"/>
                <w:szCs w:val="8"/>
                <w:color w:val="auto"/>
              </w:rPr>
            </w:pPr>
          </w:p>
        </w:tc>
        <w:tc>
          <w:tcPr>
            <w:tcW w:w="3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3900" w:type="dxa"/>
            <w:vAlign w:val="bottom"/>
            <w:tcBorders>
              <w:bottom w:val="single" w:sz="8" w:color="9A9A9A"/>
            </w:tcBorders>
          </w:tcPr>
          <w:p>
            <w:pPr>
              <w:spacing w:after="0"/>
              <w:rPr>
                <w:sz w:val="12"/>
                <w:szCs w:val="12"/>
                <w:color w:val="auto"/>
              </w:rPr>
            </w:pPr>
          </w:p>
        </w:tc>
        <w:tc>
          <w:tcPr>
            <w:tcW w:w="3960" w:type="dxa"/>
            <w:vAlign w:val="bottom"/>
            <w:tcBorders>
              <w:bottom w:val="single" w:sz="8" w:color="9A9A9A"/>
            </w:tcBorders>
          </w:tcPr>
          <w:p>
            <w:pPr>
              <w:spacing w:after="0"/>
              <w:rPr>
                <w:sz w:val="12"/>
                <w:szCs w:val="12"/>
                <w:color w:val="auto"/>
              </w:rPr>
            </w:pPr>
          </w:p>
        </w:tc>
        <w:tc>
          <w:tcPr>
            <w:tcW w:w="33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5" w:name="page136"/>
    <w:bookmarkEnd w:id="135"/>
    <w:p>
      <w:pPr>
        <w:jc w:val="both"/>
        <w:ind w:right="120" w:firstLine="1154"/>
        <w:spacing w:after="0" w:line="261" w:lineRule="auto"/>
        <w:tabs>
          <w:tab w:leader="none" w:pos="1565"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abandonment of the Premises; or the vacating of the Premises without providing a commercially reasonable level of security, or where the coverage of the property insurance described in Paragraph 8.3 is jeopardized as a result thereof, or without providing reasonable assurances to minimize potential vandalism.</w:t>
      </w:r>
    </w:p>
    <w:p>
      <w:pPr>
        <w:spacing w:after="0" w:line="161" w:lineRule="exact"/>
        <w:rPr>
          <w:rFonts w:ascii="Arial" w:cs="Arial" w:eastAsia="Arial" w:hAnsi="Arial"/>
          <w:sz w:val="18"/>
          <w:szCs w:val="18"/>
          <w:color w:val="auto"/>
        </w:rPr>
      </w:pPr>
    </w:p>
    <w:p>
      <w:pPr>
        <w:ind w:right="60" w:firstLine="1154"/>
        <w:spacing w:after="0" w:line="270" w:lineRule="auto"/>
        <w:tabs>
          <w:tab w:leader="none" w:pos="1565" w:val="left"/>
        </w:tabs>
        <w:numPr>
          <w:ilvl w:val="1"/>
          <w:numId w:val="124"/>
        </w:numPr>
        <w:rPr>
          <w:rFonts w:ascii="Arial" w:cs="Arial" w:eastAsia="Arial" w:hAnsi="Arial"/>
          <w:sz w:val="17"/>
          <w:szCs w:val="17"/>
          <w:color w:val="auto"/>
        </w:rPr>
      </w:pPr>
      <w:r>
        <w:rPr>
          <w:rFonts w:ascii="Arial" w:cs="Arial" w:eastAsia="Arial" w:hAnsi="Arial"/>
          <w:sz w:val="17"/>
          <w:szCs w:val="17"/>
          <w:color w:val="auto"/>
        </w:rPr>
        <w:t>The failure of Lessee to make any payment of Rent or any Security Deposit required to be made by Lessee hereunder, whether to Lessor or to a third party, when due, to provide reasonable evidence of insurance or surety bond, or to fulfill any obligation under this Lease which endangers or threatens life or property, where such failure continues for a period of 3 business days following written notice to Lessee. THE ACCEPTANCE BY LESSOR OF A PARTIAL PAYMENT OF RENT OR SECURITY DEPOSIT SHALL NOT CONSTITUTE A WAIVER OF ANY OF LESSOR’S RIGHTS, INCLUDING LESSOR’S RIGHT TO RECOVER POSSESSION OF THE PREMISES.</w:t>
      </w:r>
    </w:p>
    <w:p>
      <w:pPr>
        <w:spacing w:after="0" w:line="155" w:lineRule="exact"/>
        <w:rPr>
          <w:rFonts w:ascii="Arial" w:cs="Arial" w:eastAsia="Arial" w:hAnsi="Arial"/>
          <w:sz w:val="17"/>
          <w:szCs w:val="17"/>
          <w:color w:val="auto"/>
        </w:rPr>
      </w:pPr>
    </w:p>
    <w:p>
      <w:pPr>
        <w:jc w:val="both"/>
        <w:ind w:right="300" w:firstLine="1154"/>
        <w:spacing w:after="0" w:line="252" w:lineRule="auto"/>
        <w:tabs>
          <w:tab w:leader="none" w:pos="1555"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failure of Lessee to allow Lessor and/or its agents access to the Premises or the commission of waste, act or acts constituting public or private nuisance, and/or an illegal activity on the Premises by Lessee, where such actions continue for a period of 3 business days following written notice to Lessee. In the event that Lessee commits waste, a nuisance or an illegal activity a second time then, the Lessor may elect to treat such conduct as a non-curable Breach rather than a Default.</w:t>
      </w:r>
    </w:p>
    <w:p>
      <w:pPr>
        <w:spacing w:after="0" w:line="170" w:lineRule="exact"/>
        <w:rPr>
          <w:rFonts w:ascii="Arial" w:cs="Arial" w:eastAsia="Arial" w:hAnsi="Arial"/>
          <w:sz w:val="18"/>
          <w:szCs w:val="18"/>
          <w:color w:val="auto"/>
        </w:rPr>
      </w:pPr>
    </w:p>
    <w:p>
      <w:pPr>
        <w:ind w:right="240" w:firstLine="1154"/>
        <w:spacing w:after="0" w:line="247" w:lineRule="auto"/>
        <w:tabs>
          <w:tab w:leader="none" w:pos="1565"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failure by Lessee to provide (i) reasonable written evidence of compliance with Applicable Requirements, (ii) the service contracts, (iii) the rescission of an unauthorized assignment or subletting, (iv) an Estoppel Certificate or financial statements, (v) a requested subordination, (vi) evidence concerning any guaranty and/or Guarantor, (vii) any document requested under Paragraph 42, (viii) material safety data sheets (MSDS), or (ix) any other documentation or information which Lessor may reasonably require of Lessee under the terms of this Lease, where any such failure continues for a period of 10 days following written notice to Lessee.</w:t>
      </w:r>
    </w:p>
    <w:p>
      <w:pPr>
        <w:spacing w:after="0" w:line="190" w:lineRule="exact"/>
        <w:rPr>
          <w:rFonts w:ascii="Arial" w:cs="Arial" w:eastAsia="Arial" w:hAnsi="Arial"/>
          <w:sz w:val="18"/>
          <w:szCs w:val="18"/>
          <w:color w:val="auto"/>
        </w:rPr>
      </w:pPr>
    </w:p>
    <w:p>
      <w:pPr>
        <w:ind w:right="120" w:firstLine="1154"/>
        <w:spacing w:after="0" w:line="247" w:lineRule="auto"/>
        <w:tabs>
          <w:tab w:leader="none" w:pos="1565"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 Default by Lessee as to the terms, covenants, conditions or provisions of this Lease, or of the rules adopted under Paragraph 40 here of, other than those described in subparagraphs 13.1(a), (b), (c) or (d), above, where such Default continues for a period of 30 days after written notice; provided, however, that if the nature of Lessee’s Default is such that more than 30 days are reasonably required for its cure, then it shall not be deemed to be a Breach if Lessee commences such cure within said 30 day period and thereafter diligently prosecutes such cure to completion.</w:t>
      </w:r>
    </w:p>
    <w:p>
      <w:pPr>
        <w:spacing w:after="0" w:line="176" w:lineRule="exact"/>
        <w:rPr>
          <w:rFonts w:ascii="Arial" w:cs="Arial" w:eastAsia="Arial" w:hAnsi="Arial"/>
          <w:sz w:val="18"/>
          <w:szCs w:val="18"/>
          <w:color w:val="auto"/>
        </w:rPr>
      </w:pPr>
    </w:p>
    <w:p>
      <w:pPr>
        <w:ind w:right="100" w:firstLine="1161"/>
        <w:spacing w:after="0" w:line="243" w:lineRule="auto"/>
        <w:tabs>
          <w:tab w:leader="none" w:pos="1523" w:val="left"/>
        </w:tabs>
        <w:numPr>
          <w:ilvl w:val="1"/>
          <w:numId w:val="124"/>
        </w:numPr>
        <w:rPr>
          <w:rFonts w:ascii="Arial" w:cs="Arial" w:eastAsia="Arial" w:hAnsi="Arial"/>
          <w:sz w:val="18"/>
          <w:szCs w:val="18"/>
          <w:color w:val="auto"/>
        </w:rPr>
      </w:pPr>
      <w:r>
        <w:rPr>
          <w:rFonts w:ascii="Arial" w:cs="Arial" w:eastAsia="Arial" w:hAnsi="Arial"/>
          <w:sz w:val="18"/>
          <w:szCs w:val="18"/>
          <w:color w:val="auto"/>
        </w:rPr>
        <w:t xml:space="preserve">The occurrence of any of the following events: (i) the making of any general arrangement or assignment for the benefit of creditors; (ii) becoming a </w:t>
      </w:r>
      <w:r>
        <w:rPr>
          <w:rFonts w:ascii="Arial" w:cs="Arial" w:eastAsia="Arial" w:hAnsi="Arial"/>
          <w:sz w:val="18"/>
          <w:szCs w:val="18"/>
          <w:b w:val="1"/>
          <w:bCs w:val="1"/>
          <w:color w:val="auto"/>
        </w:rPr>
        <w:t>“debtor”</w:t>
      </w:r>
      <w:r>
        <w:rPr>
          <w:rFonts w:ascii="Arial" w:cs="Arial" w:eastAsia="Arial" w:hAnsi="Arial"/>
          <w:sz w:val="18"/>
          <w:szCs w:val="18"/>
          <w:color w:val="auto"/>
        </w:rPr>
        <w:t xml:space="preserve"> as defined in 11 U.S.C. § 101 or any successor statute thereto (unless, in the case of a petition filed against Lessee, the same is dismissed within 60 days); (iii) the appointment of a trustee or receiver to take possession of substantially all of Lessee’s assets located at the Premises or of Lessee’s interest in this Lease, where possession is not restored to Lessee within 30 days; or</w:t>
      </w:r>
    </w:p>
    <w:p>
      <w:pPr>
        <w:spacing w:after="0" w:line="3" w:lineRule="exact"/>
        <w:rPr>
          <w:rFonts w:ascii="Arial" w:cs="Arial" w:eastAsia="Arial" w:hAnsi="Arial"/>
          <w:sz w:val="18"/>
          <w:szCs w:val="18"/>
          <w:color w:val="auto"/>
        </w:rPr>
      </w:pPr>
    </w:p>
    <w:p>
      <w:pPr>
        <w:ind w:right="40" w:firstLine="8"/>
        <w:spacing w:after="0" w:line="242" w:lineRule="auto"/>
        <w:tabs>
          <w:tab w:leader="none" w:pos="3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attachment, execution or other judicial seizure of substantially all of Lessee’s assets located at the Premises or of Lessee’s interest in this Lease, where such seizure is not discharged within 30 days; provided, however, in the event that any provision of this subparagraph is contrary to any applicable law, such provision shall be of no force or effect, and not affect the validity of the remaining provisions.</w:t>
      </w:r>
    </w:p>
    <w:p>
      <w:pPr>
        <w:spacing w:after="0" w:line="192" w:lineRule="exact"/>
        <w:rPr>
          <w:rFonts w:ascii="Arial" w:cs="Arial" w:eastAsia="Arial" w:hAnsi="Arial"/>
          <w:sz w:val="18"/>
          <w:szCs w:val="18"/>
          <w:color w:val="auto"/>
        </w:rPr>
      </w:pPr>
    </w:p>
    <w:p>
      <w:pPr>
        <w:ind w:left="1580" w:hanging="426"/>
        <w:spacing w:after="0"/>
        <w:tabs>
          <w:tab w:leader="none" w:pos="15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discovery that any financial statement of Lessee or of any Guarantor given to Lessor was materially false.</w:t>
      </w:r>
    </w:p>
    <w:p>
      <w:pPr>
        <w:spacing w:after="0" w:line="198" w:lineRule="exact"/>
        <w:rPr>
          <w:rFonts w:ascii="Arial" w:cs="Arial" w:eastAsia="Arial" w:hAnsi="Arial"/>
          <w:sz w:val="18"/>
          <w:szCs w:val="18"/>
          <w:color w:val="auto"/>
        </w:rPr>
      </w:pPr>
    </w:p>
    <w:p>
      <w:pPr>
        <w:ind w:right="20" w:firstLine="1154"/>
        <w:spacing w:after="0" w:line="248" w:lineRule="auto"/>
        <w:tabs>
          <w:tab w:leader="none" w:pos="1565" w:val="left"/>
        </w:tabs>
        <w:numPr>
          <w:ilvl w:val="1"/>
          <w:numId w:val="125"/>
        </w:numPr>
        <w:rPr>
          <w:rFonts w:ascii="Arial" w:cs="Arial" w:eastAsia="Arial" w:hAnsi="Arial"/>
          <w:sz w:val="18"/>
          <w:szCs w:val="18"/>
          <w:color w:val="auto"/>
        </w:rPr>
      </w:pPr>
      <w:r>
        <w:rPr>
          <w:rFonts w:ascii="Arial" w:cs="Arial" w:eastAsia="Arial" w:hAnsi="Arial"/>
          <w:sz w:val="18"/>
          <w:szCs w:val="18"/>
          <w:color w:val="auto"/>
        </w:rPr>
        <w:t>If the performance of Lessee’s obligations under this Lease is guaranteed: (i) the death of a Guarantor, (ii) the termination of a Guarantor’s liability with respect to this Lease other than in accordance with the terms of such guaranty, (iii) a Guarantor’s becoming insolvent or the subject of a bankruptcy filing, (iv) a Guarantor’s refusal to honor the guaranty, or (v) a Guarantor’s breach of its guaranty obligation on an anticipatory basis, and Lessee’s failure, within 60 days following written notice of any such event, to provide written alternative assurance or security, which, when coupled with the then existing resources of Lessee, equals or exceeds the combined financial resources of Lessee and the Guarantors that existed at the time of execution of this Lease.</w:t>
      </w:r>
    </w:p>
    <w:p>
      <w:pPr>
        <w:spacing w:after="0" w:line="175" w:lineRule="exact"/>
        <w:rPr>
          <w:sz w:val="20"/>
          <w:szCs w:val="20"/>
          <w:color w:val="auto"/>
        </w:rPr>
      </w:pPr>
    </w:p>
    <w:p>
      <w:pPr>
        <w:ind w:right="100" w:firstLine="509"/>
        <w:spacing w:after="0" w:line="251"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b w:val="1"/>
          <w:bCs w:val="1"/>
          <w:color w:val="auto"/>
        </w:rPr>
        <w:t>Remedies.</w:t>
      </w:r>
      <w:r>
        <w:rPr>
          <w:rFonts w:ascii="Arial" w:cs="Arial" w:eastAsia="Arial" w:hAnsi="Arial"/>
          <w:sz w:val="18"/>
          <w:szCs w:val="18"/>
          <w:color w:val="auto"/>
        </w:rPr>
        <w:t xml:space="preserve"> If Lessee fails to perform any of its affirmative duties or obligations, within 10 days after written notice (or in case of an emergency, without notice), Lessor may, at its option, perform such duty or obligation on Lessee’s behalf, including but not limited to the obtaining of reasonably required bonds, insurance policies, or governmental licenses, permits or approvals. Lessee shall pay to Lessor an amount equal to 115% of the costs and expenses incurred by Lessor in such performance upon receipt of an invoice therefor. In the event of a Breach, Lessor may, with or without</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INITIALS</w:t>
            </w:r>
          </w:p>
        </w:tc>
        <w:tc>
          <w:tcPr>
            <w:tcW w:w="3960" w:type="dxa"/>
            <w:vAlign w:val="bottom"/>
          </w:tcPr>
          <w:p>
            <w:pPr>
              <w:ind w:left="1460"/>
              <w:spacing w:after="0"/>
              <w:rPr>
                <w:sz w:val="20"/>
                <w:szCs w:val="20"/>
                <w:color w:val="auto"/>
              </w:rPr>
            </w:pPr>
            <w:r>
              <w:rPr>
                <w:rFonts w:ascii="Arial" w:cs="Arial" w:eastAsia="Arial" w:hAnsi="Arial"/>
                <w:sz w:val="18"/>
                <w:szCs w:val="18"/>
                <w:color w:val="auto"/>
              </w:rPr>
              <w:t>Page 17 of 28</w:t>
            </w:r>
          </w:p>
        </w:tc>
        <w:tc>
          <w:tcPr>
            <w:tcW w:w="3380" w:type="dxa"/>
            <w:vAlign w:val="bottom"/>
            <w:vMerge w:val="restart"/>
          </w:tcPr>
          <w:p>
            <w:pPr>
              <w:jc w:val="right"/>
              <w:spacing w:after="0"/>
              <w:rPr>
                <w:sz w:val="20"/>
                <w:szCs w:val="20"/>
                <w:color w:val="auto"/>
              </w:rPr>
            </w:pPr>
            <w:r>
              <w:rPr>
                <w:rFonts w:ascii="Arial" w:cs="Arial" w:eastAsia="Arial" w:hAnsi="Arial"/>
                <w:sz w:val="18"/>
                <w:szCs w:val="18"/>
                <w:color w:val="auto"/>
              </w:rPr>
              <w:t>INITIALS</w:t>
            </w:r>
          </w:p>
        </w:tc>
        <w:tc>
          <w:tcPr>
            <w:tcW w:w="0" w:type="dxa"/>
            <w:vAlign w:val="bottom"/>
          </w:tcPr>
          <w:p>
            <w:pPr>
              <w:spacing w:after="0"/>
              <w:rPr>
                <w:sz w:val="1"/>
                <w:szCs w:val="1"/>
                <w:color w:val="auto"/>
              </w:rPr>
            </w:pPr>
          </w:p>
        </w:tc>
      </w:tr>
      <w:tr>
        <w:trPr>
          <w:trHeight w:val="94"/>
        </w:trPr>
        <w:tc>
          <w:tcPr>
            <w:tcW w:w="3900" w:type="dxa"/>
            <w:vAlign w:val="bottom"/>
            <w:vMerge w:val="continue"/>
          </w:tcPr>
          <w:p>
            <w:pPr>
              <w:spacing w:after="0"/>
              <w:rPr>
                <w:sz w:val="8"/>
                <w:szCs w:val="8"/>
                <w:color w:val="auto"/>
              </w:rPr>
            </w:pPr>
          </w:p>
        </w:tc>
        <w:tc>
          <w:tcPr>
            <w:tcW w:w="3960" w:type="dxa"/>
            <w:vAlign w:val="bottom"/>
            <w:vMerge w:val="restart"/>
          </w:tcPr>
          <w:p>
            <w:pPr>
              <w:ind w:left="780"/>
              <w:spacing w:after="0"/>
              <w:rPr>
                <w:sz w:val="20"/>
                <w:szCs w:val="20"/>
                <w:color w:val="auto"/>
              </w:rPr>
            </w:pPr>
            <w:r>
              <w:rPr>
                <w:rFonts w:ascii="Arial" w:cs="Arial" w:eastAsia="Arial" w:hAnsi="Arial"/>
                <w:sz w:val="18"/>
                <w:szCs w:val="18"/>
                <w:color w:val="auto"/>
              </w:rPr>
              <w:t>Last Edited 2/7/2018 1:59 PM</w:t>
            </w:r>
          </w:p>
        </w:tc>
        <w:tc>
          <w:tcPr>
            <w:tcW w:w="3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 2017 AIR CRE. All Rights Reserved.</w:t>
            </w:r>
          </w:p>
        </w:tc>
        <w:tc>
          <w:tcPr>
            <w:tcW w:w="3960" w:type="dxa"/>
            <w:vAlign w:val="bottom"/>
            <w:vMerge w:val="continue"/>
          </w:tcPr>
          <w:p>
            <w:pPr>
              <w:spacing w:after="0"/>
              <w:rPr>
                <w:sz w:val="12"/>
                <w:szCs w:val="12"/>
                <w:color w:val="auto"/>
              </w:rPr>
            </w:pPr>
          </w:p>
        </w:tc>
        <w:tc>
          <w:tcPr>
            <w:tcW w:w="3380" w:type="dxa"/>
            <w:vAlign w:val="bottom"/>
            <w:vMerge w:val="restart"/>
          </w:tcPr>
          <w:p>
            <w:pPr>
              <w:jc w:val="right"/>
              <w:spacing w:after="0"/>
              <w:rPr>
                <w:sz w:val="20"/>
                <w:szCs w:val="20"/>
                <w:color w:val="auto"/>
              </w:rPr>
            </w:pPr>
            <w:r>
              <w:rPr>
                <w:rFonts w:ascii="Arial" w:cs="Arial" w:eastAsia="Arial" w:hAnsi="Arial"/>
                <w:sz w:val="18"/>
                <w:szCs w:val="18"/>
                <w:color w:val="auto"/>
              </w:rPr>
              <w:t>STN-27.10, Revised 11-01-2017</w:t>
            </w:r>
          </w:p>
        </w:tc>
        <w:tc>
          <w:tcPr>
            <w:tcW w:w="0" w:type="dxa"/>
            <w:vAlign w:val="bottom"/>
          </w:tcPr>
          <w:p>
            <w:pPr>
              <w:spacing w:after="0"/>
              <w:rPr>
                <w:sz w:val="1"/>
                <w:szCs w:val="1"/>
                <w:color w:val="auto"/>
              </w:rPr>
            </w:pPr>
          </w:p>
        </w:tc>
      </w:tr>
      <w:tr>
        <w:trPr>
          <w:trHeight w:val="95"/>
        </w:trPr>
        <w:tc>
          <w:tcPr>
            <w:tcW w:w="3900" w:type="dxa"/>
            <w:vAlign w:val="bottom"/>
            <w:vMerge w:val="continue"/>
          </w:tcPr>
          <w:p>
            <w:pPr>
              <w:spacing w:after="0"/>
              <w:rPr>
                <w:sz w:val="8"/>
                <w:szCs w:val="8"/>
                <w:color w:val="auto"/>
              </w:rPr>
            </w:pPr>
          </w:p>
        </w:tc>
        <w:tc>
          <w:tcPr>
            <w:tcW w:w="3960" w:type="dxa"/>
            <w:vAlign w:val="bottom"/>
          </w:tcPr>
          <w:p>
            <w:pPr>
              <w:spacing w:after="0"/>
              <w:rPr>
                <w:sz w:val="8"/>
                <w:szCs w:val="8"/>
                <w:color w:val="auto"/>
              </w:rPr>
            </w:pPr>
          </w:p>
        </w:tc>
        <w:tc>
          <w:tcPr>
            <w:tcW w:w="3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3900" w:type="dxa"/>
            <w:vAlign w:val="bottom"/>
            <w:tcBorders>
              <w:bottom w:val="single" w:sz="8" w:color="9A9A9A"/>
            </w:tcBorders>
          </w:tcPr>
          <w:p>
            <w:pPr>
              <w:spacing w:after="0"/>
              <w:rPr>
                <w:sz w:val="13"/>
                <w:szCs w:val="13"/>
                <w:color w:val="auto"/>
              </w:rPr>
            </w:pPr>
          </w:p>
        </w:tc>
        <w:tc>
          <w:tcPr>
            <w:tcW w:w="3960" w:type="dxa"/>
            <w:vAlign w:val="bottom"/>
            <w:tcBorders>
              <w:bottom w:val="single" w:sz="8" w:color="9A9A9A"/>
            </w:tcBorders>
          </w:tcPr>
          <w:p>
            <w:pPr>
              <w:spacing w:after="0"/>
              <w:rPr>
                <w:sz w:val="13"/>
                <w:szCs w:val="13"/>
                <w:color w:val="auto"/>
              </w:rPr>
            </w:pPr>
          </w:p>
        </w:tc>
        <w:tc>
          <w:tcPr>
            <w:tcW w:w="33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color w:val="auto"/>
        </w:rPr>
        <w:t>further notice or demand, and without limiting Lessor in the exercise of any right or remedy which Lessor may have by reason of such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Breach:</w:t>
      </w:r>
    </w:p>
    <w:p>
      <w:pPr>
        <w:spacing w:after="0" w:line="194" w:lineRule="exact"/>
        <w:rPr>
          <w:sz w:val="20"/>
          <w:szCs w:val="20"/>
          <w:color w:val="auto"/>
        </w:rPr>
      </w:pPr>
    </w:p>
    <w:p>
      <w:pPr>
        <w:ind w:firstLine="1154"/>
        <w:spacing w:after="0"/>
        <w:tabs>
          <w:tab w:leader="none" w:pos="156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Terminate Lessee’s right to possession of the Premises by any lawful means, in which case this Lease shall terminate and Lessee shall immediately surrender possession to Lessor. In such event Lessor shall be entitled to recover from Lessee: (i) the unpaid Rent which had been earned at the time of termination; (ii) the worth at the time of award of the amount by which the unpaid rent which would have been earned after termination until the time of award exceeds the amount of such rental loss that the Lessee proves could have been reasonably avoided; (iii) the worth at the time of award of the amount by which the unpaid rent for the balance of the term after the time of award exceeds the amount of such rental loss that the Lessee proves could be reasonably avoided; and (iv) any other amount necessary to compensate Lessor for all the detriment proximately caused by the Lessee’s failure to perform its obligations under this Lease or which in the ordinary course of things would be likely to result therefrom, including but not limited to the cost of recovering possession of the Premises, expenses of reletting, including necessary renovation and alteration of the Premises, reasonable attorneys’ fees, and that portion of any leasing commission paid by Lessor in connection with this Lease applicable to the unexpired term of this Lease. The worth at the time of award of the amount referred to in provision (iii) of the immediately preceding sentence shall be computed by discounting such amount at the discount rate of the Federal Reserve Bank of the District within which the Premises are located at the time of award plus one percent. Efforts by Lessor to mitigate damages caused by Lessee’s Breach of this Lease shall not waive Lessor’s right to recover any damages to which Lessor is otherwise entitled. If termination of this Lease is obtained through the provisional remedy of unlawful detainer, Lessor shall have the right to recover in such proceeding any unpaid Rent and damages as are recoverable therein, or Lessor may reserve the right to recover all or any part thereof in a separate suit. If a notice and grace period required under Paragraph 13.1 was not previously given, a notice to pay rent or quit, or to perform or quit given to Lessee under the unlawful detainer statute shall also constitute the notice required by Paragraph</w:t>
      </w:r>
    </w:p>
    <w:p>
      <w:pPr>
        <w:spacing w:after="0" w:line="9" w:lineRule="exact"/>
        <w:rPr>
          <w:rFonts w:ascii="Arial" w:cs="Arial" w:eastAsia="Arial" w:hAnsi="Arial"/>
          <w:sz w:val="18"/>
          <w:szCs w:val="18"/>
          <w:color w:val="auto"/>
        </w:rPr>
      </w:pPr>
    </w:p>
    <w:p>
      <w:pPr>
        <w:jc w:val="both"/>
        <w:ind w:right="140"/>
        <w:spacing w:after="0" w:line="250" w:lineRule="auto"/>
        <w:rPr>
          <w:rFonts w:ascii="Arial" w:cs="Arial" w:eastAsia="Arial" w:hAnsi="Arial"/>
          <w:sz w:val="18"/>
          <w:szCs w:val="18"/>
          <w:color w:val="auto"/>
        </w:rPr>
      </w:pPr>
      <w:r>
        <w:rPr>
          <w:rFonts w:ascii="Arial" w:cs="Arial" w:eastAsia="Arial" w:hAnsi="Arial"/>
          <w:sz w:val="18"/>
          <w:szCs w:val="18"/>
          <w:color w:val="auto"/>
        </w:rPr>
        <w:t>13.1. In such case, the applicable grace period required by Paragraph 13.1 and the unlawful detainer statute shall run concurrently, and the failure of Lessee to cure the Default within the greater of the two such grace periods shall constitute both an unlawful detainer and a Breach of this Lease entitling Lessor to the remedies provided for in this Lease and/or by said statute.</w:t>
      </w:r>
    </w:p>
    <w:p>
      <w:pPr>
        <w:spacing w:after="0" w:line="172" w:lineRule="exact"/>
        <w:rPr>
          <w:rFonts w:ascii="Arial" w:cs="Arial" w:eastAsia="Arial" w:hAnsi="Arial"/>
          <w:sz w:val="18"/>
          <w:szCs w:val="18"/>
          <w:color w:val="auto"/>
        </w:rPr>
      </w:pPr>
    </w:p>
    <w:p>
      <w:pPr>
        <w:ind w:right="340" w:firstLine="1154"/>
        <w:spacing w:after="0" w:line="246" w:lineRule="auto"/>
        <w:tabs>
          <w:tab w:leader="none" w:pos="156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Continue the Lease and Lessee’s right to possession and recover the Rent as it becomes due, in which event Lessee may sublet or assign, subject only to reasonable limitations. Acts of maintenance, efforts to relet, and/or the appointment of a receiver to protect the Lessor’s interests, shall not constitute a termination of the Lessee’s right to possession.</w:t>
      </w:r>
    </w:p>
    <w:p>
      <w:pPr>
        <w:spacing w:after="0" w:line="2" w:lineRule="exact"/>
        <w:rPr>
          <w:rFonts w:ascii="Arial" w:cs="Arial" w:eastAsia="Arial" w:hAnsi="Arial"/>
          <w:sz w:val="18"/>
          <w:szCs w:val="18"/>
          <w:color w:val="auto"/>
        </w:rPr>
      </w:pPr>
    </w:p>
    <w:p>
      <w:pPr>
        <w:ind w:right="160" w:firstLine="1161"/>
        <w:spacing w:after="0" w:line="245" w:lineRule="auto"/>
        <w:tabs>
          <w:tab w:leader="none" w:pos="156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Pursue any other remedy now or hereafter available under the laws or judicial decisions of the state wherein the Premises are located. The expiration or termination of this Lease and/or the termination of Lessee’s right to possession shall not relieve Lessee from liability under any indemnity provisions of this Lease as to matters occurring or accruing during the term hereof or by reason of Lessee’s occupancy of the Premises.</w:t>
      </w:r>
    </w:p>
    <w:p>
      <w:pPr>
        <w:spacing w:after="0" w:line="176" w:lineRule="exact"/>
        <w:rPr>
          <w:sz w:val="20"/>
          <w:szCs w:val="20"/>
          <w:color w:val="auto"/>
        </w:rPr>
      </w:pPr>
    </w:p>
    <w:p>
      <w:pPr>
        <w:ind w:right="100" w:firstLine="509"/>
        <w:spacing w:after="0" w:line="245"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b w:val="1"/>
          <w:bCs w:val="1"/>
          <w:color w:val="auto"/>
        </w:rPr>
        <w:t>Inducement Recapture.</w:t>
      </w:r>
      <w:r>
        <w:rPr>
          <w:rFonts w:ascii="Arial" w:cs="Arial" w:eastAsia="Arial" w:hAnsi="Arial"/>
          <w:sz w:val="18"/>
          <w:szCs w:val="18"/>
          <w:color w:val="auto"/>
        </w:rPr>
        <w:t xml:space="preserve"> Any agreement for free or abated rent or other charges, the cost of tenant improvements for Lessee paid for or performed by Lessor, or for the giving or paying by Lessor to or for Lessee of any cash or other bonus, inducement or consideration for Lessee’s entering into this Lease, all of which concessions are hereinafter referred to as </w:t>
      </w:r>
      <w:r>
        <w:rPr>
          <w:rFonts w:ascii="Arial" w:cs="Arial" w:eastAsia="Arial" w:hAnsi="Arial"/>
          <w:sz w:val="18"/>
          <w:szCs w:val="18"/>
          <w:b w:val="1"/>
          <w:bCs w:val="1"/>
          <w:color w:val="auto"/>
        </w:rPr>
        <w:t>“Inducement Provisions,”</w:t>
      </w:r>
      <w:r>
        <w:rPr>
          <w:rFonts w:ascii="Arial" w:cs="Arial" w:eastAsia="Arial" w:hAnsi="Arial"/>
          <w:sz w:val="18"/>
          <w:szCs w:val="18"/>
          <w:color w:val="auto"/>
        </w:rPr>
        <w:t xml:space="preserve"> shall be deemed conditioned upon Lessee’s full and faithful performance of all of the terms, covenants and conditions of this Lease. Upon Breach of this Lease by Lessee, any such Inducement Provision shall automatically be deemed deleted from this Lease and of no further force or effect, and any rent, other charge, bonus, inducement or consideration theretofore abated, given or paid by Lessor under such an Inducement Provision shall be immediately due and payable by Lessee to Lessor, notwithstanding any subsequent cure of said Breach by Lessee. The acceptance by Lessor of rent or the cure of the Breach which initiated the operation of this paragraph shall not be deemed a waiver by Lessor of the provisions of this paragraph unless specifically so stated in writing by Lessor at the time of such acceptance.</w:t>
      </w:r>
    </w:p>
    <w:p>
      <w:pPr>
        <w:spacing w:after="0" w:line="177" w:lineRule="exact"/>
        <w:rPr>
          <w:sz w:val="20"/>
          <w:szCs w:val="20"/>
          <w:color w:val="auto"/>
        </w:rPr>
      </w:pPr>
    </w:p>
    <w:p>
      <w:pPr>
        <w:ind w:right="180" w:firstLine="509"/>
        <w:spacing w:after="0" w:line="246"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b w:val="1"/>
          <w:bCs w:val="1"/>
          <w:color w:val="auto"/>
        </w:rPr>
        <w:t>Late Charges.</w:t>
      </w:r>
      <w:r>
        <w:rPr>
          <w:rFonts w:ascii="Arial" w:cs="Arial" w:eastAsia="Arial" w:hAnsi="Arial"/>
          <w:sz w:val="18"/>
          <w:szCs w:val="18"/>
          <w:color w:val="auto"/>
        </w:rPr>
        <w:t xml:space="preserve"> Lessee hereby acknowledges that late payment by Lessee of Rent will cause Lessor to incur costs not contemplated by this Lease, the exact amount of which will be extremely difficult to ascertain. Such costs include, but are not limited to, processing and accounting charges, and late charges which may be imposed upon Lessor by any Lender. Accordingly, if any Rent shall not be received by Lessor within 5 days after such amount shall be due, then, without any requirement for notice to Lessee, Lessee shall immediately pay to Lessor a one-time late charge equal to 10% of each such overdue amount or $100, whichever is greater. The Parties hereby agree that such late charge represents a fair and reasonable estimate of the costs Lessor will incur by reason of such late payment. Acceptance of such late charge by Lessor shall in no event constitute a waiver of Lessee’s Default or Breach with respect to such</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INITIALS</w:t>
            </w:r>
          </w:p>
        </w:tc>
        <w:tc>
          <w:tcPr>
            <w:tcW w:w="3960" w:type="dxa"/>
            <w:vAlign w:val="bottom"/>
          </w:tcPr>
          <w:p>
            <w:pPr>
              <w:ind w:left="1460"/>
              <w:spacing w:after="0"/>
              <w:rPr>
                <w:sz w:val="20"/>
                <w:szCs w:val="20"/>
                <w:color w:val="auto"/>
              </w:rPr>
            </w:pPr>
            <w:r>
              <w:rPr>
                <w:rFonts w:ascii="Arial" w:cs="Arial" w:eastAsia="Arial" w:hAnsi="Arial"/>
                <w:sz w:val="18"/>
                <w:szCs w:val="18"/>
                <w:color w:val="auto"/>
              </w:rPr>
              <w:t>Page 18 of 28</w:t>
            </w:r>
          </w:p>
        </w:tc>
        <w:tc>
          <w:tcPr>
            <w:tcW w:w="3380" w:type="dxa"/>
            <w:vAlign w:val="bottom"/>
            <w:vMerge w:val="restart"/>
          </w:tcPr>
          <w:p>
            <w:pPr>
              <w:jc w:val="right"/>
              <w:spacing w:after="0"/>
              <w:rPr>
                <w:sz w:val="20"/>
                <w:szCs w:val="20"/>
                <w:color w:val="auto"/>
              </w:rPr>
            </w:pPr>
            <w:r>
              <w:rPr>
                <w:rFonts w:ascii="Arial" w:cs="Arial" w:eastAsia="Arial" w:hAnsi="Arial"/>
                <w:sz w:val="18"/>
                <w:szCs w:val="18"/>
                <w:color w:val="auto"/>
              </w:rPr>
              <w:t>INITIALS</w:t>
            </w:r>
          </w:p>
        </w:tc>
        <w:tc>
          <w:tcPr>
            <w:tcW w:w="0" w:type="dxa"/>
            <w:vAlign w:val="bottom"/>
          </w:tcPr>
          <w:p>
            <w:pPr>
              <w:spacing w:after="0"/>
              <w:rPr>
                <w:sz w:val="1"/>
                <w:szCs w:val="1"/>
                <w:color w:val="auto"/>
              </w:rPr>
            </w:pPr>
          </w:p>
        </w:tc>
      </w:tr>
      <w:tr>
        <w:trPr>
          <w:trHeight w:val="95"/>
        </w:trPr>
        <w:tc>
          <w:tcPr>
            <w:tcW w:w="3900" w:type="dxa"/>
            <w:vAlign w:val="bottom"/>
            <w:vMerge w:val="continue"/>
          </w:tcPr>
          <w:p>
            <w:pPr>
              <w:spacing w:after="0"/>
              <w:rPr>
                <w:sz w:val="8"/>
                <w:szCs w:val="8"/>
                <w:color w:val="auto"/>
              </w:rPr>
            </w:pPr>
          </w:p>
        </w:tc>
        <w:tc>
          <w:tcPr>
            <w:tcW w:w="3960" w:type="dxa"/>
            <w:vAlign w:val="bottom"/>
            <w:vMerge w:val="restart"/>
          </w:tcPr>
          <w:p>
            <w:pPr>
              <w:ind w:left="780"/>
              <w:spacing w:after="0"/>
              <w:rPr>
                <w:sz w:val="20"/>
                <w:szCs w:val="20"/>
                <w:color w:val="auto"/>
              </w:rPr>
            </w:pPr>
            <w:r>
              <w:rPr>
                <w:rFonts w:ascii="Arial" w:cs="Arial" w:eastAsia="Arial" w:hAnsi="Arial"/>
                <w:sz w:val="18"/>
                <w:szCs w:val="18"/>
                <w:color w:val="auto"/>
              </w:rPr>
              <w:t>Last Edited 2/7/2018 1:59 PM</w:t>
            </w:r>
          </w:p>
        </w:tc>
        <w:tc>
          <w:tcPr>
            <w:tcW w:w="3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 2017 AIR CRE. All Rights Reserved.</w:t>
            </w:r>
          </w:p>
        </w:tc>
        <w:tc>
          <w:tcPr>
            <w:tcW w:w="3960" w:type="dxa"/>
            <w:vAlign w:val="bottom"/>
            <w:vMerge w:val="continue"/>
          </w:tcPr>
          <w:p>
            <w:pPr>
              <w:spacing w:after="0"/>
              <w:rPr>
                <w:sz w:val="12"/>
                <w:szCs w:val="12"/>
                <w:color w:val="auto"/>
              </w:rPr>
            </w:pPr>
          </w:p>
        </w:tc>
        <w:tc>
          <w:tcPr>
            <w:tcW w:w="3380" w:type="dxa"/>
            <w:vAlign w:val="bottom"/>
            <w:vMerge w:val="restart"/>
          </w:tcPr>
          <w:p>
            <w:pPr>
              <w:jc w:val="right"/>
              <w:spacing w:after="0"/>
              <w:rPr>
                <w:sz w:val="20"/>
                <w:szCs w:val="20"/>
                <w:color w:val="auto"/>
              </w:rPr>
            </w:pPr>
            <w:r>
              <w:rPr>
                <w:rFonts w:ascii="Arial" w:cs="Arial" w:eastAsia="Arial" w:hAnsi="Arial"/>
                <w:sz w:val="18"/>
                <w:szCs w:val="18"/>
                <w:color w:val="auto"/>
              </w:rPr>
              <w:t>STN-27.10, Revised 11-01-2017</w:t>
            </w:r>
          </w:p>
        </w:tc>
        <w:tc>
          <w:tcPr>
            <w:tcW w:w="0" w:type="dxa"/>
            <w:vAlign w:val="bottom"/>
          </w:tcPr>
          <w:p>
            <w:pPr>
              <w:spacing w:after="0"/>
              <w:rPr>
                <w:sz w:val="1"/>
                <w:szCs w:val="1"/>
                <w:color w:val="auto"/>
              </w:rPr>
            </w:pPr>
          </w:p>
        </w:tc>
      </w:tr>
      <w:tr>
        <w:trPr>
          <w:trHeight w:val="95"/>
        </w:trPr>
        <w:tc>
          <w:tcPr>
            <w:tcW w:w="3900" w:type="dxa"/>
            <w:vAlign w:val="bottom"/>
            <w:vMerge w:val="continue"/>
          </w:tcPr>
          <w:p>
            <w:pPr>
              <w:spacing w:after="0"/>
              <w:rPr>
                <w:sz w:val="8"/>
                <w:szCs w:val="8"/>
                <w:color w:val="auto"/>
              </w:rPr>
            </w:pPr>
          </w:p>
        </w:tc>
        <w:tc>
          <w:tcPr>
            <w:tcW w:w="3960" w:type="dxa"/>
            <w:vAlign w:val="bottom"/>
          </w:tcPr>
          <w:p>
            <w:pPr>
              <w:spacing w:after="0"/>
              <w:rPr>
                <w:sz w:val="8"/>
                <w:szCs w:val="8"/>
                <w:color w:val="auto"/>
              </w:rPr>
            </w:pPr>
          </w:p>
        </w:tc>
        <w:tc>
          <w:tcPr>
            <w:tcW w:w="3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3900" w:type="dxa"/>
            <w:vAlign w:val="bottom"/>
            <w:tcBorders>
              <w:bottom w:val="single" w:sz="8" w:color="9A9A9A"/>
            </w:tcBorders>
          </w:tcPr>
          <w:p>
            <w:pPr>
              <w:spacing w:after="0"/>
              <w:rPr>
                <w:sz w:val="12"/>
                <w:szCs w:val="12"/>
                <w:color w:val="auto"/>
              </w:rPr>
            </w:pPr>
          </w:p>
        </w:tc>
        <w:tc>
          <w:tcPr>
            <w:tcW w:w="3960" w:type="dxa"/>
            <w:vAlign w:val="bottom"/>
            <w:tcBorders>
              <w:bottom w:val="single" w:sz="8" w:color="9A9A9A"/>
            </w:tcBorders>
          </w:tcPr>
          <w:p>
            <w:pPr>
              <w:spacing w:after="0"/>
              <w:rPr>
                <w:sz w:val="12"/>
                <w:szCs w:val="12"/>
                <w:color w:val="auto"/>
              </w:rPr>
            </w:pPr>
          </w:p>
        </w:tc>
        <w:tc>
          <w:tcPr>
            <w:tcW w:w="33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7" w:name="page138"/>
    <w:bookmarkEnd w:id="137"/>
    <w:p>
      <w:pPr>
        <w:ind w:right="40"/>
        <w:spacing w:after="0" w:line="261" w:lineRule="auto"/>
        <w:rPr>
          <w:sz w:val="20"/>
          <w:szCs w:val="20"/>
          <w:color w:val="auto"/>
        </w:rPr>
      </w:pPr>
      <w:r>
        <w:rPr>
          <w:rFonts w:ascii="Arial" w:cs="Arial" w:eastAsia="Arial" w:hAnsi="Arial"/>
          <w:sz w:val="18"/>
          <w:szCs w:val="18"/>
          <w:color w:val="auto"/>
        </w:rPr>
        <w:t>overdue amount, nor prevent the exercise of any of the other rights and remedies granted hereunder. In the event that a late charge is payable hereunder, whether or not collected, for 3 consecutive installments of Base Rent, then notwithstanding any provision of this Lease to the contrary, Base Rent shall, at Lessor’s option, become due and payable quarterly in advance.</w:t>
      </w:r>
    </w:p>
    <w:p>
      <w:pPr>
        <w:spacing w:after="0" w:line="162" w:lineRule="exact"/>
        <w:rPr>
          <w:sz w:val="20"/>
          <w:szCs w:val="20"/>
          <w:color w:val="auto"/>
        </w:rPr>
      </w:pPr>
    </w:p>
    <w:p>
      <w:pPr>
        <w:jc w:val="both"/>
        <w:ind w:right="220" w:firstLine="509"/>
        <w:spacing w:after="0" w:line="261" w:lineRule="auto"/>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b w:val="1"/>
          <w:bCs w:val="1"/>
          <w:color w:val="auto"/>
        </w:rPr>
        <w:t>Interest.</w:t>
      </w:r>
      <w:r>
        <w:rPr>
          <w:rFonts w:ascii="Arial" w:cs="Arial" w:eastAsia="Arial" w:hAnsi="Arial"/>
          <w:sz w:val="18"/>
          <w:szCs w:val="18"/>
          <w:color w:val="auto"/>
        </w:rPr>
        <w:t xml:space="preserve"> Any monetary payment due Lessor hereunder, other than late charges, not received by Lessor, when due shall bear interest from the 31st day after it was due. The interest </w:t>
      </w:r>
      <w:r>
        <w:rPr>
          <w:rFonts w:ascii="Arial" w:cs="Arial" w:eastAsia="Arial" w:hAnsi="Arial"/>
          <w:sz w:val="18"/>
          <w:szCs w:val="18"/>
          <w:b w:val="1"/>
          <w:bCs w:val="1"/>
          <w:color w:val="auto"/>
        </w:rPr>
        <w:t>(“Interest”)</w:t>
      </w:r>
      <w:r>
        <w:rPr>
          <w:rFonts w:ascii="Arial" w:cs="Arial" w:eastAsia="Arial" w:hAnsi="Arial"/>
          <w:sz w:val="18"/>
          <w:szCs w:val="18"/>
          <w:color w:val="auto"/>
        </w:rPr>
        <w:t xml:space="preserve"> charged shall be computed at the rate of 10% per annum but shall not exceed the maximum rate allowed by law. Interest is payable in addition to the potential late charge provided for in Paragraph 13.4.</w:t>
      </w:r>
    </w:p>
    <w:p>
      <w:pPr>
        <w:spacing w:after="0" w:line="270"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7"/>
          <w:szCs w:val="17"/>
          <w:b w:val="1"/>
          <w:bCs w:val="1"/>
          <w:color w:val="auto"/>
        </w:rPr>
        <w:t>Breach by Lessor.</w:t>
      </w:r>
    </w:p>
    <w:p>
      <w:pPr>
        <w:spacing w:after="0" w:line="117" w:lineRule="exact"/>
        <w:rPr>
          <w:sz w:val="20"/>
          <w:szCs w:val="20"/>
          <w:color w:val="auto"/>
        </w:rPr>
      </w:pPr>
    </w:p>
    <w:p>
      <w:pPr>
        <w:ind w:right="200" w:firstLine="1154"/>
        <w:spacing w:after="0" w:line="245" w:lineRule="auto"/>
        <w:tabs>
          <w:tab w:leader="none" w:pos="1565" w:val="left"/>
        </w:tabs>
        <w:numPr>
          <w:ilvl w:val="1"/>
          <w:numId w:val="127"/>
        </w:numPr>
        <w:rPr>
          <w:rFonts w:ascii="Arial" w:cs="Arial" w:eastAsia="Arial" w:hAnsi="Arial"/>
          <w:sz w:val="18"/>
          <w:szCs w:val="18"/>
          <w:color w:val="auto"/>
        </w:rPr>
      </w:pPr>
      <w:r>
        <w:rPr>
          <w:rFonts w:ascii="Arial" w:cs="Arial" w:eastAsia="Arial" w:hAnsi="Arial"/>
          <w:sz w:val="18"/>
          <w:szCs w:val="18"/>
          <w:b w:val="1"/>
          <w:bCs w:val="1"/>
          <w:color w:val="auto"/>
        </w:rPr>
        <w:t xml:space="preserve">Notice of Breach. </w:t>
      </w:r>
      <w:r>
        <w:rPr>
          <w:rFonts w:ascii="Arial" w:cs="Arial" w:eastAsia="Arial" w:hAnsi="Arial"/>
          <w:sz w:val="18"/>
          <w:szCs w:val="18"/>
          <w:color w:val="auto"/>
        </w:rPr>
        <w:t>Lessor shall not be deemed in breach of this Lease unless Lessor fails within a reasonable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perform an obligation required to be performed by Lessor. For purposes of this Paragraph, a reasonable time shall in no event be less than</w:t>
      </w:r>
    </w:p>
    <w:p>
      <w:pPr>
        <w:ind w:right="180" w:firstLine="8"/>
        <w:spacing w:after="0" w:line="245" w:lineRule="auto"/>
        <w:tabs>
          <w:tab w:leader="none" w:pos="25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days after receipt by Lessor, and any Lender whose name and address shall have been furnished to Lessee in writing for such purpose, of written notice specifying wherein such obligation of Lessor has not been performed; provided, however, that if the nature of Lessor’s obligation is such that more than 30 days are reasonably required for its performance, then Lessor shall not be in breach if performance is commenced within such 30 day period and thereafter diligently pursued to completion.</w:t>
      </w:r>
    </w:p>
    <w:p>
      <w:pPr>
        <w:spacing w:after="0" w:line="176" w:lineRule="exact"/>
        <w:rPr>
          <w:rFonts w:ascii="Arial" w:cs="Arial" w:eastAsia="Arial" w:hAnsi="Arial"/>
          <w:sz w:val="18"/>
          <w:szCs w:val="18"/>
          <w:color w:val="auto"/>
        </w:rPr>
      </w:pPr>
    </w:p>
    <w:p>
      <w:pPr>
        <w:ind w:right="20" w:firstLine="1154"/>
        <w:spacing w:after="0" w:line="248" w:lineRule="auto"/>
        <w:tabs>
          <w:tab w:leader="none" w:pos="1565" w:val="left"/>
        </w:tabs>
        <w:numPr>
          <w:ilvl w:val="1"/>
          <w:numId w:val="128"/>
        </w:numPr>
        <w:rPr>
          <w:rFonts w:ascii="Arial" w:cs="Arial" w:eastAsia="Arial" w:hAnsi="Arial"/>
          <w:sz w:val="18"/>
          <w:szCs w:val="18"/>
          <w:color w:val="auto"/>
        </w:rPr>
      </w:pPr>
      <w:r>
        <w:rPr>
          <w:rFonts w:ascii="Arial" w:cs="Arial" w:eastAsia="Arial" w:hAnsi="Arial"/>
          <w:sz w:val="18"/>
          <w:szCs w:val="18"/>
          <w:b w:val="1"/>
          <w:bCs w:val="1"/>
          <w:color w:val="auto"/>
        </w:rPr>
        <w:t xml:space="preserve">Performance by Lessee on Behalf of Lessor. </w:t>
      </w:r>
      <w:r>
        <w:rPr>
          <w:rFonts w:ascii="Arial" w:cs="Arial" w:eastAsia="Arial" w:hAnsi="Arial"/>
          <w:sz w:val="18"/>
          <w:szCs w:val="18"/>
          <w:color w:val="auto"/>
        </w:rPr>
        <w:t>In the event that neither Lessor nor Lender cures said breach within 30</w:t>
      </w:r>
      <w:r>
        <w:rPr>
          <w:rFonts w:ascii="Arial" w:cs="Arial" w:eastAsia="Arial" w:hAnsi="Arial"/>
          <w:sz w:val="18"/>
          <w:szCs w:val="18"/>
          <w:b w:val="1"/>
          <w:bCs w:val="1"/>
          <w:color w:val="auto"/>
        </w:rPr>
        <w:t xml:space="preserve"> </w:t>
      </w:r>
      <w:r>
        <w:rPr>
          <w:rFonts w:ascii="Arial" w:cs="Arial" w:eastAsia="Arial" w:hAnsi="Arial"/>
          <w:sz w:val="18"/>
          <w:szCs w:val="18"/>
          <w:color w:val="auto"/>
        </w:rPr>
        <w:t>days after receipt of said notice, or if having commenced said cure they do not diligently pursue it to completion, then Lessee may elect to cure said breach at Lessee’s expense and offset from Rent the actual and reasonable cost to perform such cure, provided, however, that such offset shall not exceed an amount equal to the greater of one month’s Base Rent or the Security Deposit, reserving Lessee’s right to seek reimbursement from Lessor for any such expense in excess of such offset. Lessee shall document the cost of said cure and supply said documentation to Lessor.</w:t>
      </w:r>
    </w:p>
    <w:p>
      <w:pPr>
        <w:spacing w:after="0" w:line="174" w:lineRule="exact"/>
        <w:rPr>
          <w:rFonts w:ascii="Arial" w:cs="Arial" w:eastAsia="Arial" w:hAnsi="Arial"/>
          <w:sz w:val="18"/>
          <w:szCs w:val="18"/>
          <w:color w:val="auto"/>
        </w:rPr>
      </w:pPr>
    </w:p>
    <w:p>
      <w:pPr>
        <w:ind w:right="40" w:firstLine="8"/>
        <w:spacing w:after="0" w:line="241" w:lineRule="auto"/>
        <w:tabs>
          <w:tab w:leader="none" w:pos="45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Condemnation. </w:t>
      </w:r>
      <w:r>
        <w:rPr>
          <w:rFonts w:ascii="Arial" w:cs="Arial" w:eastAsia="Arial" w:hAnsi="Arial"/>
          <w:sz w:val="18"/>
          <w:szCs w:val="18"/>
          <w:color w:val="auto"/>
        </w:rPr>
        <w:t>If the Premises or any portion thereof are taken under the power of eminent domain or sold under the threat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exercise of said power (collectively </w:t>
      </w:r>
      <w:r>
        <w:rPr>
          <w:rFonts w:ascii="Arial" w:cs="Arial" w:eastAsia="Arial" w:hAnsi="Arial"/>
          <w:sz w:val="18"/>
          <w:szCs w:val="18"/>
          <w:b w:val="1"/>
          <w:bCs w:val="1"/>
          <w:color w:val="auto"/>
        </w:rPr>
        <w:t>“Condemnation”),</w:t>
      </w:r>
      <w:r>
        <w:rPr>
          <w:rFonts w:ascii="Arial" w:cs="Arial" w:eastAsia="Arial" w:hAnsi="Arial"/>
          <w:sz w:val="18"/>
          <w:szCs w:val="18"/>
          <w:color w:val="auto"/>
        </w:rPr>
        <w:t xml:space="preserve"> this Lease shall terminate as to the part taken as of the date the condemning authority takes title or possession, whichever first occurs. If more than 10% of the Building, or more than 25% of that portion of the Premises not occupied by any building, is taken by Condemnation, Lessee may, at Lessee’s option, to be exercised in writing within 10 days after Lessor shall have given Lessee written notice of such taking (or in the absence of such notice, within 10 days after the condemning authority shall have taken possession) terminate this Lease as of the date the condemning authority takes such possession. If Lessee does not terminate this Lease in accordance with the foregoing, this Lease shall remain in full force and effect as to the portion of the Premises remaining, except that the Base Rent shall be reduced in proportion to the reduction in utility of the Premises caused by such Condemnation. Condemnation awards and/or payments shall be the property of Lessor, whether such award shall be made as compensation for diminution in value of the leasehold, the value of the part taken, or for severance damages; provided, however, that Lessee shall be entitled to any compensation paid by the condemnor for Lessee’s relocation expenses, loss of business goodwill and/or Trade Fixtures, without regard to whether or not this Lease is terminated pursuant to the provisions of this Paragraph. All Alterations and Utility Installations made to the Premises by Lessee, for purposes of Condemnation only, shall be considered the property of the Lessee and Lessee shall be entitled to any and all compensation which is payable therefor. In the event that this Lease is not terminated by reason of the Condemnation, Lessor shall repair any damage to the Premises caused by such Condemnation.</w:t>
      </w:r>
    </w:p>
    <w:p>
      <w:pPr>
        <w:spacing w:after="0" w:line="189" w:lineRule="exact"/>
        <w:rPr>
          <w:rFonts w:ascii="Arial" w:cs="Arial" w:eastAsia="Arial" w:hAnsi="Arial"/>
          <w:sz w:val="18"/>
          <w:szCs w:val="18"/>
          <w:b w:val="1"/>
          <w:bCs w:val="1"/>
          <w:color w:val="auto"/>
        </w:rPr>
      </w:pPr>
    </w:p>
    <w:p>
      <w:pPr>
        <w:ind w:left="460" w:hanging="452"/>
        <w:spacing w:after="0"/>
        <w:tabs>
          <w:tab w:leader="none" w:pos="4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Brokerage Fees.</w:t>
      </w:r>
    </w:p>
    <w:p>
      <w:pPr>
        <w:spacing w:after="0" w:line="117"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b w:val="1"/>
          <w:bCs w:val="1"/>
          <w:color w:val="auto"/>
        </w:rPr>
        <w:t>Additional Commission.</w:t>
      </w:r>
      <w:r>
        <w:rPr>
          <w:rFonts w:ascii="Arial" w:cs="Arial" w:eastAsia="Arial" w:hAnsi="Arial"/>
          <w:sz w:val="18"/>
          <w:szCs w:val="18"/>
          <w:color w:val="auto"/>
        </w:rPr>
        <w:t xml:space="preserve"> In addition to the payments owed pursuant to Paragraph 1.9 above, Lessor agrees that: (a) if Lessee exercises any Option, (b) if Lessee or anyone affiliated with Lessee acquires any rights to the Premises or other premises owned by Lessor and located within the same Project, if any, within which the Premises is located, (c) if Lessee remains in possession of the Premises, with the consent of Lessor, after the expiration of this Lease, or (d) if Base Rent is increased, whether by agreement or operation of an escalation clause herein, then, Lessor shall pay Brokers a brokerage fee to be determined at that time.</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INITIALS</w:t>
            </w:r>
          </w:p>
        </w:tc>
        <w:tc>
          <w:tcPr>
            <w:tcW w:w="3960" w:type="dxa"/>
            <w:vAlign w:val="bottom"/>
          </w:tcPr>
          <w:p>
            <w:pPr>
              <w:ind w:left="1460"/>
              <w:spacing w:after="0"/>
              <w:rPr>
                <w:sz w:val="20"/>
                <w:szCs w:val="20"/>
                <w:color w:val="auto"/>
              </w:rPr>
            </w:pPr>
            <w:r>
              <w:rPr>
                <w:rFonts w:ascii="Arial" w:cs="Arial" w:eastAsia="Arial" w:hAnsi="Arial"/>
                <w:sz w:val="18"/>
                <w:szCs w:val="18"/>
                <w:color w:val="auto"/>
              </w:rPr>
              <w:t>Page 19 of 28</w:t>
            </w:r>
          </w:p>
        </w:tc>
        <w:tc>
          <w:tcPr>
            <w:tcW w:w="3380" w:type="dxa"/>
            <w:vAlign w:val="bottom"/>
            <w:vMerge w:val="restart"/>
          </w:tcPr>
          <w:p>
            <w:pPr>
              <w:jc w:val="right"/>
              <w:spacing w:after="0"/>
              <w:rPr>
                <w:sz w:val="20"/>
                <w:szCs w:val="20"/>
                <w:color w:val="auto"/>
              </w:rPr>
            </w:pPr>
            <w:r>
              <w:rPr>
                <w:rFonts w:ascii="Arial" w:cs="Arial" w:eastAsia="Arial" w:hAnsi="Arial"/>
                <w:sz w:val="18"/>
                <w:szCs w:val="18"/>
                <w:color w:val="auto"/>
              </w:rPr>
              <w:t>INITIALS</w:t>
            </w:r>
          </w:p>
        </w:tc>
        <w:tc>
          <w:tcPr>
            <w:tcW w:w="0" w:type="dxa"/>
            <w:vAlign w:val="bottom"/>
          </w:tcPr>
          <w:p>
            <w:pPr>
              <w:spacing w:after="0"/>
              <w:rPr>
                <w:sz w:val="1"/>
                <w:szCs w:val="1"/>
                <w:color w:val="auto"/>
              </w:rPr>
            </w:pPr>
          </w:p>
        </w:tc>
      </w:tr>
      <w:tr>
        <w:trPr>
          <w:trHeight w:val="86"/>
        </w:trPr>
        <w:tc>
          <w:tcPr>
            <w:tcW w:w="3900" w:type="dxa"/>
            <w:vAlign w:val="bottom"/>
            <w:vMerge w:val="continue"/>
          </w:tcPr>
          <w:p>
            <w:pPr>
              <w:spacing w:after="0"/>
              <w:rPr>
                <w:sz w:val="7"/>
                <w:szCs w:val="7"/>
                <w:color w:val="auto"/>
              </w:rPr>
            </w:pPr>
          </w:p>
        </w:tc>
        <w:tc>
          <w:tcPr>
            <w:tcW w:w="3960" w:type="dxa"/>
            <w:vAlign w:val="bottom"/>
            <w:vMerge w:val="restart"/>
          </w:tcPr>
          <w:p>
            <w:pPr>
              <w:ind w:left="780"/>
              <w:spacing w:after="0"/>
              <w:rPr>
                <w:sz w:val="20"/>
                <w:szCs w:val="20"/>
                <w:color w:val="auto"/>
              </w:rPr>
            </w:pPr>
            <w:r>
              <w:rPr>
                <w:rFonts w:ascii="Arial" w:cs="Arial" w:eastAsia="Arial" w:hAnsi="Arial"/>
                <w:sz w:val="18"/>
                <w:szCs w:val="18"/>
                <w:color w:val="auto"/>
              </w:rPr>
              <w:t>Last Edited 2/7/2018 1:59 PM</w:t>
            </w: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 2017 AIR CRE. All Rights Reserved.</w:t>
            </w:r>
          </w:p>
        </w:tc>
        <w:tc>
          <w:tcPr>
            <w:tcW w:w="3960" w:type="dxa"/>
            <w:vAlign w:val="bottom"/>
            <w:vMerge w:val="continue"/>
          </w:tcPr>
          <w:p>
            <w:pPr>
              <w:spacing w:after="0"/>
              <w:rPr>
                <w:sz w:val="13"/>
                <w:szCs w:val="13"/>
                <w:color w:val="auto"/>
              </w:rPr>
            </w:pPr>
          </w:p>
        </w:tc>
        <w:tc>
          <w:tcPr>
            <w:tcW w:w="3380" w:type="dxa"/>
            <w:vAlign w:val="bottom"/>
            <w:vMerge w:val="restart"/>
          </w:tcPr>
          <w:p>
            <w:pPr>
              <w:jc w:val="right"/>
              <w:spacing w:after="0"/>
              <w:rPr>
                <w:sz w:val="20"/>
                <w:szCs w:val="20"/>
                <w:color w:val="auto"/>
              </w:rPr>
            </w:pPr>
            <w:r>
              <w:rPr>
                <w:rFonts w:ascii="Arial" w:cs="Arial" w:eastAsia="Arial" w:hAnsi="Arial"/>
                <w:sz w:val="18"/>
                <w:szCs w:val="18"/>
                <w:color w:val="auto"/>
              </w:rPr>
              <w:t>STN-27.10, Revised 11-01-2017</w:t>
            </w:r>
          </w:p>
        </w:tc>
        <w:tc>
          <w:tcPr>
            <w:tcW w:w="0" w:type="dxa"/>
            <w:vAlign w:val="bottom"/>
          </w:tcPr>
          <w:p>
            <w:pPr>
              <w:spacing w:after="0"/>
              <w:rPr>
                <w:sz w:val="1"/>
                <w:szCs w:val="1"/>
                <w:color w:val="auto"/>
              </w:rPr>
            </w:pPr>
          </w:p>
        </w:tc>
      </w:tr>
      <w:tr>
        <w:trPr>
          <w:trHeight w:val="86"/>
        </w:trPr>
        <w:tc>
          <w:tcPr>
            <w:tcW w:w="3900" w:type="dxa"/>
            <w:vAlign w:val="bottom"/>
            <w:vMerge w:val="continue"/>
          </w:tcPr>
          <w:p>
            <w:pPr>
              <w:spacing w:after="0"/>
              <w:rPr>
                <w:sz w:val="7"/>
                <w:szCs w:val="7"/>
                <w:color w:val="auto"/>
              </w:rPr>
            </w:pPr>
          </w:p>
        </w:tc>
        <w:tc>
          <w:tcPr>
            <w:tcW w:w="396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3900" w:type="dxa"/>
            <w:vAlign w:val="bottom"/>
            <w:tcBorders>
              <w:bottom w:val="single" w:sz="8" w:color="9A9A9A"/>
            </w:tcBorders>
          </w:tcPr>
          <w:p>
            <w:pPr>
              <w:spacing w:after="0"/>
              <w:rPr>
                <w:sz w:val="12"/>
                <w:szCs w:val="12"/>
                <w:color w:val="auto"/>
              </w:rPr>
            </w:pPr>
          </w:p>
        </w:tc>
        <w:tc>
          <w:tcPr>
            <w:tcW w:w="3960" w:type="dxa"/>
            <w:vAlign w:val="bottom"/>
            <w:tcBorders>
              <w:bottom w:val="single" w:sz="8" w:color="9A9A9A"/>
            </w:tcBorders>
          </w:tcPr>
          <w:p>
            <w:pPr>
              <w:spacing w:after="0"/>
              <w:rPr>
                <w:sz w:val="12"/>
                <w:szCs w:val="12"/>
                <w:color w:val="auto"/>
              </w:rPr>
            </w:pPr>
          </w:p>
        </w:tc>
        <w:tc>
          <w:tcPr>
            <w:tcW w:w="33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8" w:name="page139"/>
    <w:bookmarkEnd w:id="138"/>
    <w:p>
      <w:pPr>
        <w:ind w:right="160" w:firstLine="509"/>
        <w:spacing w:after="0" w:line="246"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b w:val="1"/>
          <w:bCs w:val="1"/>
          <w:color w:val="auto"/>
        </w:rPr>
        <w:t>Assumption of Obligations.</w:t>
      </w:r>
      <w:r>
        <w:rPr>
          <w:rFonts w:ascii="Arial" w:cs="Arial" w:eastAsia="Arial" w:hAnsi="Arial"/>
          <w:sz w:val="18"/>
          <w:szCs w:val="18"/>
          <w:color w:val="auto"/>
        </w:rPr>
        <w:t xml:space="preserve"> Any buyer or transferee of Lessor’s interest in this Lease shall be deemed to have assumed Lessor’s obligation hereunder. Brokers shall be third party beneficiaries of the provisions of Paragraphs 1.9,15, 22 and 31. If Lessor fails to pay to Brokers any amounts due as and for brokerage fees pertaining to this Lease when due, then such amounts shall accrue Interest. In addition, if Lessor fails to pay any amounts to Lessee’s Broker when due, Lessee’s Broker may send written notice to Lessor and Lessee of such failure and if Lessor fails to pay such amounts within 10 days after said notice, Lessee shall pay said monies to its Broker and offset such amounts against Rent. In addition, Lessee’s Broker shall be deemed to be a third party beneficiary of any commission agreement entered into by and/or between Lessor and Lessor’s Broker for the limited purpose of collecting any brokerage fee owed.</w:t>
      </w:r>
    </w:p>
    <w:p>
      <w:pPr>
        <w:spacing w:after="0" w:line="175" w:lineRule="exact"/>
        <w:rPr>
          <w:sz w:val="20"/>
          <w:szCs w:val="20"/>
          <w:color w:val="auto"/>
        </w:rPr>
      </w:pPr>
    </w:p>
    <w:p>
      <w:pPr>
        <w:ind w:right="20" w:firstLine="509"/>
        <w:spacing w:after="0" w:line="245" w:lineRule="auto"/>
        <w:rPr>
          <w:sz w:val="20"/>
          <w:szCs w:val="20"/>
          <w:color w:val="auto"/>
        </w:rPr>
      </w:pPr>
      <w:r>
        <w:rPr>
          <w:rFonts w:ascii="Arial" w:cs="Arial" w:eastAsia="Arial" w:hAnsi="Arial"/>
          <w:sz w:val="18"/>
          <w:szCs w:val="18"/>
          <w:color w:val="auto"/>
        </w:rPr>
        <w:t xml:space="preserve">15.3 </w:t>
      </w:r>
      <w:r>
        <w:rPr>
          <w:rFonts w:ascii="Arial" w:cs="Arial" w:eastAsia="Arial" w:hAnsi="Arial"/>
          <w:sz w:val="18"/>
          <w:szCs w:val="18"/>
          <w:b w:val="1"/>
          <w:bCs w:val="1"/>
          <w:color w:val="auto"/>
        </w:rPr>
        <w:t>Representations and Indemnities of Broker Relationships.</w:t>
      </w:r>
      <w:r>
        <w:rPr>
          <w:rFonts w:ascii="Arial" w:cs="Arial" w:eastAsia="Arial" w:hAnsi="Arial"/>
          <w:sz w:val="18"/>
          <w:szCs w:val="18"/>
          <w:color w:val="auto"/>
        </w:rPr>
        <w:t xml:space="preserve"> Lessee and Lessor each represent and warrant to the other that it has had no dealings with any person, firm, broker or finder (other than the Brokers, if any) in connection with this Lease, and that no one other than said named Brokers is entitled to any commission or finder’s fee in connection herewith. Lessee and Lessor do each hereby agree to indemnify, protect, defend and hold the other harmless from and against liability for compensation or charges which may be claimed by any such unnamed broker, finder or other similar party by reason of any dealings or actions of the indemnifying Party, including any costs, expenses, attorneys’ fees reasonably incurred with respect thereto.</w:t>
      </w:r>
    </w:p>
    <w:p>
      <w:pPr>
        <w:spacing w:after="0" w:line="298" w:lineRule="exact"/>
        <w:rPr>
          <w:sz w:val="20"/>
          <w:szCs w:val="20"/>
          <w:color w:val="auto"/>
        </w:rPr>
      </w:pPr>
    </w:p>
    <w:p>
      <w:pPr>
        <w:ind w:left="460" w:hanging="452"/>
        <w:spacing w:after="0"/>
        <w:tabs>
          <w:tab w:leader="none" w:pos="4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Estoppel Certificates.</w:t>
      </w:r>
    </w:p>
    <w:p>
      <w:pPr>
        <w:spacing w:after="0" w:line="103" w:lineRule="exact"/>
        <w:rPr>
          <w:rFonts w:ascii="Arial" w:cs="Arial" w:eastAsia="Arial" w:hAnsi="Arial"/>
          <w:sz w:val="18"/>
          <w:szCs w:val="18"/>
          <w:b w:val="1"/>
          <w:bCs w:val="1"/>
          <w:color w:val="auto"/>
        </w:rPr>
      </w:pPr>
    </w:p>
    <w:p>
      <w:pPr>
        <w:ind w:right="140" w:firstLine="1154"/>
        <w:spacing w:after="0" w:line="252" w:lineRule="auto"/>
        <w:tabs>
          <w:tab w:leader="none" w:pos="1565" w:val="left"/>
        </w:tabs>
        <w:numPr>
          <w:ilvl w:val="1"/>
          <w:numId w:val="130"/>
        </w:numPr>
        <w:rPr>
          <w:rFonts w:ascii="Arial" w:cs="Arial" w:eastAsia="Arial" w:hAnsi="Arial"/>
          <w:sz w:val="18"/>
          <w:szCs w:val="18"/>
          <w:color w:val="auto"/>
        </w:rPr>
      </w:pPr>
      <w:r>
        <w:rPr>
          <w:rFonts w:ascii="Arial" w:cs="Arial" w:eastAsia="Arial" w:hAnsi="Arial"/>
          <w:sz w:val="18"/>
          <w:szCs w:val="18"/>
          <w:color w:val="auto"/>
        </w:rPr>
        <w:t>Each Party (as “</w:t>
      </w:r>
      <w:r>
        <w:rPr>
          <w:rFonts w:ascii="Arial" w:cs="Arial" w:eastAsia="Arial" w:hAnsi="Arial"/>
          <w:sz w:val="18"/>
          <w:szCs w:val="18"/>
          <w:b w:val="1"/>
          <w:bCs w:val="1"/>
          <w:color w:val="auto"/>
        </w:rPr>
        <w:t>Responding Party</w:t>
      </w:r>
      <w:r>
        <w:rPr>
          <w:rFonts w:ascii="Arial" w:cs="Arial" w:eastAsia="Arial" w:hAnsi="Arial"/>
          <w:sz w:val="18"/>
          <w:szCs w:val="18"/>
          <w:color w:val="auto"/>
        </w:rPr>
        <w:t>”) shall within 10 days after written notice from the other Party (the “</w:t>
      </w:r>
      <w:r>
        <w:rPr>
          <w:rFonts w:ascii="Arial" w:cs="Arial" w:eastAsia="Arial" w:hAnsi="Arial"/>
          <w:sz w:val="18"/>
          <w:szCs w:val="18"/>
          <w:b w:val="1"/>
          <w:bCs w:val="1"/>
          <w:color w:val="auto"/>
        </w:rPr>
        <w:t>Requesting</w:t>
      </w:r>
      <w:r>
        <w:rPr>
          <w:rFonts w:ascii="Arial" w:cs="Arial" w:eastAsia="Arial" w:hAnsi="Arial"/>
          <w:sz w:val="18"/>
          <w:szCs w:val="18"/>
          <w:color w:val="auto"/>
        </w:rPr>
        <w:t xml:space="preserve"> </w:t>
      </w:r>
      <w:r>
        <w:rPr>
          <w:rFonts w:ascii="Arial" w:cs="Arial" w:eastAsia="Arial" w:hAnsi="Arial"/>
          <w:sz w:val="18"/>
          <w:szCs w:val="18"/>
          <w:b w:val="1"/>
          <w:bCs w:val="1"/>
          <w:color w:val="auto"/>
        </w:rPr>
        <w:t>Party</w:t>
      </w:r>
      <w:r>
        <w:rPr>
          <w:rFonts w:ascii="Arial" w:cs="Arial" w:eastAsia="Arial" w:hAnsi="Arial"/>
          <w:sz w:val="18"/>
          <w:szCs w:val="18"/>
          <w:color w:val="auto"/>
        </w:rPr>
        <w:t>”) execute, acknowledge and deliver to the Requesting Party a statement in writing in form similar to the then most current “</w:t>
      </w:r>
      <w:r>
        <w:rPr>
          <w:rFonts w:ascii="Arial" w:cs="Arial" w:eastAsia="Arial" w:hAnsi="Arial"/>
          <w:sz w:val="18"/>
          <w:szCs w:val="18"/>
          <w:b w:val="1"/>
          <w:bCs w:val="1"/>
          <w:color w:val="auto"/>
        </w:rPr>
        <w:t>Estoppel Certificate</w:t>
      </w:r>
      <w:r>
        <w:rPr>
          <w:rFonts w:ascii="Arial" w:cs="Arial" w:eastAsia="Arial" w:hAnsi="Arial"/>
          <w:sz w:val="18"/>
          <w:szCs w:val="18"/>
          <w:color w:val="auto"/>
        </w:rPr>
        <w:t>” form published BY AIR CRE, plus such additional information, confirmation and/or statements as may be reasonably requested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Requesting Party.</w:t>
      </w:r>
    </w:p>
    <w:p>
      <w:pPr>
        <w:spacing w:after="0" w:line="170" w:lineRule="exact"/>
        <w:rPr>
          <w:rFonts w:ascii="Arial" w:cs="Arial" w:eastAsia="Arial" w:hAnsi="Arial"/>
          <w:sz w:val="18"/>
          <w:szCs w:val="18"/>
          <w:color w:val="auto"/>
        </w:rPr>
      </w:pPr>
    </w:p>
    <w:p>
      <w:pPr>
        <w:ind w:firstLine="1161"/>
        <w:spacing w:after="0" w:line="241" w:lineRule="auto"/>
        <w:tabs>
          <w:tab w:leader="none" w:pos="1573" w:val="left"/>
        </w:tabs>
        <w:numPr>
          <w:ilvl w:val="1"/>
          <w:numId w:val="130"/>
        </w:numPr>
        <w:rPr>
          <w:rFonts w:ascii="Arial" w:cs="Arial" w:eastAsia="Arial" w:hAnsi="Arial"/>
          <w:sz w:val="18"/>
          <w:szCs w:val="18"/>
          <w:color w:val="auto"/>
        </w:rPr>
      </w:pPr>
      <w:r>
        <w:rPr>
          <w:rFonts w:ascii="Arial" w:cs="Arial" w:eastAsia="Arial" w:hAnsi="Arial"/>
          <w:sz w:val="18"/>
          <w:szCs w:val="18"/>
          <w:color w:val="auto"/>
        </w:rPr>
        <w:t>If the Responding Party shall fail to execute or deliver the Estoppel Certificate within such 10 day period, the Requesting Party may execute an Estoppel Certificate stating that: (i) the Lease is in full force and effect without modification except as may be represented by the Requesting Party, (ii) there are no uncured defaults in the Requesting Party’s performance, and (iii) if Lessor is the Requesting Party, not more than one month’s rent has been paid in advance. Prospective purchasers and encumbrancers may rely upon the Requesting Party’s Estoppel Certificate, and the Responding Party shall be estopped from denying the truth of the facts contained in said Certificate. In addition, Lessee acknowledges that any failure on its part to provide such an Estoppel Certificate will expose Lessor to risks and potentially cause Lessor to incur costs not contemplated by this Lease, the extent of which will be extremely difficult to ascertain. Accordingly, should the Lessee fail to execute and/or deliver a requested Estoppel Certificate in a timely fashion the monthly Base Rent shall be automatically increased, without any requirement for notice to Lessee, by an amount equal to 10% of the then existing Base Rent or $100, whichever is greater for remainder of the Lease. The Parties agree that such increase in Base Rent represents fair and reasonable compensation for the additional risk/costs that Lessor will incur by reason of Lessee’s failure to provide the Estoppel Certificate. Such increase in Base Rent shall in no event constitute a waiver of Lessee’s Default or Breach with respect to the failure to provide the Estoppel Certificate nor prevent the exercise of any of the other rights and remedies granted hereunder.</w:t>
      </w:r>
    </w:p>
    <w:p>
      <w:pPr>
        <w:spacing w:after="0" w:line="200" w:lineRule="exact"/>
        <w:rPr>
          <w:rFonts w:ascii="Arial" w:cs="Arial" w:eastAsia="Arial" w:hAnsi="Arial"/>
          <w:sz w:val="18"/>
          <w:szCs w:val="18"/>
          <w:color w:val="auto"/>
        </w:rPr>
      </w:pPr>
    </w:p>
    <w:p>
      <w:pPr>
        <w:ind w:right="40" w:firstLine="1154"/>
        <w:spacing w:after="0" w:line="247" w:lineRule="auto"/>
        <w:tabs>
          <w:tab w:leader="none" w:pos="1555" w:val="left"/>
        </w:tabs>
        <w:numPr>
          <w:ilvl w:val="1"/>
          <w:numId w:val="130"/>
        </w:numPr>
        <w:rPr>
          <w:rFonts w:ascii="Arial" w:cs="Arial" w:eastAsia="Arial" w:hAnsi="Arial"/>
          <w:sz w:val="18"/>
          <w:szCs w:val="18"/>
          <w:color w:val="auto"/>
        </w:rPr>
      </w:pPr>
      <w:r>
        <w:rPr>
          <w:rFonts w:ascii="Arial" w:cs="Arial" w:eastAsia="Arial" w:hAnsi="Arial"/>
          <w:sz w:val="18"/>
          <w:szCs w:val="18"/>
          <w:color w:val="auto"/>
        </w:rPr>
        <w:t>If Lessor desires to finance, refinance, or sell the Premises, or any part thereof, Lessee and all Guarantors shall within 10 days after written notice from Lessor deliver to any potential lender or purchaser designated by Lessor such financial statements as may be reasonably required by such lender or purchaser, including but not limited to Lessee’s financial statements for the past 3 years. All such financial statements shall be received by Lessor and such lender or purchaser in confidence and shall be used only for the purposes herein set forth.</w:t>
      </w:r>
    </w:p>
    <w:p>
      <w:pPr>
        <w:spacing w:after="0" w:line="176" w:lineRule="exact"/>
        <w:rPr>
          <w:rFonts w:ascii="Arial" w:cs="Arial" w:eastAsia="Arial" w:hAnsi="Arial"/>
          <w:sz w:val="18"/>
          <w:szCs w:val="18"/>
          <w:color w:val="auto"/>
        </w:rPr>
      </w:pPr>
    </w:p>
    <w:p>
      <w:pPr>
        <w:ind w:right="140" w:firstLine="8"/>
        <w:spacing w:after="0" w:line="248" w:lineRule="auto"/>
        <w:tabs>
          <w:tab w:leader="none" w:pos="45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 of Lessor. </w:t>
      </w:r>
      <w:r>
        <w:rPr>
          <w:rFonts w:ascii="Arial" w:cs="Arial" w:eastAsia="Arial" w:hAnsi="Arial"/>
          <w:sz w:val="18"/>
          <w:szCs w:val="18"/>
          <w:color w:val="auto"/>
        </w:rPr>
        <w:t>The term “</w:t>
      </w:r>
      <w:r>
        <w:rPr>
          <w:rFonts w:ascii="Arial" w:cs="Arial" w:eastAsia="Arial" w:hAnsi="Arial"/>
          <w:sz w:val="18"/>
          <w:szCs w:val="18"/>
          <w:b w:val="1"/>
          <w:bCs w:val="1"/>
          <w:color w:val="auto"/>
        </w:rPr>
        <w:t>Lessor</w:t>
      </w:r>
      <w:r>
        <w:rPr>
          <w:rFonts w:ascii="Arial" w:cs="Arial" w:eastAsia="Arial" w:hAnsi="Arial"/>
          <w:sz w:val="18"/>
          <w:szCs w:val="18"/>
          <w:color w:val="auto"/>
        </w:rPr>
        <w:t>” as used herein shall mean the owner or owners at the time in question of the fee title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Premises, or, if this is a sublease, of the Lessee’s interest in the prior lease. In the event of a transfer of Lessor’s title or interest in the Premises or this Lease, Lessor shall deliver to the transferee or assignee (in cash or by credit) any unused Security Deposit held by Lessor. Upon such transfer or assignment and delivery of the Security Deposit, as aforesaid, the prior Lessor shall be relieved of all liability with respect to the obligations and/or covenants under this Lease thereafter to be performed by the Lessor. Subject to the foregoing, the obligations and/or covenants in this Lease to be performed by the Lessor shall be binding only upon the Lessor as hereinabove defined.</w:t>
      </w:r>
    </w:p>
    <w:p>
      <w:pPr>
        <w:spacing w:after="0" w:line="174" w:lineRule="exact"/>
        <w:rPr>
          <w:rFonts w:ascii="Arial" w:cs="Arial" w:eastAsia="Arial" w:hAnsi="Arial"/>
          <w:sz w:val="18"/>
          <w:szCs w:val="18"/>
          <w:b w:val="1"/>
          <w:bCs w:val="1"/>
          <w:color w:val="auto"/>
        </w:rPr>
      </w:pPr>
    </w:p>
    <w:p>
      <w:pPr>
        <w:ind w:right="120" w:firstLine="8"/>
        <w:spacing w:after="0" w:line="271" w:lineRule="auto"/>
        <w:tabs>
          <w:tab w:leader="none" w:pos="45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The invalidity of any provision of this Lease, as determined by a court of competent jurisdiction, shall in no way affect the</w:t>
      </w:r>
      <w:r>
        <w:rPr>
          <w:rFonts w:ascii="Arial" w:cs="Arial" w:eastAsia="Arial" w:hAnsi="Arial"/>
          <w:sz w:val="18"/>
          <w:szCs w:val="18"/>
          <w:b w:val="1"/>
          <w:bCs w:val="1"/>
          <w:color w:val="auto"/>
        </w:rPr>
        <w:t xml:space="preserve"> </w:t>
      </w:r>
      <w:r>
        <w:rPr>
          <w:rFonts w:ascii="Arial" w:cs="Arial" w:eastAsia="Arial" w:hAnsi="Arial"/>
          <w:sz w:val="18"/>
          <w:szCs w:val="18"/>
          <w:color w:val="auto"/>
        </w:rPr>
        <w:t>validity of any other provision hereof.</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INITIALS</w:t>
            </w:r>
          </w:p>
        </w:tc>
        <w:tc>
          <w:tcPr>
            <w:tcW w:w="3960" w:type="dxa"/>
            <w:vAlign w:val="bottom"/>
          </w:tcPr>
          <w:p>
            <w:pPr>
              <w:ind w:left="1460"/>
              <w:spacing w:after="0"/>
              <w:rPr>
                <w:sz w:val="20"/>
                <w:szCs w:val="20"/>
                <w:color w:val="auto"/>
              </w:rPr>
            </w:pPr>
            <w:r>
              <w:rPr>
                <w:rFonts w:ascii="Arial" w:cs="Arial" w:eastAsia="Arial" w:hAnsi="Arial"/>
                <w:sz w:val="18"/>
                <w:szCs w:val="18"/>
                <w:color w:val="auto"/>
              </w:rPr>
              <w:t>Page 20 of 28</w:t>
            </w:r>
          </w:p>
        </w:tc>
        <w:tc>
          <w:tcPr>
            <w:tcW w:w="3380" w:type="dxa"/>
            <w:vAlign w:val="bottom"/>
            <w:vMerge w:val="restart"/>
          </w:tcPr>
          <w:p>
            <w:pPr>
              <w:jc w:val="right"/>
              <w:spacing w:after="0"/>
              <w:rPr>
                <w:sz w:val="20"/>
                <w:szCs w:val="20"/>
                <w:color w:val="auto"/>
              </w:rPr>
            </w:pPr>
            <w:r>
              <w:rPr>
                <w:rFonts w:ascii="Arial" w:cs="Arial" w:eastAsia="Arial" w:hAnsi="Arial"/>
                <w:sz w:val="18"/>
                <w:szCs w:val="18"/>
                <w:color w:val="auto"/>
              </w:rPr>
              <w:t>INITIALS</w:t>
            </w:r>
          </w:p>
        </w:tc>
        <w:tc>
          <w:tcPr>
            <w:tcW w:w="0" w:type="dxa"/>
            <w:vAlign w:val="bottom"/>
          </w:tcPr>
          <w:p>
            <w:pPr>
              <w:spacing w:after="0"/>
              <w:rPr>
                <w:sz w:val="1"/>
                <w:szCs w:val="1"/>
                <w:color w:val="auto"/>
              </w:rPr>
            </w:pPr>
          </w:p>
        </w:tc>
      </w:tr>
      <w:tr>
        <w:trPr>
          <w:trHeight w:val="94"/>
        </w:trPr>
        <w:tc>
          <w:tcPr>
            <w:tcW w:w="3900" w:type="dxa"/>
            <w:vAlign w:val="bottom"/>
            <w:vMerge w:val="continue"/>
          </w:tcPr>
          <w:p>
            <w:pPr>
              <w:spacing w:after="0"/>
              <w:rPr>
                <w:sz w:val="8"/>
                <w:szCs w:val="8"/>
                <w:color w:val="auto"/>
              </w:rPr>
            </w:pPr>
          </w:p>
        </w:tc>
        <w:tc>
          <w:tcPr>
            <w:tcW w:w="3960" w:type="dxa"/>
            <w:vAlign w:val="bottom"/>
            <w:vMerge w:val="restart"/>
          </w:tcPr>
          <w:p>
            <w:pPr>
              <w:ind w:left="780"/>
              <w:spacing w:after="0"/>
              <w:rPr>
                <w:sz w:val="20"/>
                <w:szCs w:val="20"/>
                <w:color w:val="auto"/>
              </w:rPr>
            </w:pPr>
            <w:r>
              <w:rPr>
                <w:rFonts w:ascii="Arial" w:cs="Arial" w:eastAsia="Arial" w:hAnsi="Arial"/>
                <w:sz w:val="18"/>
                <w:szCs w:val="18"/>
                <w:color w:val="auto"/>
              </w:rPr>
              <w:t>Last Edited 2/7/2018 1:59 PM</w:t>
            </w:r>
          </w:p>
        </w:tc>
        <w:tc>
          <w:tcPr>
            <w:tcW w:w="3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 2017 AIR CRE. All Rights Reserved.</w:t>
            </w:r>
          </w:p>
        </w:tc>
        <w:tc>
          <w:tcPr>
            <w:tcW w:w="3960" w:type="dxa"/>
            <w:vAlign w:val="bottom"/>
            <w:vMerge w:val="continue"/>
          </w:tcPr>
          <w:p>
            <w:pPr>
              <w:spacing w:after="0"/>
              <w:rPr>
                <w:sz w:val="12"/>
                <w:szCs w:val="12"/>
                <w:color w:val="auto"/>
              </w:rPr>
            </w:pPr>
          </w:p>
        </w:tc>
        <w:tc>
          <w:tcPr>
            <w:tcW w:w="3380" w:type="dxa"/>
            <w:vAlign w:val="bottom"/>
            <w:vMerge w:val="restart"/>
          </w:tcPr>
          <w:p>
            <w:pPr>
              <w:jc w:val="right"/>
              <w:spacing w:after="0"/>
              <w:rPr>
                <w:sz w:val="20"/>
                <w:szCs w:val="20"/>
                <w:color w:val="auto"/>
              </w:rPr>
            </w:pPr>
            <w:r>
              <w:rPr>
                <w:rFonts w:ascii="Arial" w:cs="Arial" w:eastAsia="Arial" w:hAnsi="Arial"/>
                <w:sz w:val="18"/>
                <w:szCs w:val="18"/>
                <w:color w:val="auto"/>
              </w:rPr>
              <w:t>STN-27.10, Revised 11-01-2017</w:t>
            </w:r>
          </w:p>
        </w:tc>
        <w:tc>
          <w:tcPr>
            <w:tcW w:w="0" w:type="dxa"/>
            <w:vAlign w:val="bottom"/>
          </w:tcPr>
          <w:p>
            <w:pPr>
              <w:spacing w:after="0"/>
              <w:rPr>
                <w:sz w:val="1"/>
                <w:szCs w:val="1"/>
                <w:color w:val="auto"/>
              </w:rPr>
            </w:pPr>
          </w:p>
        </w:tc>
      </w:tr>
      <w:tr>
        <w:trPr>
          <w:trHeight w:val="94"/>
        </w:trPr>
        <w:tc>
          <w:tcPr>
            <w:tcW w:w="3900" w:type="dxa"/>
            <w:vAlign w:val="bottom"/>
            <w:vMerge w:val="continue"/>
          </w:tcPr>
          <w:p>
            <w:pPr>
              <w:spacing w:after="0"/>
              <w:rPr>
                <w:sz w:val="8"/>
                <w:szCs w:val="8"/>
                <w:color w:val="auto"/>
              </w:rPr>
            </w:pPr>
          </w:p>
        </w:tc>
        <w:tc>
          <w:tcPr>
            <w:tcW w:w="3960" w:type="dxa"/>
            <w:vAlign w:val="bottom"/>
          </w:tcPr>
          <w:p>
            <w:pPr>
              <w:spacing w:after="0"/>
              <w:rPr>
                <w:sz w:val="8"/>
                <w:szCs w:val="8"/>
                <w:color w:val="auto"/>
              </w:rPr>
            </w:pPr>
          </w:p>
        </w:tc>
        <w:tc>
          <w:tcPr>
            <w:tcW w:w="3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3900" w:type="dxa"/>
            <w:vAlign w:val="bottom"/>
            <w:tcBorders>
              <w:bottom w:val="single" w:sz="8" w:color="9A9A9A"/>
            </w:tcBorders>
          </w:tcPr>
          <w:p>
            <w:pPr>
              <w:spacing w:after="0"/>
              <w:rPr>
                <w:sz w:val="13"/>
                <w:szCs w:val="13"/>
                <w:color w:val="auto"/>
              </w:rPr>
            </w:pPr>
          </w:p>
        </w:tc>
        <w:tc>
          <w:tcPr>
            <w:tcW w:w="3960" w:type="dxa"/>
            <w:vAlign w:val="bottom"/>
            <w:tcBorders>
              <w:bottom w:val="single" w:sz="8" w:color="9A9A9A"/>
            </w:tcBorders>
          </w:tcPr>
          <w:p>
            <w:pPr>
              <w:spacing w:after="0"/>
              <w:rPr>
                <w:sz w:val="13"/>
                <w:szCs w:val="13"/>
                <w:color w:val="auto"/>
              </w:rPr>
            </w:pPr>
          </w:p>
        </w:tc>
        <w:tc>
          <w:tcPr>
            <w:tcW w:w="33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9" w:name="page140"/>
    <w:bookmarkEnd w:id="139"/>
    <w:p>
      <w:pPr>
        <w:ind w:left="460" w:hanging="452"/>
        <w:spacing w:after="0"/>
        <w:tabs>
          <w:tab w:leader="none" w:pos="4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Days. </w:t>
      </w:r>
      <w:r>
        <w:rPr>
          <w:rFonts w:ascii="Arial" w:cs="Arial" w:eastAsia="Arial" w:hAnsi="Arial"/>
          <w:sz w:val="18"/>
          <w:szCs w:val="18"/>
          <w:color w:val="auto"/>
        </w:rPr>
        <w:t>Unless otherwise specifically indicated to the contrary, the word “</w:t>
      </w:r>
      <w:r>
        <w:rPr>
          <w:rFonts w:ascii="Arial" w:cs="Arial" w:eastAsia="Arial" w:hAnsi="Arial"/>
          <w:sz w:val="18"/>
          <w:szCs w:val="18"/>
          <w:b w:val="1"/>
          <w:bCs w:val="1"/>
          <w:color w:val="auto"/>
        </w:rPr>
        <w:t>days</w:t>
      </w:r>
      <w:r>
        <w:rPr>
          <w:rFonts w:ascii="Arial" w:cs="Arial" w:eastAsia="Arial" w:hAnsi="Arial"/>
          <w:sz w:val="18"/>
          <w:szCs w:val="18"/>
          <w:color w:val="auto"/>
        </w:rPr>
        <w:t>” as used in this Lease shall mean and refer to calendar</w:t>
      </w:r>
    </w:p>
    <w:p>
      <w:pPr>
        <w:spacing w:after="0" w:line="2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days.</w:t>
      </w:r>
    </w:p>
    <w:p>
      <w:pPr>
        <w:spacing w:after="0" w:line="193" w:lineRule="exact"/>
        <w:rPr>
          <w:rFonts w:ascii="Arial" w:cs="Arial" w:eastAsia="Arial" w:hAnsi="Arial"/>
          <w:sz w:val="18"/>
          <w:szCs w:val="18"/>
          <w:b w:val="1"/>
          <w:bCs w:val="1"/>
          <w:color w:val="auto"/>
        </w:rPr>
      </w:pPr>
    </w:p>
    <w:p>
      <w:pPr>
        <w:jc w:val="both"/>
        <w:ind w:right="160" w:firstLine="8"/>
        <w:spacing w:after="0" w:line="252" w:lineRule="auto"/>
        <w:tabs>
          <w:tab w:leader="none" w:pos="45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Limitation on Liability. </w:t>
      </w:r>
      <w:r>
        <w:rPr>
          <w:rFonts w:ascii="Arial" w:cs="Arial" w:eastAsia="Arial" w:hAnsi="Arial"/>
          <w:sz w:val="18"/>
          <w:szCs w:val="18"/>
          <w:color w:val="auto"/>
        </w:rPr>
        <w:t>The obligations of Lessor under this Lease shall not constitute personal obligations of Lessor, or its partners,</w:t>
      </w:r>
      <w:r>
        <w:rPr>
          <w:rFonts w:ascii="Arial" w:cs="Arial" w:eastAsia="Arial" w:hAnsi="Arial"/>
          <w:sz w:val="18"/>
          <w:szCs w:val="18"/>
          <w:b w:val="1"/>
          <w:bCs w:val="1"/>
          <w:color w:val="auto"/>
        </w:rPr>
        <w:t xml:space="preserve"> </w:t>
      </w:r>
      <w:r>
        <w:rPr>
          <w:rFonts w:ascii="Arial" w:cs="Arial" w:eastAsia="Arial" w:hAnsi="Arial"/>
          <w:sz w:val="18"/>
          <w:szCs w:val="18"/>
          <w:color w:val="auto"/>
        </w:rPr>
        <w:t>members, directors, officers or shareholders, and Lessee shall look to the Premises, and to no other assets of Lessor, for the satisfaction of any liability of Lessor with respect to this Lease, and shall not seek recourse against Lessor’s partners, members, directors, officers or shareholders, or any of their personal assets for such satisfaction.</w:t>
      </w:r>
    </w:p>
    <w:p>
      <w:pPr>
        <w:spacing w:after="0" w:line="170" w:lineRule="exact"/>
        <w:rPr>
          <w:rFonts w:ascii="Arial" w:cs="Arial" w:eastAsia="Arial" w:hAnsi="Arial"/>
          <w:sz w:val="18"/>
          <w:szCs w:val="18"/>
          <w:b w:val="1"/>
          <w:bCs w:val="1"/>
          <w:color w:val="auto"/>
        </w:rPr>
      </w:pPr>
    </w:p>
    <w:p>
      <w:pPr>
        <w:ind w:right="100" w:firstLine="8"/>
        <w:spacing w:after="0" w:line="287" w:lineRule="auto"/>
        <w:tabs>
          <w:tab w:leader="none" w:pos="45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Time of Essence. </w:t>
      </w:r>
      <w:r>
        <w:rPr>
          <w:rFonts w:ascii="Arial" w:cs="Arial" w:eastAsia="Arial" w:hAnsi="Arial"/>
          <w:sz w:val="18"/>
          <w:szCs w:val="18"/>
          <w:color w:val="auto"/>
        </w:rPr>
        <w:t>Time is of the essence with respect to the performance of all obligations to be performed or observed by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Lease.</w:t>
      </w:r>
    </w:p>
    <w:p>
      <w:pPr>
        <w:spacing w:after="0" w:line="31" w:lineRule="exact"/>
        <w:rPr>
          <w:rFonts w:ascii="Arial" w:cs="Arial" w:eastAsia="Arial" w:hAnsi="Arial"/>
          <w:sz w:val="18"/>
          <w:szCs w:val="18"/>
          <w:b w:val="1"/>
          <w:bCs w:val="1"/>
          <w:color w:val="auto"/>
        </w:rPr>
      </w:pPr>
    </w:p>
    <w:p>
      <w:pPr>
        <w:ind w:right="100" w:firstLine="8"/>
        <w:spacing w:after="0" w:line="247" w:lineRule="auto"/>
        <w:tabs>
          <w:tab w:leader="none" w:pos="45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Prior or Other Agreements; Broker Disclaimer. </w:t>
      </w:r>
      <w:r>
        <w:rPr>
          <w:rFonts w:ascii="Arial" w:cs="Arial" w:eastAsia="Arial" w:hAnsi="Arial"/>
          <w:sz w:val="18"/>
          <w:szCs w:val="18"/>
          <w:color w:val="auto"/>
        </w:rPr>
        <w:t>This Lease contains all agreements between the Parties with respect to any</w:t>
      </w:r>
      <w:r>
        <w:rPr>
          <w:rFonts w:ascii="Arial" w:cs="Arial" w:eastAsia="Arial" w:hAnsi="Arial"/>
          <w:sz w:val="18"/>
          <w:szCs w:val="18"/>
          <w:b w:val="1"/>
          <w:bCs w:val="1"/>
          <w:color w:val="auto"/>
        </w:rPr>
        <w:t xml:space="preserve"> </w:t>
      </w:r>
      <w:r>
        <w:rPr>
          <w:rFonts w:ascii="Arial" w:cs="Arial" w:eastAsia="Arial" w:hAnsi="Arial"/>
          <w:sz w:val="18"/>
          <w:szCs w:val="18"/>
          <w:color w:val="auto"/>
        </w:rPr>
        <w:t>matter mentioned herein, and no other prior or contemporaneous agreement or understanding shall be effective. Lessor and Lessee each represents and warrants to the Brokers that it has made, and is relying solely upon, its own investigation as to the nature, quality, character and financial responsibility of the other Party to this Lease and as to the use, nature, quality and character of the Premises. Brokers have no responsibility with respect thereto or with respect to any default or breach hereof by either Party.</w:t>
      </w:r>
    </w:p>
    <w:p>
      <w:pPr>
        <w:spacing w:after="0" w:line="176" w:lineRule="exact"/>
        <w:rPr>
          <w:rFonts w:ascii="Arial" w:cs="Arial" w:eastAsia="Arial" w:hAnsi="Arial"/>
          <w:sz w:val="18"/>
          <w:szCs w:val="18"/>
          <w:b w:val="1"/>
          <w:bCs w:val="1"/>
          <w:color w:val="auto"/>
        </w:rPr>
      </w:pPr>
    </w:p>
    <w:p>
      <w:pPr>
        <w:ind w:left="460" w:hanging="452"/>
        <w:spacing w:after="0"/>
        <w:tabs>
          <w:tab w:leader="none" w:pos="4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04"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b w:val="1"/>
          <w:bCs w:val="1"/>
          <w:color w:val="auto"/>
        </w:rPr>
        <w:t>Notice Requirements.</w:t>
      </w:r>
      <w:r>
        <w:rPr>
          <w:rFonts w:ascii="Arial" w:cs="Arial" w:eastAsia="Arial" w:hAnsi="Arial"/>
          <w:sz w:val="18"/>
          <w:szCs w:val="18"/>
          <w:color w:val="auto"/>
        </w:rPr>
        <w:t xml:space="preserve"> All notices required or permitted by this Lease or applicable law shall be in writing and may be delivered in person (by hand or by courier) or may be sent by regular, certified or registered mail or U.S. Postal Service Express Mail, with postage prepaid, or by facsimile transmission, or by email, and shall be deemed sufficiently given if served in a manner specified in this Paragraph 23. The addresses noted adjacent to a Party’s signature on this Lease shall be that Party’s address for delivery or mailing of notices. Either Party may by written notice to the other specify a different address for notice, except that upon Lessee’s taking possession of the Premises, the Premises shall constitute Lessee’s address for notice. A copy of all notices to Lessor shall be concurrently transmitted to such party or parties at such addresses as Lessor may from time to time hereafter designate in writing.</w:t>
      </w:r>
    </w:p>
    <w:p>
      <w:pPr>
        <w:spacing w:after="0" w:line="175"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b w:val="1"/>
          <w:bCs w:val="1"/>
          <w:color w:val="auto"/>
        </w:rPr>
        <w:t>Date of Notice.</w:t>
      </w:r>
      <w:r>
        <w:rPr>
          <w:rFonts w:ascii="Arial" w:cs="Arial" w:eastAsia="Arial" w:hAnsi="Arial"/>
          <w:sz w:val="18"/>
          <w:szCs w:val="18"/>
          <w:color w:val="auto"/>
        </w:rPr>
        <w:t xml:space="preserve"> Any notice sent by registered or certified mail, return receipt requested, shall be deemed given on the date of delivery shown on the receipt card, or if no delivery date is shown, the postmark thereon. If sent by regular mail the notice shall be deemed given 72 hours after the same is addressed as required herein and mailed with postage prepaid. Notices delivered by United States Express Mail or overnight courier that guarantees next day delivery shall be deemed given 24 hours after delivery of the same to the Postal Service or courier. Notices delivered by hand, or transmitted by facsimile transmission or by email shall be deemed delivered upon actual receipt. If notice is received on a Saturday, Sunday or legal holiday, it shall be deemed received on the next business day.</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INITIALS</w:t>
            </w:r>
          </w:p>
        </w:tc>
        <w:tc>
          <w:tcPr>
            <w:tcW w:w="3960" w:type="dxa"/>
            <w:vAlign w:val="bottom"/>
          </w:tcPr>
          <w:p>
            <w:pPr>
              <w:ind w:left="1460"/>
              <w:spacing w:after="0"/>
              <w:rPr>
                <w:sz w:val="20"/>
                <w:szCs w:val="20"/>
                <w:color w:val="auto"/>
              </w:rPr>
            </w:pPr>
            <w:r>
              <w:rPr>
                <w:rFonts w:ascii="Arial" w:cs="Arial" w:eastAsia="Arial" w:hAnsi="Arial"/>
                <w:sz w:val="18"/>
                <w:szCs w:val="18"/>
                <w:color w:val="auto"/>
              </w:rPr>
              <w:t>Page 21 of 28</w:t>
            </w:r>
          </w:p>
        </w:tc>
        <w:tc>
          <w:tcPr>
            <w:tcW w:w="3380" w:type="dxa"/>
            <w:vAlign w:val="bottom"/>
            <w:vMerge w:val="restart"/>
          </w:tcPr>
          <w:p>
            <w:pPr>
              <w:jc w:val="right"/>
              <w:spacing w:after="0"/>
              <w:rPr>
                <w:sz w:val="20"/>
                <w:szCs w:val="20"/>
                <w:color w:val="auto"/>
              </w:rPr>
            </w:pPr>
            <w:r>
              <w:rPr>
                <w:rFonts w:ascii="Arial" w:cs="Arial" w:eastAsia="Arial" w:hAnsi="Arial"/>
                <w:sz w:val="18"/>
                <w:szCs w:val="18"/>
                <w:color w:val="auto"/>
              </w:rPr>
              <w:t>INITIALS</w:t>
            </w:r>
          </w:p>
        </w:tc>
        <w:tc>
          <w:tcPr>
            <w:tcW w:w="0" w:type="dxa"/>
            <w:vAlign w:val="bottom"/>
          </w:tcPr>
          <w:p>
            <w:pPr>
              <w:spacing w:after="0"/>
              <w:rPr>
                <w:sz w:val="1"/>
                <w:szCs w:val="1"/>
                <w:color w:val="auto"/>
              </w:rPr>
            </w:pPr>
          </w:p>
        </w:tc>
      </w:tr>
      <w:tr>
        <w:trPr>
          <w:trHeight w:val="95"/>
        </w:trPr>
        <w:tc>
          <w:tcPr>
            <w:tcW w:w="3900" w:type="dxa"/>
            <w:vAlign w:val="bottom"/>
            <w:vMerge w:val="continue"/>
          </w:tcPr>
          <w:p>
            <w:pPr>
              <w:spacing w:after="0"/>
              <w:rPr>
                <w:sz w:val="8"/>
                <w:szCs w:val="8"/>
                <w:color w:val="auto"/>
              </w:rPr>
            </w:pPr>
          </w:p>
        </w:tc>
        <w:tc>
          <w:tcPr>
            <w:tcW w:w="3960" w:type="dxa"/>
            <w:vAlign w:val="bottom"/>
            <w:vMerge w:val="restart"/>
          </w:tcPr>
          <w:p>
            <w:pPr>
              <w:ind w:left="780"/>
              <w:spacing w:after="0"/>
              <w:rPr>
                <w:sz w:val="20"/>
                <w:szCs w:val="20"/>
                <w:color w:val="auto"/>
              </w:rPr>
            </w:pPr>
            <w:r>
              <w:rPr>
                <w:rFonts w:ascii="Arial" w:cs="Arial" w:eastAsia="Arial" w:hAnsi="Arial"/>
                <w:sz w:val="18"/>
                <w:szCs w:val="18"/>
                <w:color w:val="auto"/>
              </w:rPr>
              <w:t>Last Edited 2/7/2018 1:59 PM</w:t>
            </w:r>
          </w:p>
        </w:tc>
        <w:tc>
          <w:tcPr>
            <w:tcW w:w="3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 2017 AIR CRE. All Rights Reserved.</w:t>
            </w:r>
          </w:p>
        </w:tc>
        <w:tc>
          <w:tcPr>
            <w:tcW w:w="3960" w:type="dxa"/>
            <w:vAlign w:val="bottom"/>
            <w:vMerge w:val="continue"/>
          </w:tcPr>
          <w:p>
            <w:pPr>
              <w:spacing w:after="0"/>
              <w:rPr>
                <w:sz w:val="12"/>
                <w:szCs w:val="12"/>
                <w:color w:val="auto"/>
              </w:rPr>
            </w:pPr>
          </w:p>
        </w:tc>
        <w:tc>
          <w:tcPr>
            <w:tcW w:w="3380" w:type="dxa"/>
            <w:vAlign w:val="bottom"/>
            <w:vMerge w:val="restart"/>
          </w:tcPr>
          <w:p>
            <w:pPr>
              <w:jc w:val="right"/>
              <w:spacing w:after="0"/>
              <w:rPr>
                <w:sz w:val="20"/>
                <w:szCs w:val="20"/>
                <w:color w:val="auto"/>
              </w:rPr>
            </w:pPr>
            <w:r>
              <w:rPr>
                <w:rFonts w:ascii="Arial" w:cs="Arial" w:eastAsia="Arial" w:hAnsi="Arial"/>
                <w:sz w:val="18"/>
                <w:szCs w:val="18"/>
                <w:color w:val="auto"/>
              </w:rPr>
              <w:t>STN-27.10, Revised 11-01-2017</w:t>
            </w:r>
          </w:p>
        </w:tc>
        <w:tc>
          <w:tcPr>
            <w:tcW w:w="0" w:type="dxa"/>
            <w:vAlign w:val="bottom"/>
          </w:tcPr>
          <w:p>
            <w:pPr>
              <w:spacing w:after="0"/>
              <w:rPr>
                <w:sz w:val="1"/>
                <w:szCs w:val="1"/>
                <w:color w:val="auto"/>
              </w:rPr>
            </w:pPr>
          </w:p>
        </w:tc>
      </w:tr>
      <w:tr>
        <w:trPr>
          <w:trHeight w:val="95"/>
        </w:trPr>
        <w:tc>
          <w:tcPr>
            <w:tcW w:w="3900" w:type="dxa"/>
            <w:vAlign w:val="bottom"/>
            <w:vMerge w:val="continue"/>
          </w:tcPr>
          <w:p>
            <w:pPr>
              <w:spacing w:after="0"/>
              <w:rPr>
                <w:sz w:val="8"/>
                <w:szCs w:val="8"/>
                <w:color w:val="auto"/>
              </w:rPr>
            </w:pPr>
          </w:p>
        </w:tc>
        <w:tc>
          <w:tcPr>
            <w:tcW w:w="3960" w:type="dxa"/>
            <w:vAlign w:val="bottom"/>
          </w:tcPr>
          <w:p>
            <w:pPr>
              <w:spacing w:after="0"/>
              <w:rPr>
                <w:sz w:val="8"/>
                <w:szCs w:val="8"/>
                <w:color w:val="auto"/>
              </w:rPr>
            </w:pPr>
          </w:p>
        </w:tc>
        <w:tc>
          <w:tcPr>
            <w:tcW w:w="3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3900" w:type="dxa"/>
            <w:vAlign w:val="bottom"/>
            <w:tcBorders>
              <w:bottom w:val="single" w:sz="8" w:color="9A9A9A"/>
            </w:tcBorders>
          </w:tcPr>
          <w:p>
            <w:pPr>
              <w:spacing w:after="0"/>
              <w:rPr>
                <w:sz w:val="13"/>
                <w:szCs w:val="13"/>
                <w:color w:val="auto"/>
              </w:rPr>
            </w:pPr>
          </w:p>
        </w:tc>
        <w:tc>
          <w:tcPr>
            <w:tcW w:w="3960" w:type="dxa"/>
            <w:vAlign w:val="bottom"/>
            <w:tcBorders>
              <w:bottom w:val="single" w:sz="8" w:color="9A9A9A"/>
            </w:tcBorders>
          </w:tcPr>
          <w:p>
            <w:pPr>
              <w:spacing w:after="0"/>
              <w:rPr>
                <w:sz w:val="13"/>
                <w:szCs w:val="13"/>
                <w:color w:val="auto"/>
              </w:rPr>
            </w:pPr>
          </w:p>
        </w:tc>
        <w:tc>
          <w:tcPr>
            <w:tcW w:w="33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0" w:name="page141"/>
    <w:bookmarkEnd w:id="140"/>
    <w:p>
      <w:pPr>
        <w:ind w:left="460" w:hanging="452"/>
        <w:spacing w:after="0"/>
        <w:tabs>
          <w:tab w:leader="none" w:pos="4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Waivers.</w:t>
      </w:r>
    </w:p>
    <w:p>
      <w:pPr>
        <w:spacing w:after="0" w:line="117" w:lineRule="exact"/>
        <w:rPr>
          <w:rFonts w:ascii="Arial" w:cs="Arial" w:eastAsia="Arial" w:hAnsi="Arial"/>
          <w:sz w:val="18"/>
          <w:szCs w:val="18"/>
          <w:b w:val="1"/>
          <w:bCs w:val="1"/>
          <w:color w:val="auto"/>
        </w:rPr>
      </w:pPr>
    </w:p>
    <w:p>
      <w:pPr>
        <w:ind w:right="180" w:firstLine="1154"/>
        <w:spacing w:after="0" w:line="247" w:lineRule="auto"/>
        <w:tabs>
          <w:tab w:leader="none" w:pos="1565" w:val="left"/>
        </w:tabs>
        <w:numPr>
          <w:ilvl w:val="1"/>
          <w:numId w:val="132"/>
        </w:numPr>
        <w:rPr>
          <w:rFonts w:ascii="Arial" w:cs="Arial" w:eastAsia="Arial" w:hAnsi="Arial"/>
          <w:sz w:val="18"/>
          <w:szCs w:val="18"/>
          <w:color w:val="auto"/>
        </w:rPr>
      </w:pPr>
      <w:r>
        <w:rPr>
          <w:rFonts w:ascii="Arial" w:cs="Arial" w:eastAsia="Arial" w:hAnsi="Arial"/>
          <w:sz w:val="18"/>
          <w:szCs w:val="18"/>
          <w:color w:val="auto"/>
        </w:rPr>
        <w:t>No waiver by Lessor of the Default or Breach of any term, covenant or condition hereof by Lessee, shall be deemed a waiver of any other term, covenant or condition hereof, or of any subsequent Default or Breach by Lessee of the same or of any other term, covenant or condition hereof. Lessor’s consent to, or approval of, any act shall not be deemed to render unnecessary the obtaining of Lessor’s consent to, or approval of, any subsequent or similar act by Lessee, or be construed as the basis of an estoppel to enforce the provision or provisions of this Lease requiring such consent.</w:t>
      </w:r>
    </w:p>
    <w:p>
      <w:pPr>
        <w:spacing w:after="0" w:line="176" w:lineRule="exact"/>
        <w:rPr>
          <w:rFonts w:ascii="Arial" w:cs="Arial" w:eastAsia="Arial" w:hAnsi="Arial"/>
          <w:sz w:val="18"/>
          <w:szCs w:val="18"/>
          <w:color w:val="auto"/>
        </w:rPr>
      </w:pPr>
    </w:p>
    <w:p>
      <w:pPr>
        <w:ind w:right="80" w:firstLine="1154"/>
        <w:spacing w:after="0" w:line="252" w:lineRule="auto"/>
        <w:tabs>
          <w:tab w:leader="none" w:pos="1565"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acceptance of Rent by Lessor shall not be a waiver of any Default or Breach by Lessee. Any payment by Lessee may be accepted by Lessor on account of monies or damages due Lessor, notwithstanding any qualifying statements or conditions made by Lessee in connection therewith, which such statements and/or conditions shall be of no force or effect whatsoever unless specifically agreed to in writing by Lessor at or before the time of deposit of such payment.</w:t>
      </w:r>
    </w:p>
    <w:p>
      <w:pPr>
        <w:spacing w:after="0" w:line="183" w:lineRule="exact"/>
        <w:rPr>
          <w:rFonts w:ascii="Arial" w:cs="Arial" w:eastAsia="Arial" w:hAnsi="Arial"/>
          <w:sz w:val="18"/>
          <w:szCs w:val="18"/>
          <w:color w:val="auto"/>
        </w:rPr>
      </w:pPr>
    </w:p>
    <w:p>
      <w:pPr>
        <w:jc w:val="both"/>
        <w:ind w:right="500" w:firstLine="1154"/>
        <w:spacing w:after="0" w:line="253" w:lineRule="auto"/>
        <w:tabs>
          <w:tab w:leader="none" w:pos="1555"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PARTIES AGREE THAT THE TERMS OF THIS LEASE SHALL GOVERN WITH REGARD TO ALL MATTERS RELATED THERETO AND HEREBY WAIVE THE PROVISIONS OF ANY PRESENT OR FUTURE STATUTE TO THE EXTENT THAT SUCH STATUTE IS INCONSISTENT WITH THIS LEASE.</w:t>
      </w:r>
    </w:p>
    <w:p>
      <w:pPr>
        <w:spacing w:after="0" w:line="276" w:lineRule="exact"/>
        <w:rPr>
          <w:rFonts w:ascii="Arial" w:cs="Arial" w:eastAsia="Arial" w:hAnsi="Arial"/>
          <w:sz w:val="18"/>
          <w:szCs w:val="18"/>
          <w:color w:val="auto"/>
        </w:rPr>
      </w:pPr>
    </w:p>
    <w:p>
      <w:pPr>
        <w:ind w:left="460" w:hanging="452"/>
        <w:spacing w:after="0"/>
        <w:tabs>
          <w:tab w:leader="none" w:pos="4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Disclosures Regarding The Nature of a Real Estate Agency Relationship.</w:t>
      </w:r>
    </w:p>
    <w:p>
      <w:pPr>
        <w:spacing w:after="0" w:line="117" w:lineRule="exact"/>
        <w:rPr>
          <w:rFonts w:ascii="Arial" w:cs="Arial" w:eastAsia="Arial" w:hAnsi="Arial"/>
          <w:sz w:val="18"/>
          <w:szCs w:val="18"/>
          <w:b w:val="1"/>
          <w:bCs w:val="1"/>
          <w:color w:val="auto"/>
        </w:rPr>
      </w:pPr>
    </w:p>
    <w:p>
      <w:pPr>
        <w:jc w:val="both"/>
        <w:ind w:right="180" w:firstLine="1154"/>
        <w:spacing w:after="0" w:line="253" w:lineRule="auto"/>
        <w:tabs>
          <w:tab w:leader="none" w:pos="1565" w:val="left"/>
        </w:tabs>
        <w:numPr>
          <w:ilvl w:val="1"/>
          <w:numId w:val="132"/>
        </w:numPr>
        <w:rPr>
          <w:rFonts w:ascii="Arial" w:cs="Arial" w:eastAsia="Arial" w:hAnsi="Arial"/>
          <w:sz w:val="18"/>
          <w:szCs w:val="18"/>
          <w:color w:val="auto"/>
        </w:rPr>
      </w:pPr>
      <w:r>
        <w:rPr>
          <w:rFonts w:ascii="Arial" w:cs="Arial" w:eastAsia="Arial" w:hAnsi="Arial"/>
          <w:sz w:val="18"/>
          <w:szCs w:val="18"/>
          <w:color w:val="auto"/>
        </w:rPr>
        <w:t>When entering into a discussion with a real estate agent regarding a real estate transaction, a Lessor or Lessee should from the outset understand what type of agency relationship or representation it has with the agent or agents in the transaction. Lessor and Lessee acknowledge being advised by the Brokers in this transaction, as follows:</w:t>
      </w:r>
    </w:p>
    <w:p>
      <w:pPr>
        <w:spacing w:after="0" w:line="182" w:lineRule="exact"/>
        <w:rPr>
          <w:rFonts w:ascii="Arial" w:cs="Arial" w:eastAsia="Arial" w:hAnsi="Arial"/>
          <w:sz w:val="18"/>
          <w:szCs w:val="18"/>
          <w:color w:val="auto"/>
        </w:rPr>
      </w:pPr>
    </w:p>
    <w:p>
      <w:pPr>
        <w:ind w:right="80" w:firstLine="1663"/>
        <w:spacing w:after="0" w:line="246" w:lineRule="auto"/>
        <w:tabs>
          <w:tab w:leader="none" w:pos="2014" w:val="left"/>
        </w:tabs>
        <w:numPr>
          <w:ilvl w:val="2"/>
          <w:numId w:val="132"/>
        </w:numPr>
        <w:rPr>
          <w:rFonts w:ascii="Arial" w:cs="Arial" w:eastAsia="Arial" w:hAnsi="Arial"/>
          <w:sz w:val="18"/>
          <w:szCs w:val="18"/>
          <w:color w:val="auto"/>
        </w:rPr>
      </w:pPr>
      <w:r>
        <w:rPr>
          <w:rFonts w:ascii="Arial" w:cs="Arial" w:eastAsia="Arial" w:hAnsi="Arial"/>
          <w:sz w:val="18"/>
          <w:szCs w:val="18"/>
          <w:i w:val="1"/>
          <w:iCs w:val="1"/>
          <w:u w:val="single" w:color="auto"/>
          <w:color w:val="auto"/>
        </w:rPr>
        <w:t>Lessor’s Agent</w:t>
      </w:r>
      <w:r>
        <w:rPr>
          <w:rFonts w:ascii="Arial" w:cs="Arial" w:eastAsia="Arial" w:hAnsi="Arial"/>
          <w:sz w:val="18"/>
          <w:szCs w:val="18"/>
          <w:i w:val="1"/>
          <w:iCs w:val="1"/>
          <w:color w:val="auto"/>
        </w:rPr>
        <w:t xml:space="preserve">. </w:t>
      </w:r>
      <w:r>
        <w:rPr>
          <w:rFonts w:ascii="Arial" w:cs="Arial" w:eastAsia="Arial" w:hAnsi="Arial"/>
          <w:sz w:val="18"/>
          <w:szCs w:val="18"/>
          <w:color w:val="auto"/>
        </w:rPr>
        <w:t>A Lessor’s agent under a listing agreement with the Lessor acts as the agent for the Lessor only.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Lessor’s agent or subagent has the following affirmative obligations: </w:t>
      </w:r>
      <w:r>
        <w:rPr>
          <w:rFonts w:ascii="Arial" w:cs="Arial" w:eastAsia="Arial" w:hAnsi="Arial"/>
          <w:sz w:val="18"/>
          <w:szCs w:val="18"/>
          <w:i w:val="1"/>
          <w:iCs w:val="1"/>
          <w:u w:val="single" w:color="auto"/>
          <w:color w:val="auto"/>
        </w:rPr>
        <w:t>To the Lessor</w:t>
      </w:r>
      <w:r>
        <w:rPr>
          <w:rFonts w:ascii="Arial" w:cs="Arial" w:eastAsia="Arial" w:hAnsi="Arial"/>
          <w:sz w:val="18"/>
          <w:szCs w:val="18"/>
          <w:i w:val="1"/>
          <w:iCs w:val="1"/>
          <w:color w:val="auto"/>
        </w:rPr>
        <w:t>:</w:t>
      </w:r>
      <w:r>
        <w:rPr>
          <w:rFonts w:ascii="Arial" w:cs="Arial" w:eastAsia="Arial" w:hAnsi="Arial"/>
          <w:sz w:val="18"/>
          <w:szCs w:val="18"/>
          <w:color w:val="auto"/>
        </w:rPr>
        <w:t xml:space="preserve"> A fiduciary duty of utmost care, integrity, honesty, and loyalty in dealings with the Lessor. </w:t>
      </w:r>
      <w:r>
        <w:rPr>
          <w:rFonts w:ascii="Arial" w:cs="Arial" w:eastAsia="Arial" w:hAnsi="Arial"/>
          <w:sz w:val="18"/>
          <w:szCs w:val="18"/>
          <w:i w:val="1"/>
          <w:iCs w:val="1"/>
          <w:u w:val="single" w:color="auto"/>
          <w:color w:val="auto"/>
        </w:rPr>
        <w:t>To the Lessee and the Lessor</w:t>
      </w:r>
      <w:r>
        <w:rPr>
          <w:rFonts w:ascii="Arial" w:cs="Arial" w:eastAsia="Arial" w:hAnsi="Arial"/>
          <w:sz w:val="18"/>
          <w:szCs w:val="18"/>
          <w:i w:val="1"/>
          <w:iCs w:val="1"/>
          <w:color w:val="auto"/>
        </w:rPr>
        <w:t>:</w:t>
      </w:r>
      <w:r>
        <w:rPr>
          <w:rFonts w:ascii="Arial" w:cs="Arial" w:eastAsia="Arial" w:hAnsi="Arial"/>
          <w:sz w:val="18"/>
          <w:szCs w:val="18"/>
          <w:color w:val="auto"/>
        </w:rPr>
        <w:t xml:space="preserve"> (a) Diligent exercise of reasonable skills and care in performance of the agent’s duties. (b) A duty of honest and fair dealing and good faith. (c) A duty to disclose all facts known to the agent materially affecting the value or desirability of the property that are not known to, or within the diligent attention and observation of, the Parties. An agent is not obligated to reveal to either Party any confidential information obtained from the other Party which does not involve the affirmative duties set forth above.</w:t>
      </w:r>
    </w:p>
    <w:p>
      <w:pPr>
        <w:spacing w:after="0" w:line="161" w:lineRule="exact"/>
        <w:rPr>
          <w:rFonts w:ascii="Arial" w:cs="Arial" w:eastAsia="Arial" w:hAnsi="Arial"/>
          <w:sz w:val="18"/>
          <w:szCs w:val="18"/>
          <w:color w:val="auto"/>
        </w:rPr>
      </w:pPr>
    </w:p>
    <w:p>
      <w:pPr>
        <w:ind w:right="80" w:firstLine="1655"/>
        <w:spacing w:after="0" w:line="244" w:lineRule="auto"/>
        <w:tabs>
          <w:tab w:leader="none" w:pos="2047" w:val="left"/>
        </w:tabs>
        <w:numPr>
          <w:ilvl w:val="2"/>
          <w:numId w:val="132"/>
        </w:numPr>
        <w:rPr>
          <w:rFonts w:ascii="Arial" w:cs="Arial" w:eastAsia="Arial" w:hAnsi="Arial"/>
          <w:sz w:val="18"/>
          <w:szCs w:val="18"/>
          <w:color w:val="auto"/>
        </w:rPr>
      </w:pPr>
      <w:r>
        <w:rPr>
          <w:rFonts w:ascii="Arial" w:cs="Arial" w:eastAsia="Arial" w:hAnsi="Arial"/>
          <w:sz w:val="18"/>
          <w:szCs w:val="18"/>
          <w:i w:val="1"/>
          <w:iCs w:val="1"/>
          <w:u w:val="single" w:color="auto"/>
          <w:color w:val="auto"/>
        </w:rPr>
        <w:t>Lessee’s Agent</w:t>
      </w:r>
      <w:r>
        <w:rPr>
          <w:rFonts w:ascii="Arial" w:cs="Arial" w:eastAsia="Arial" w:hAnsi="Arial"/>
          <w:sz w:val="18"/>
          <w:szCs w:val="18"/>
          <w:i w:val="1"/>
          <w:iCs w:val="1"/>
          <w:color w:val="auto"/>
        </w:rPr>
        <w:t xml:space="preserve">. </w:t>
      </w:r>
      <w:r>
        <w:rPr>
          <w:rFonts w:ascii="Arial" w:cs="Arial" w:eastAsia="Arial" w:hAnsi="Arial"/>
          <w:sz w:val="18"/>
          <w:szCs w:val="18"/>
          <w:color w:val="auto"/>
        </w:rPr>
        <w:t>An agent can agree to act as agent for the Lessee only. In these situations, the agent is not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Lessor’s agent, even if by agreement the agent may receive compensation for services rendered, either in full or in part from the Lessor. An agent acting only for a Lessee has the following affirmative obligations. </w:t>
      </w:r>
      <w:r>
        <w:rPr>
          <w:rFonts w:ascii="Arial" w:cs="Arial" w:eastAsia="Arial" w:hAnsi="Arial"/>
          <w:sz w:val="18"/>
          <w:szCs w:val="18"/>
          <w:i w:val="1"/>
          <w:iCs w:val="1"/>
          <w:u w:val="single" w:color="auto"/>
          <w:color w:val="auto"/>
        </w:rPr>
        <w:t>To the Lessee</w:t>
      </w:r>
      <w:r>
        <w:rPr>
          <w:rFonts w:ascii="Arial" w:cs="Arial" w:eastAsia="Arial" w:hAnsi="Arial"/>
          <w:sz w:val="18"/>
          <w:szCs w:val="18"/>
          <w:i w:val="1"/>
          <w:iCs w:val="1"/>
          <w:color w:val="auto"/>
        </w:rPr>
        <w:t>:</w:t>
      </w:r>
      <w:r>
        <w:rPr>
          <w:rFonts w:ascii="Arial" w:cs="Arial" w:eastAsia="Arial" w:hAnsi="Arial"/>
          <w:sz w:val="18"/>
          <w:szCs w:val="18"/>
          <w:color w:val="auto"/>
        </w:rPr>
        <w:t xml:space="preserve"> A fiduciary duty of utmost care, integrity, honesty, and loyalty in dealings with the Lessee. </w:t>
      </w:r>
      <w:r>
        <w:rPr>
          <w:rFonts w:ascii="Arial" w:cs="Arial" w:eastAsia="Arial" w:hAnsi="Arial"/>
          <w:sz w:val="18"/>
          <w:szCs w:val="18"/>
          <w:i w:val="1"/>
          <w:iCs w:val="1"/>
          <w:u w:val="single" w:color="auto"/>
          <w:color w:val="auto"/>
        </w:rPr>
        <w:t>To the Lessee and the Lessor</w:t>
      </w:r>
      <w:r>
        <w:rPr>
          <w:rFonts w:ascii="Arial" w:cs="Arial" w:eastAsia="Arial" w:hAnsi="Arial"/>
          <w:sz w:val="18"/>
          <w:szCs w:val="18"/>
          <w:i w:val="1"/>
          <w:iCs w:val="1"/>
          <w:color w:val="auto"/>
        </w:rPr>
        <w:t>:</w:t>
      </w:r>
      <w:r>
        <w:rPr>
          <w:rFonts w:ascii="Arial" w:cs="Arial" w:eastAsia="Arial" w:hAnsi="Arial"/>
          <w:sz w:val="18"/>
          <w:szCs w:val="18"/>
          <w:color w:val="auto"/>
        </w:rPr>
        <w:t xml:space="preserve"> (a) Diligent exercise of reasonable skills and care in performance of the agent’s duties. (b) A duty of honest and fair dealing and good faith. (c) A duty to disclose all facts known to the agent materially affecting the value or desirability of the property that are not known to, or within the diligent attention and observation of, the Parties. An agent is not obligated to reveal to either Party any confidential information obtained from the other Party which does not involve the affirmative duties set forth above.</w:t>
      </w:r>
    </w:p>
    <w:p>
      <w:pPr>
        <w:spacing w:after="0" w:line="193" w:lineRule="exact"/>
        <w:rPr>
          <w:rFonts w:ascii="Arial" w:cs="Arial" w:eastAsia="Arial" w:hAnsi="Arial"/>
          <w:sz w:val="18"/>
          <w:szCs w:val="18"/>
          <w:color w:val="auto"/>
        </w:rPr>
      </w:pPr>
    </w:p>
    <w:p>
      <w:pPr>
        <w:ind w:right="140" w:firstLine="1663"/>
        <w:spacing w:after="0" w:line="244" w:lineRule="auto"/>
        <w:tabs>
          <w:tab w:leader="none" w:pos="1944" w:val="left"/>
        </w:tabs>
        <w:numPr>
          <w:ilvl w:val="2"/>
          <w:numId w:val="132"/>
        </w:numPr>
        <w:rPr>
          <w:rFonts w:ascii="Arial" w:cs="Arial" w:eastAsia="Arial" w:hAnsi="Arial"/>
          <w:sz w:val="18"/>
          <w:szCs w:val="18"/>
          <w:color w:val="auto"/>
        </w:rPr>
      </w:pPr>
      <w:r>
        <w:rPr>
          <w:rFonts w:ascii="Arial" w:cs="Arial" w:eastAsia="Arial" w:hAnsi="Arial"/>
          <w:sz w:val="18"/>
          <w:szCs w:val="18"/>
          <w:i w:val="1"/>
          <w:iCs w:val="1"/>
          <w:u w:val="single" w:color="auto"/>
          <w:color w:val="auto"/>
        </w:rPr>
        <w:t>Agent Representing Both Lessor and Lessee</w:t>
      </w:r>
      <w:r>
        <w:rPr>
          <w:rFonts w:ascii="Arial" w:cs="Arial" w:eastAsia="Arial" w:hAnsi="Arial"/>
          <w:sz w:val="18"/>
          <w:szCs w:val="18"/>
          <w:i w:val="1"/>
          <w:iCs w:val="1"/>
          <w:color w:val="auto"/>
        </w:rPr>
        <w:t xml:space="preserve">. </w:t>
      </w:r>
      <w:r>
        <w:rPr>
          <w:rFonts w:ascii="Arial" w:cs="Arial" w:eastAsia="Arial" w:hAnsi="Arial"/>
          <w:sz w:val="18"/>
          <w:szCs w:val="18"/>
          <w:color w:val="auto"/>
        </w:rPr>
        <w:t>A real estate agent, either acting directly or through one or more</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 licenses, can legally be the agent of both the Lessor and the Lessee in a transaction, but only with the knowledge and consent of both the Lessor and the Lessee. In a dual agency situation, the agent has the following affirmative obligations to both the Lessor and the Lessee: (a) A fiduciary duty of utmost care, integrity, honesty and loyalty in the dealings with either Lessor or the Lessee. (b) Other duties to the Lessor and the Lessee as stated above in subparagraphs (i) or (ii). In representing both Lessor and Lessee, the agent may not without the express permission of the respective Party, disclose to the other Party that the Lessor will accept rent in an amount less than that indicated in the listing or that the Lessee is willing to pay a higher rent than that offered. The above duties of the agent in a real estate transaction do not relieve a Lessor or Lessee from the responsibility to protect their own interests. Lessor and Lessee should carefully read all agreements to assure that they adequately express their understanding of the transaction. A real estate agent is a person qualified to advise about real estate. If legal or tax advice is desired, consult a competent professional.</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INITIALS</w:t>
            </w:r>
          </w:p>
        </w:tc>
        <w:tc>
          <w:tcPr>
            <w:tcW w:w="3960" w:type="dxa"/>
            <w:vAlign w:val="bottom"/>
          </w:tcPr>
          <w:p>
            <w:pPr>
              <w:ind w:left="1460"/>
              <w:spacing w:after="0"/>
              <w:rPr>
                <w:sz w:val="20"/>
                <w:szCs w:val="20"/>
                <w:color w:val="auto"/>
              </w:rPr>
            </w:pPr>
            <w:r>
              <w:rPr>
                <w:rFonts w:ascii="Arial" w:cs="Arial" w:eastAsia="Arial" w:hAnsi="Arial"/>
                <w:sz w:val="18"/>
                <w:szCs w:val="18"/>
                <w:color w:val="auto"/>
              </w:rPr>
              <w:t>Page 22 of 28</w:t>
            </w:r>
          </w:p>
        </w:tc>
        <w:tc>
          <w:tcPr>
            <w:tcW w:w="3380" w:type="dxa"/>
            <w:vAlign w:val="bottom"/>
            <w:vMerge w:val="restart"/>
          </w:tcPr>
          <w:p>
            <w:pPr>
              <w:jc w:val="right"/>
              <w:spacing w:after="0"/>
              <w:rPr>
                <w:sz w:val="20"/>
                <w:szCs w:val="20"/>
                <w:color w:val="auto"/>
              </w:rPr>
            </w:pPr>
            <w:r>
              <w:rPr>
                <w:rFonts w:ascii="Arial" w:cs="Arial" w:eastAsia="Arial" w:hAnsi="Arial"/>
                <w:sz w:val="18"/>
                <w:szCs w:val="18"/>
                <w:color w:val="auto"/>
              </w:rPr>
              <w:t>INITIALS</w:t>
            </w:r>
          </w:p>
        </w:tc>
        <w:tc>
          <w:tcPr>
            <w:tcW w:w="0" w:type="dxa"/>
            <w:vAlign w:val="bottom"/>
          </w:tcPr>
          <w:p>
            <w:pPr>
              <w:spacing w:after="0"/>
              <w:rPr>
                <w:sz w:val="1"/>
                <w:szCs w:val="1"/>
                <w:color w:val="auto"/>
              </w:rPr>
            </w:pPr>
          </w:p>
        </w:tc>
      </w:tr>
      <w:tr>
        <w:trPr>
          <w:trHeight w:val="95"/>
        </w:trPr>
        <w:tc>
          <w:tcPr>
            <w:tcW w:w="3900" w:type="dxa"/>
            <w:vAlign w:val="bottom"/>
            <w:vMerge w:val="continue"/>
          </w:tcPr>
          <w:p>
            <w:pPr>
              <w:spacing w:after="0"/>
              <w:rPr>
                <w:sz w:val="8"/>
                <w:szCs w:val="8"/>
                <w:color w:val="auto"/>
              </w:rPr>
            </w:pPr>
          </w:p>
        </w:tc>
        <w:tc>
          <w:tcPr>
            <w:tcW w:w="3960" w:type="dxa"/>
            <w:vAlign w:val="bottom"/>
            <w:vMerge w:val="restart"/>
          </w:tcPr>
          <w:p>
            <w:pPr>
              <w:ind w:left="780"/>
              <w:spacing w:after="0"/>
              <w:rPr>
                <w:sz w:val="20"/>
                <w:szCs w:val="20"/>
                <w:color w:val="auto"/>
              </w:rPr>
            </w:pPr>
            <w:r>
              <w:rPr>
                <w:rFonts w:ascii="Arial" w:cs="Arial" w:eastAsia="Arial" w:hAnsi="Arial"/>
                <w:sz w:val="18"/>
                <w:szCs w:val="18"/>
                <w:color w:val="auto"/>
              </w:rPr>
              <w:t>Last Edited 2/7/2018 1:59 PM</w:t>
            </w:r>
          </w:p>
        </w:tc>
        <w:tc>
          <w:tcPr>
            <w:tcW w:w="3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 2017 AIR CRE. All Rights Reserved.</w:t>
            </w:r>
          </w:p>
        </w:tc>
        <w:tc>
          <w:tcPr>
            <w:tcW w:w="3960" w:type="dxa"/>
            <w:vAlign w:val="bottom"/>
            <w:vMerge w:val="continue"/>
          </w:tcPr>
          <w:p>
            <w:pPr>
              <w:spacing w:after="0"/>
              <w:rPr>
                <w:sz w:val="12"/>
                <w:szCs w:val="12"/>
                <w:color w:val="auto"/>
              </w:rPr>
            </w:pPr>
          </w:p>
        </w:tc>
        <w:tc>
          <w:tcPr>
            <w:tcW w:w="3380" w:type="dxa"/>
            <w:vAlign w:val="bottom"/>
            <w:vMerge w:val="restart"/>
          </w:tcPr>
          <w:p>
            <w:pPr>
              <w:jc w:val="right"/>
              <w:spacing w:after="0"/>
              <w:rPr>
                <w:sz w:val="20"/>
                <w:szCs w:val="20"/>
                <w:color w:val="auto"/>
              </w:rPr>
            </w:pPr>
            <w:r>
              <w:rPr>
                <w:rFonts w:ascii="Arial" w:cs="Arial" w:eastAsia="Arial" w:hAnsi="Arial"/>
                <w:sz w:val="18"/>
                <w:szCs w:val="18"/>
                <w:color w:val="auto"/>
              </w:rPr>
              <w:t>STN-27.10, Revised 11-01-2017</w:t>
            </w:r>
          </w:p>
        </w:tc>
        <w:tc>
          <w:tcPr>
            <w:tcW w:w="0" w:type="dxa"/>
            <w:vAlign w:val="bottom"/>
          </w:tcPr>
          <w:p>
            <w:pPr>
              <w:spacing w:after="0"/>
              <w:rPr>
                <w:sz w:val="1"/>
                <w:szCs w:val="1"/>
                <w:color w:val="auto"/>
              </w:rPr>
            </w:pPr>
          </w:p>
        </w:tc>
      </w:tr>
      <w:tr>
        <w:trPr>
          <w:trHeight w:val="95"/>
        </w:trPr>
        <w:tc>
          <w:tcPr>
            <w:tcW w:w="3900" w:type="dxa"/>
            <w:vAlign w:val="bottom"/>
            <w:vMerge w:val="continue"/>
          </w:tcPr>
          <w:p>
            <w:pPr>
              <w:spacing w:after="0"/>
              <w:rPr>
                <w:sz w:val="8"/>
                <w:szCs w:val="8"/>
                <w:color w:val="auto"/>
              </w:rPr>
            </w:pPr>
          </w:p>
        </w:tc>
        <w:tc>
          <w:tcPr>
            <w:tcW w:w="3960" w:type="dxa"/>
            <w:vAlign w:val="bottom"/>
          </w:tcPr>
          <w:p>
            <w:pPr>
              <w:spacing w:after="0"/>
              <w:rPr>
                <w:sz w:val="8"/>
                <w:szCs w:val="8"/>
                <w:color w:val="auto"/>
              </w:rPr>
            </w:pPr>
          </w:p>
        </w:tc>
        <w:tc>
          <w:tcPr>
            <w:tcW w:w="3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3900" w:type="dxa"/>
            <w:vAlign w:val="bottom"/>
            <w:tcBorders>
              <w:bottom w:val="single" w:sz="8" w:color="9A9A9A"/>
            </w:tcBorders>
          </w:tcPr>
          <w:p>
            <w:pPr>
              <w:spacing w:after="0"/>
              <w:rPr>
                <w:sz w:val="13"/>
                <w:szCs w:val="13"/>
                <w:color w:val="auto"/>
              </w:rPr>
            </w:pPr>
          </w:p>
        </w:tc>
        <w:tc>
          <w:tcPr>
            <w:tcW w:w="3960" w:type="dxa"/>
            <w:vAlign w:val="bottom"/>
            <w:tcBorders>
              <w:bottom w:val="single" w:sz="8" w:color="9A9A9A"/>
            </w:tcBorders>
          </w:tcPr>
          <w:p>
            <w:pPr>
              <w:spacing w:after="0"/>
              <w:rPr>
                <w:sz w:val="13"/>
                <w:szCs w:val="13"/>
                <w:color w:val="auto"/>
              </w:rPr>
            </w:pPr>
          </w:p>
        </w:tc>
        <w:tc>
          <w:tcPr>
            <w:tcW w:w="33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1" w:name="page142"/>
    <w:bookmarkEnd w:id="141"/>
    <w:p>
      <w:pPr>
        <w:ind w:right="240" w:firstLine="1154"/>
        <w:spacing w:after="0" w:line="251" w:lineRule="auto"/>
        <w:tabs>
          <w:tab w:leader="none" w:pos="1565" w:val="left"/>
        </w:tabs>
        <w:numPr>
          <w:ilvl w:val="1"/>
          <w:numId w:val="133"/>
        </w:numPr>
        <w:rPr>
          <w:rFonts w:ascii="Arial" w:cs="Arial" w:eastAsia="Arial" w:hAnsi="Arial"/>
          <w:sz w:val="18"/>
          <w:szCs w:val="18"/>
          <w:color w:val="auto"/>
        </w:rPr>
      </w:pPr>
      <w:r>
        <w:rPr>
          <w:rFonts w:ascii="Arial" w:cs="Arial" w:eastAsia="Arial" w:hAnsi="Arial"/>
          <w:sz w:val="18"/>
          <w:szCs w:val="18"/>
          <w:color w:val="auto"/>
        </w:rPr>
        <w:t>Brokers have no responsibility with respect to any default or breach hereof by either Party. The Parties agree that no lawsuit or other legal proceeding involving any breach of duty, error or omission relating to this Lease may be brought against Broker more than one year after the Start Date and that the liability (including court costs and attorneys’ fees), of any Broker with respect to any such lawsuit and/or legal proceeding shall not exceed the fee received by such Broker pursuant to this Lease; provided, however, that the foregoing limitation on each Broker’s liability shall not be applicable to any gross negligence or willful misconduct of such Broker.</w:t>
      </w:r>
    </w:p>
    <w:p>
      <w:pPr>
        <w:spacing w:after="0" w:line="173" w:lineRule="exact"/>
        <w:rPr>
          <w:rFonts w:ascii="Arial" w:cs="Arial" w:eastAsia="Arial" w:hAnsi="Arial"/>
          <w:sz w:val="18"/>
          <w:szCs w:val="18"/>
          <w:color w:val="auto"/>
        </w:rPr>
      </w:pPr>
    </w:p>
    <w:p>
      <w:pPr>
        <w:ind w:right="160" w:firstLine="1154"/>
        <w:spacing w:after="0" w:line="271" w:lineRule="auto"/>
        <w:tabs>
          <w:tab w:leader="none" w:pos="1555" w:val="left"/>
        </w:tabs>
        <w:numPr>
          <w:ilvl w:val="1"/>
          <w:numId w:val="133"/>
        </w:numPr>
        <w:rPr>
          <w:rFonts w:ascii="Arial" w:cs="Arial" w:eastAsia="Arial" w:hAnsi="Arial"/>
          <w:sz w:val="18"/>
          <w:szCs w:val="18"/>
          <w:color w:val="auto"/>
        </w:rPr>
      </w:pPr>
      <w:r>
        <w:rPr>
          <w:rFonts w:ascii="Arial" w:cs="Arial" w:eastAsia="Arial" w:hAnsi="Arial"/>
          <w:sz w:val="18"/>
          <w:szCs w:val="18"/>
          <w:color w:val="auto"/>
        </w:rPr>
        <w:t>Lessor and Lessee agree to identify to Brokers as “Confidential” any communication or information given Brokers that is considered by such Party to be confidential.</w:t>
      </w:r>
    </w:p>
    <w:p>
      <w:pPr>
        <w:spacing w:after="0" w:line="167" w:lineRule="exact"/>
        <w:rPr>
          <w:rFonts w:ascii="Arial" w:cs="Arial" w:eastAsia="Arial" w:hAnsi="Arial"/>
          <w:sz w:val="18"/>
          <w:szCs w:val="18"/>
          <w:color w:val="auto"/>
        </w:rPr>
      </w:pPr>
    </w:p>
    <w:p>
      <w:pPr>
        <w:ind w:right="280" w:firstLine="8"/>
        <w:spacing w:after="0" w:line="252" w:lineRule="auto"/>
        <w:tabs>
          <w:tab w:leader="none" w:pos="45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Right To Holdover. </w:t>
      </w:r>
      <w:r>
        <w:rPr>
          <w:rFonts w:ascii="Arial" w:cs="Arial" w:eastAsia="Arial" w:hAnsi="Arial"/>
          <w:sz w:val="18"/>
          <w:szCs w:val="18"/>
          <w:color w:val="auto"/>
        </w:rPr>
        <w:t>Lessee has no right to retain possession of the Premises or any part thereof beyond the expiration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this Lease. In the event that Lessee holds over, then the Base Rent shall be increased to 150% of the Base Rent applicable immediately preceding the expiration or termination. Holdover Base Rent shall be calculated on monthly basis. Nothing contained herein shall be construed as consent by Lessor to any holding over by Lessee.</w:t>
      </w:r>
    </w:p>
    <w:p>
      <w:pPr>
        <w:spacing w:after="0" w:line="170" w:lineRule="exact"/>
        <w:rPr>
          <w:rFonts w:ascii="Arial" w:cs="Arial" w:eastAsia="Arial" w:hAnsi="Arial"/>
          <w:sz w:val="18"/>
          <w:szCs w:val="18"/>
          <w:b w:val="1"/>
          <w:bCs w:val="1"/>
          <w:color w:val="auto"/>
        </w:rPr>
      </w:pPr>
    </w:p>
    <w:p>
      <w:pPr>
        <w:ind w:right="180" w:firstLine="8"/>
        <w:spacing w:after="0" w:line="271" w:lineRule="auto"/>
        <w:tabs>
          <w:tab w:leader="none" w:pos="45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Cumulative Remedies. </w:t>
      </w:r>
      <w:r>
        <w:rPr>
          <w:rFonts w:ascii="Arial" w:cs="Arial" w:eastAsia="Arial" w:hAnsi="Arial"/>
          <w:sz w:val="18"/>
          <w:szCs w:val="18"/>
          <w:color w:val="auto"/>
        </w:rPr>
        <w:t>No remedy or election hereunder shall be deemed exclusive but shall, wherever possible, be cumulative with</w:t>
      </w:r>
      <w:r>
        <w:rPr>
          <w:rFonts w:ascii="Arial" w:cs="Arial" w:eastAsia="Arial" w:hAnsi="Arial"/>
          <w:sz w:val="18"/>
          <w:szCs w:val="18"/>
          <w:b w:val="1"/>
          <w:bCs w:val="1"/>
          <w:color w:val="auto"/>
        </w:rPr>
        <w:t xml:space="preserve"> </w:t>
      </w:r>
      <w:r>
        <w:rPr>
          <w:rFonts w:ascii="Arial" w:cs="Arial" w:eastAsia="Arial" w:hAnsi="Arial"/>
          <w:sz w:val="18"/>
          <w:szCs w:val="18"/>
          <w:color w:val="auto"/>
        </w:rPr>
        <w:t>all other remedies at law or in equity.</w:t>
      </w:r>
    </w:p>
    <w:p>
      <w:pPr>
        <w:spacing w:after="0" w:line="153" w:lineRule="exact"/>
        <w:rPr>
          <w:rFonts w:ascii="Arial" w:cs="Arial" w:eastAsia="Arial" w:hAnsi="Arial"/>
          <w:sz w:val="18"/>
          <w:szCs w:val="18"/>
          <w:b w:val="1"/>
          <w:bCs w:val="1"/>
          <w:color w:val="auto"/>
        </w:rPr>
      </w:pPr>
    </w:p>
    <w:p>
      <w:pPr>
        <w:ind w:right="200" w:firstLine="8"/>
        <w:spacing w:after="0" w:line="252" w:lineRule="auto"/>
        <w:tabs>
          <w:tab w:leader="none" w:pos="45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Covenants and Conditions; Construction of Agreement. </w:t>
      </w:r>
      <w:r>
        <w:rPr>
          <w:rFonts w:ascii="Arial" w:cs="Arial" w:eastAsia="Arial" w:hAnsi="Arial"/>
          <w:sz w:val="18"/>
          <w:szCs w:val="18"/>
          <w:color w:val="auto"/>
        </w:rPr>
        <w:t>All provisions of this Lease to be observed or performed by Lessee are</w:t>
      </w:r>
      <w:r>
        <w:rPr>
          <w:rFonts w:ascii="Arial" w:cs="Arial" w:eastAsia="Arial" w:hAnsi="Arial"/>
          <w:sz w:val="18"/>
          <w:szCs w:val="18"/>
          <w:b w:val="1"/>
          <w:bCs w:val="1"/>
          <w:color w:val="auto"/>
        </w:rPr>
        <w:t xml:space="preserve"> </w:t>
      </w:r>
      <w:r>
        <w:rPr>
          <w:rFonts w:ascii="Arial" w:cs="Arial" w:eastAsia="Arial" w:hAnsi="Arial"/>
          <w:sz w:val="18"/>
          <w:szCs w:val="18"/>
          <w:color w:val="auto"/>
        </w:rPr>
        <w:t>both covenants and conditions. In construing this Lease, all headings and titles are for the convenience of the Parties only and shall not be considered a part of this Lease. Whenever required by the context, the singular shall include the plural and vice versa. This Lease shall not be construed as if prepared by one of the Parties, but rather according to its fair meaning as a whole, as if both Parties had prepared it.</w:t>
      </w:r>
    </w:p>
    <w:p>
      <w:pPr>
        <w:spacing w:after="0" w:line="183" w:lineRule="exact"/>
        <w:rPr>
          <w:rFonts w:ascii="Arial" w:cs="Arial" w:eastAsia="Arial" w:hAnsi="Arial"/>
          <w:sz w:val="18"/>
          <w:szCs w:val="18"/>
          <w:b w:val="1"/>
          <w:bCs w:val="1"/>
          <w:color w:val="auto"/>
        </w:rPr>
      </w:pPr>
    </w:p>
    <w:p>
      <w:pPr>
        <w:jc w:val="both"/>
        <w:ind w:right="100" w:firstLine="8"/>
        <w:spacing w:after="0" w:line="253" w:lineRule="auto"/>
        <w:tabs>
          <w:tab w:leader="none" w:pos="45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Binding Effect; Choice of Law. </w:t>
      </w:r>
      <w:r>
        <w:rPr>
          <w:rFonts w:ascii="Arial" w:cs="Arial" w:eastAsia="Arial" w:hAnsi="Arial"/>
          <w:sz w:val="18"/>
          <w:szCs w:val="18"/>
          <w:color w:val="auto"/>
        </w:rPr>
        <w:t>This Lease shall be binding upon the Parties, their personal representatives, successors and assigns</w:t>
      </w:r>
      <w:r>
        <w:rPr>
          <w:rFonts w:ascii="Arial" w:cs="Arial" w:eastAsia="Arial" w:hAnsi="Arial"/>
          <w:sz w:val="18"/>
          <w:szCs w:val="18"/>
          <w:b w:val="1"/>
          <w:bCs w:val="1"/>
          <w:color w:val="auto"/>
        </w:rPr>
        <w:t xml:space="preserve"> </w:t>
      </w:r>
      <w:r>
        <w:rPr>
          <w:rFonts w:ascii="Arial" w:cs="Arial" w:eastAsia="Arial" w:hAnsi="Arial"/>
          <w:sz w:val="18"/>
          <w:szCs w:val="18"/>
          <w:color w:val="auto"/>
        </w:rPr>
        <w:t>and be governed by the laws of the State in which the Premises are located. Any litigation between the Parties hereto concerning this Lease shall be initiated in the county in which the Premises are located.</w:t>
      </w:r>
    </w:p>
    <w:p>
      <w:pPr>
        <w:spacing w:after="0" w:line="168" w:lineRule="exact"/>
        <w:rPr>
          <w:rFonts w:ascii="Arial" w:cs="Arial" w:eastAsia="Arial" w:hAnsi="Arial"/>
          <w:sz w:val="18"/>
          <w:szCs w:val="18"/>
          <w:b w:val="1"/>
          <w:bCs w:val="1"/>
          <w:color w:val="auto"/>
        </w:rPr>
      </w:pPr>
    </w:p>
    <w:p>
      <w:pPr>
        <w:ind w:left="460" w:hanging="452"/>
        <w:spacing w:after="0"/>
        <w:tabs>
          <w:tab w:leader="none" w:pos="4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Subordination; Attornment; Non-Disturbance.</w:t>
      </w:r>
    </w:p>
    <w:p>
      <w:pPr>
        <w:spacing w:after="0" w:line="104" w:lineRule="exact"/>
        <w:rPr>
          <w:sz w:val="20"/>
          <w:szCs w:val="20"/>
          <w:color w:val="auto"/>
        </w:rPr>
      </w:pPr>
    </w:p>
    <w:p>
      <w:pPr>
        <w:ind w:right="100" w:firstLine="509"/>
        <w:spacing w:after="0" w:line="246" w:lineRule="auto"/>
        <w:rPr>
          <w:sz w:val="20"/>
          <w:szCs w:val="20"/>
          <w:color w:val="auto"/>
        </w:rPr>
      </w:pPr>
      <w:r>
        <w:rPr>
          <w:rFonts w:ascii="Arial" w:cs="Arial" w:eastAsia="Arial" w:hAnsi="Arial"/>
          <w:sz w:val="18"/>
          <w:szCs w:val="18"/>
          <w:color w:val="auto"/>
        </w:rPr>
        <w:t xml:space="preserve">30.1 </w:t>
      </w:r>
      <w:r>
        <w:rPr>
          <w:rFonts w:ascii="Arial" w:cs="Arial" w:eastAsia="Arial" w:hAnsi="Arial"/>
          <w:sz w:val="18"/>
          <w:szCs w:val="18"/>
          <w:b w:val="1"/>
          <w:bCs w:val="1"/>
          <w:color w:val="auto"/>
        </w:rPr>
        <w:t>Subordination.</w:t>
      </w:r>
      <w:r>
        <w:rPr>
          <w:rFonts w:ascii="Arial" w:cs="Arial" w:eastAsia="Arial" w:hAnsi="Arial"/>
          <w:sz w:val="18"/>
          <w:szCs w:val="18"/>
          <w:color w:val="auto"/>
        </w:rPr>
        <w:t xml:space="preserve"> This Lease and any Option granted hereby shall be subject and subordinate to any ground lease, mortgage, deed of trust, or other hypothecation or security device (collectively, </w:t>
      </w:r>
      <w:r>
        <w:rPr>
          <w:rFonts w:ascii="Arial" w:cs="Arial" w:eastAsia="Arial" w:hAnsi="Arial"/>
          <w:sz w:val="18"/>
          <w:szCs w:val="18"/>
          <w:b w:val="1"/>
          <w:bCs w:val="1"/>
          <w:color w:val="auto"/>
        </w:rPr>
        <w:t>“Security Device”),</w:t>
      </w:r>
      <w:r>
        <w:rPr>
          <w:rFonts w:ascii="Arial" w:cs="Arial" w:eastAsia="Arial" w:hAnsi="Arial"/>
          <w:sz w:val="18"/>
          <w:szCs w:val="18"/>
          <w:color w:val="auto"/>
        </w:rPr>
        <w:t xml:space="preserve"> now or hereafter placed upon the Premises, to any and all advances made on the security thereof, and to all renewals, modifications, and extensions thereof. Lessee agrees that the holders of any such Security Devices (in this Lease together referred to as </w:t>
      </w:r>
      <w:r>
        <w:rPr>
          <w:rFonts w:ascii="Arial" w:cs="Arial" w:eastAsia="Arial" w:hAnsi="Arial"/>
          <w:sz w:val="18"/>
          <w:szCs w:val="18"/>
          <w:b w:val="1"/>
          <w:bCs w:val="1"/>
          <w:color w:val="auto"/>
        </w:rPr>
        <w:t>“Lender”)</w:t>
      </w:r>
      <w:r>
        <w:rPr>
          <w:rFonts w:ascii="Arial" w:cs="Arial" w:eastAsia="Arial" w:hAnsi="Arial"/>
          <w:sz w:val="18"/>
          <w:szCs w:val="18"/>
          <w:color w:val="auto"/>
        </w:rPr>
        <w:t xml:space="preserve"> shall have no liability or obligation to perform any of the obligations of Lessor under this Lease. Any Lender may elect to have this Lease and/or any Option granted hereby superior to the lien of its Security Device by giving written notice thereof to Lessee, whereupon this Lease and such Options shall be deemed prior to such Security Device, notwithstanding the relative dates of the documentation or recordation thereof.</w:t>
      </w:r>
    </w:p>
    <w:p>
      <w:pPr>
        <w:spacing w:after="0" w:line="175" w:lineRule="exact"/>
        <w:rPr>
          <w:sz w:val="20"/>
          <w:szCs w:val="20"/>
          <w:color w:val="auto"/>
        </w:rPr>
      </w:pPr>
    </w:p>
    <w:p>
      <w:pPr>
        <w:ind w:right="20" w:firstLine="509"/>
        <w:spacing w:after="0" w:line="245" w:lineRule="auto"/>
        <w:rPr>
          <w:sz w:val="20"/>
          <w:szCs w:val="20"/>
          <w:color w:val="auto"/>
        </w:rPr>
      </w:pPr>
      <w:r>
        <w:rPr>
          <w:rFonts w:ascii="Arial" w:cs="Arial" w:eastAsia="Arial" w:hAnsi="Arial"/>
          <w:sz w:val="18"/>
          <w:szCs w:val="18"/>
          <w:color w:val="auto"/>
        </w:rPr>
        <w:t xml:space="preserve">30.2 </w:t>
      </w:r>
      <w:r>
        <w:rPr>
          <w:rFonts w:ascii="Arial" w:cs="Arial" w:eastAsia="Arial" w:hAnsi="Arial"/>
          <w:sz w:val="18"/>
          <w:szCs w:val="18"/>
          <w:b w:val="1"/>
          <w:bCs w:val="1"/>
          <w:color w:val="auto"/>
        </w:rPr>
        <w:t>Attornment.</w:t>
      </w:r>
      <w:r>
        <w:rPr>
          <w:rFonts w:ascii="Arial" w:cs="Arial" w:eastAsia="Arial" w:hAnsi="Arial"/>
          <w:sz w:val="18"/>
          <w:szCs w:val="18"/>
          <w:color w:val="auto"/>
        </w:rPr>
        <w:t xml:space="preserve"> In the event that Lessor transfers title to the Premises, or the Premises are acquired by another upon the foreclosure or termination of a Security Device to which this Lease is subordinated (i) Lessee shall, subject to the non-disturbance provisions of Paragraph 30.3, attorn to such new owner, and upon request, enter into a new lease, containing all of the terms and provisions of this Lease, with such new owner for the remainder of the term hereof, or, at the election of the new owner, this Lease will automatically become a new lease between Lessee and such new owner, and (ii) Lessor shall thereafter be relieved of any further obligations hereunder and such new owner shall assume all of Lessor’s obligations, except that such new owner shall not: (a) be liable for any act or omission of any prior lessor or with respect to events occurring prior to acquisition of ownership; (b) be subject to any offsets or defenses which Lessee might have against any prior lessor, (c) be bound by prepayment of more than one month’s rent, or (d) be liable for the return of any security deposit paid to any prior lessor which was not paid or credited to such new owner.</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INITIALS</w:t>
            </w:r>
          </w:p>
        </w:tc>
        <w:tc>
          <w:tcPr>
            <w:tcW w:w="3960" w:type="dxa"/>
            <w:vAlign w:val="bottom"/>
          </w:tcPr>
          <w:p>
            <w:pPr>
              <w:ind w:left="1460"/>
              <w:spacing w:after="0"/>
              <w:rPr>
                <w:sz w:val="20"/>
                <w:szCs w:val="20"/>
                <w:color w:val="auto"/>
              </w:rPr>
            </w:pPr>
            <w:r>
              <w:rPr>
                <w:rFonts w:ascii="Arial" w:cs="Arial" w:eastAsia="Arial" w:hAnsi="Arial"/>
                <w:sz w:val="18"/>
                <w:szCs w:val="18"/>
                <w:color w:val="auto"/>
              </w:rPr>
              <w:t>Page 23 of 28</w:t>
            </w:r>
          </w:p>
        </w:tc>
        <w:tc>
          <w:tcPr>
            <w:tcW w:w="3380" w:type="dxa"/>
            <w:vAlign w:val="bottom"/>
            <w:vMerge w:val="restart"/>
          </w:tcPr>
          <w:p>
            <w:pPr>
              <w:jc w:val="right"/>
              <w:spacing w:after="0"/>
              <w:rPr>
                <w:sz w:val="20"/>
                <w:szCs w:val="20"/>
                <w:color w:val="auto"/>
              </w:rPr>
            </w:pPr>
            <w:r>
              <w:rPr>
                <w:rFonts w:ascii="Arial" w:cs="Arial" w:eastAsia="Arial" w:hAnsi="Arial"/>
                <w:sz w:val="18"/>
                <w:szCs w:val="18"/>
                <w:color w:val="auto"/>
              </w:rPr>
              <w:t>INITIALS</w:t>
            </w:r>
          </w:p>
        </w:tc>
        <w:tc>
          <w:tcPr>
            <w:tcW w:w="0" w:type="dxa"/>
            <w:vAlign w:val="bottom"/>
          </w:tcPr>
          <w:p>
            <w:pPr>
              <w:spacing w:after="0"/>
              <w:rPr>
                <w:sz w:val="1"/>
                <w:szCs w:val="1"/>
                <w:color w:val="auto"/>
              </w:rPr>
            </w:pPr>
          </w:p>
        </w:tc>
      </w:tr>
      <w:tr>
        <w:trPr>
          <w:trHeight w:val="95"/>
        </w:trPr>
        <w:tc>
          <w:tcPr>
            <w:tcW w:w="3900" w:type="dxa"/>
            <w:vAlign w:val="bottom"/>
            <w:vMerge w:val="continue"/>
          </w:tcPr>
          <w:p>
            <w:pPr>
              <w:spacing w:after="0"/>
              <w:rPr>
                <w:sz w:val="8"/>
                <w:szCs w:val="8"/>
                <w:color w:val="auto"/>
              </w:rPr>
            </w:pPr>
          </w:p>
        </w:tc>
        <w:tc>
          <w:tcPr>
            <w:tcW w:w="3960" w:type="dxa"/>
            <w:vAlign w:val="bottom"/>
            <w:vMerge w:val="restart"/>
          </w:tcPr>
          <w:p>
            <w:pPr>
              <w:ind w:left="780"/>
              <w:spacing w:after="0"/>
              <w:rPr>
                <w:sz w:val="20"/>
                <w:szCs w:val="20"/>
                <w:color w:val="auto"/>
              </w:rPr>
            </w:pPr>
            <w:r>
              <w:rPr>
                <w:rFonts w:ascii="Arial" w:cs="Arial" w:eastAsia="Arial" w:hAnsi="Arial"/>
                <w:sz w:val="18"/>
                <w:szCs w:val="18"/>
                <w:color w:val="auto"/>
              </w:rPr>
              <w:t>Last Edited 2/7/2018 1:59 PM</w:t>
            </w:r>
          </w:p>
        </w:tc>
        <w:tc>
          <w:tcPr>
            <w:tcW w:w="3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 2017 AIR CRE. All Rights Reserved.</w:t>
            </w:r>
          </w:p>
        </w:tc>
        <w:tc>
          <w:tcPr>
            <w:tcW w:w="3960" w:type="dxa"/>
            <w:vAlign w:val="bottom"/>
            <w:vMerge w:val="continue"/>
          </w:tcPr>
          <w:p>
            <w:pPr>
              <w:spacing w:after="0"/>
              <w:rPr>
                <w:sz w:val="12"/>
                <w:szCs w:val="12"/>
                <w:color w:val="auto"/>
              </w:rPr>
            </w:pPr>
          </w:p>
        </w:tc>
        <w:tc>
          <w:tcPr>
            <w:tcW w:w="3380" w:type="dxa"/>
            <w:vAlign w:val="bottom"/>
            <w:vMerge w:val="restart"/>
          </w:tcPr>
          <w:p>
            <w:pPr>
              <w:jc w:val="right"/>
              <w:spacing w:after="0"/>
              <w:rPr>
                <w:sz w:val="20"/>
                <w:szCs w:val="20"/>
                <w:color w:val="auto"/>
              </w:rPr>
            </w:pPr>
            <w:r>
              <w:rPr>
                <w:rFonts w:ascii="Arial" w:cs="Arial" w:eastAsia="Arial" w:hAnsi="Arial"/>
                <w:sz w:val="18"/>
                <w:szCs w:val="18"/>
                <w:color w:val="auto"/>
              </w:rPr>
              <w:t>STN-27.10, Revised 11-01-2017</w:t>
            </w:r>
          </w:p>
        </w:tc>
        <w:tc>
          <w:tcPr>
            <w:tcW w:w="0" w:type="dxa"/>
            <w:vAlign w:val="bottom"/>
          </w:tcPr>
          <w:p>
            <w:pPr>
              <w:spacing w:after="0"/>
              <w:rPr>
                <w:sz w:val="1"/>
                <w:szCs w:val="1"/>
                <w:color w:val="auto"/>
              </w:rPr>
            </w:pPr>
          </w:p>
        </w:tc>
      </w:tr>
      <w:tr>
        <w:trPr>
          <w:trHeight w:val="94"/>
        </w:trPr>
        <w:tc>
          <w:tcPr>
            <w:tcW w:w="3900" w:type="dxa"/>
            <w:vAlign w:val="bottom"/>
            <w:vMerge w:val="continue"/>
          </w:tcPr>
          <w:p>
            <w:pPr>
              <w:spacing w:after="0"/>
              <w:rPr>
                <w:sz w:val="8"/>
                <w:szCs w:val="8"/>
                <w:color w:val="auto"/>
              </w:rPr>
            </w:pPr>
          </w:p>
        </w:tc>
        <w:tc>
          <w:tcPr>
            <w:tcW w:w="3960" w:type="dxa"/>
            <w:vAlign w:val="bottom"/>
          </w:tcPr>
          <w:p>
            <w:pPr>
              <w:spacing w:after="0"/>
              <w:rPr>
                <w:sz w:val="8"/>
                <w:szCs w:val="8"/>
                <w:color w:val="auto"/>
              </w:rPr>
            </w:pPr>
          </w:p>
        </w:tc>
        <w:tc>
          <w:tcPr>
            <w:tcW w:w="3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3900" w:type="dxa"/>
            <w:vAlign w:val="bottom"/>
            <w:tcBorders>
              <w:bottom w:val="single" w:sz="8" w:color="9A9A9A"/>
            </w:tcBorders>
          </w:tcPr>
          <w:p>
            <w:pPr>
              <w:spacing w:after="0"/>
              <w:rPr>
                <w:sz w:val="12"/>
                <w:szCs w:val="12"/>
                <w:color w:val="auto"/>
              </w:rPr>
            </w:pPr>
          </w:p>
        </w:tc>
        <w:tc>
          <w:tcPr>
            <w:tcW w:w="3960" w:type="dxa"/>
            <w:vAlign w:val="bottom"/>
            <w:tcBorders>
              <w:bottom w:val="single" w:sz="8" w:color="9A9A9A"/>
            </w:tcBorders>
          </w:tcPr>
          <w:p>
            <w:pPr>
              <w:spacing w:after="0"/>
              <w:rPr>
                <w:sz w:val="12"/>
                <w:szCs w:val="12"/>
                <w:color w:val="auto"/>
              </w:rPr>
            </w:pPr>
          </w:p>
        </w:tc>
        <w:tc>
          <w:tcPr>
            <w:tcW w:w="33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2" w:name="page143"/>
    <w:bookmarkEnd w:id="142"/>
    <w:p>
      <w:pPr>
        <w:ind w:right="220" w:firstLine="509"/>
        <w:spacing w:after="0" w:line="246" w:lineRule="auto"/>
        <w:rPr>
          <w:sz w:val="20"/>
          <w:szCs w:val="20"/>
          <w:color w:val="auto"/>
        </w:rPr>
      </w:pPr>
      <w:r>
        <w:rPr>
          <w:rFonts w:ascii="Arial" w:cs="Arial" w:eastAsia="Arial" w:hAnsi="Arial"/>
          <w:sz w:val="18"/>
          <w:szCs w:val="18"/>
          <w:color w:val="auto"/>
        </w:rPr>
        <w:t xml:space="preserve">30.3 </w:t>
      </w:r>
      <w:r>
        <w:rPr>
          <w:rFonts w:ascii="Arial" w:cs="Arial" w:eastAsia="Arial" w:hAnsi="Arial"/>
          <w:sz w:val="18"/>
          <w:szCs w:val="18"/>
          <w:b w:val="1"/>
          <w:bCs w:val="1"/>
          <w:color w:val="auto"/>
        </w:rPr>
        <w:t>Non-Disturbance.</w:t>
      </w:r>
      <w:r>
        <w:rPr>
          <w:rFonts w:ascii="Arial" w:cs="Arial" w:eastAsia="Arial" w:hAnsi="Arial"/>
          <w:sz w:val="18"/>
          <w:szCs w:val="18"/>
          <w:color w:val="auto"/>
        </w:rPr>
        <w:t xml:space="preserve"> With respect to Security Devices entered into by Lessor after the execution of this Lease, Lessee’s subordination of this Lease shall be subject to receiving a commercially reasonable non-disturbance agreement (a </w:t>
      </w:r>
      <w:r>
        <w:rPr>
          <w:rFonts w:ascii="Arial" w:cs="Arial" w:eastAsia="Arial" w:hAnsi="Arial"/>
          <w:sz w:val="18"/>
          <w:szCs w:val="18"/>
          <w:b w:val="1"/>
          <w:bCs w:val="1"/>
          <w:color w:val="auto"/>
        </w:rPr>
        <w:t>“Non-Disturbance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Agreement”) </w:t>
      </w:r>
      <w:r>
        <w:rPr>
          <w:rFonts w:ascii="Arial" w:cs="Arial" w:eastAsia="Arial" w:hAnsi="Arial"/>
          <w:sz w:val="18"/>
          <w:szCs w:val="18"/>
          <w:color w:val="auto"/>
        </w:rPr>
        <w:t>from the Lender which Non-Disturbance Agreement provides that Lessee’s possession of the Premises, and this Lease,</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any options to extend the term hereof, will not be disturbed so long as Lessee is not in Breach hereof and attorns to the record owner of the Premises. Further, within 60 days after the execution of this Lease, Lessor shall, if requested by Lessee, use its commercially reasonable efforts to obtain a Non-Disturbance Agreement from the holder of any pre-existing Security Device which is secured by the Premises. In the event that Lessor is unable to provide the Non-Disturbance Agreement within said 60 days, then Lessee may, at Lessee’s option, directly contact Lender and attempt to negotiate for the execution and delivery of a Non-Disturbance Agreement.</w:t>
      </w:r>
    </w:p>
    <w:p>
      <w:pPr>
        <w:spacing w:after="0" w:line="179" w:lineRule="exact"/>
        <w:rPr>
          <w:sz w:val="20"/>
          <w:szCs w:val="20"/>
          <w:color w:val="auto"/>
        </w:rPr>
      </w:pPr>
    </w:p>
    <w:p>
      <w:pPr>
        <w:ind w:right="140" w:firstLine="509"/>
        <w:spacing w:after="0" w:line="252" w:lineRule="auto"/>
        <w:rPr>
          <w:sz w:val="20"/>
          <w:szCs w:val="20"/>
          <w:color w:val="auto"/>
        </w:rPr>
      </w:pPr>
      <w:r>
        <w:rPr>
          <w:rFonts w:ascii="Arial" w:cs="Arial" w:eastAsia="Arial" w:hAnsi="Arial"/>
          <w:sz w:val="18"/>
          <w:szCs w:val="18"/>
          <w:color w:val="auto"/>
        </w:rPr>
        <w:t xml:space="preserve">30.4 </w:t>
      </w:r>
      <w:r>
        <w:rPr>
          <w:rFonts w:ascii="Arial" w:cs="Arial" w:eastAsia="Arial" w:hAnsi="Arial"/>
          <w:sz w:val="18"/>
          <w:szCs w:val="18"/>
          <w:b w:val="1"/>
          <w:bCs w:val="1"/>
          <w:color w:val="auto"/>
        </w:rPr>
        <w:t>Self-Executing.</w:t>
      </w:r>
      <w:r>
        <w:rPr>
          <w:rFonts w:ascii="Arial" w:cs="Arial" w:eastAsia="Arial" w:hAnsi="Arial"/>
          <w:sz w:val="18"/>
          <w:szCs w:val="18"/>
          <w:color w:val="auto"/>
        </w:rPr>
        <w:t xml:space="preserve"> The agreements contained in this Paragraph 30 shall be effective without the execution of any further documents; provided, however, that, upon written request from Lessor or a Lender in connection with a sale, financing or refinancing of the Premises, Lessee and Lessor shall execute such further writings as may be reasonably required to separately document any subordination, attornment and/or Non-Disturbance Agreement provided for herein.</w:t>
      </w:r>
    </w:p>
    <w:p>
      <w:pPr>
        <w:spacing w:after="0" w:line="170" w:lineRule="exact"/>
        <w:rPr>
          <w:sz w:val="20"/>
          <w:szCs w:val="20"/>
          <w:color w:val="auto"/>
        </w:rPr>
      </w:pPr>
    </w:p>
    <w:p>
      <w:pPr>
        <w:ind w:firstLine="8"/>
        <w:spacing w:after="0" w:line="244" w:lineRule="auto"/>
        <w:tabs>
          <w:tab w:leader="none" w:pos="45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Attorneys’ Fees. </w:t>
      </w:r>
      <w:r>
        <w:rPr>
          <w:rFonts w:ascii="Arial" w:cs="Arial" w:eastAsia="Arial" w:hAnsi="Arial"/>
          <w:sz w:val="18"/>
          <w:szCs w:val="18"/>
          <w:color w:val="auto"/>
        </w:rPr>
        <w:t>If any Party or Broker brings an action or proceeding involving the Premises whether founded in tort, contract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equity, or to declare rights hereunder, the Prevailing Party (as hereafter defined) in any such proceeding, action, or appeal thereon, shall be entitled to reasonable attorneys’ fees. Such fees may be awarded in the same suit or recovered in a separate suit, whether or not such action or proceeding is pursued to decision or judgment. The term, </w:t>
      </w:r>
      <w:r>
        <w:rPr>
          <w:rFonts w:ascii="Arial" w:cs="Arial" w:eastAsia="Arial" w:hAnsi="Arial"/>
          <w:sz w:val="18"/>
          <w:szCs w:val="18"/>
          <w:b w:val="1"/>
          <w:bCs w:val="1"/>
          <w:color w:val="auto"/>
        </w:rPr>
        <w:t>“Prevailing Party”</w:t>
      </w:r>
      <w:r>
        <w:rPr>
          <w:rFonts w:ascii="Arial" w:cs="Arial" w:eastAsia="Arial" w:hAnsi="Arial"/>
          <w:sz w:val="18"/>
          <w:szCs w:val="18"/>
          <w:color w:val="auto"/>
        </w:rPr>
        <w:t xml:space="preserve"> shall include, without limitation, a Party or Broker who substantially obtains or defeats the relief sought, as the case may be, whether by compromise, settlement judgment, or the abandonment by the other Party or Broker of its claim or defense. The attorneys’ fees award shall not be computed in accordance with any court fee schedule, but shall be such as to fully reimburse all attorneys’ fees reasonably incurred. In addition, Lessor shall be entitled to attorneys’ fees, costs and expenses incurred in the preparation and service of notices of Default and consultations in connection therewith, whether or not a legal action is subsequently commenced in connection with such Default or resulting Breach ($200 is a reasonable minimum per occurrence for such services and consultation).</w:t>
      </w:r>
    </w:p>
    <w:p>
      <w:pPr>
        <w:spacing w:after="0" w:line="177" w:lineRule="exact"/>
        <w:rPr>
          <w:rFonts w:ascii="Arial" w:cs="Arial" w:eastAsia="Arial" w:hAnsi="Arial"/>
          <w:sz w:val="18"/>
          <w:szCs w:val="18"/>
          <w:b w:val="1"/>
          <w:bCs w:val="1"/>
          <w:color w:val="auto"/>
        </w:rPr>
      </w:pPr>
    </w:p>
    <w:p>
      <w:pPr>
        <w:ind w:right="60" w:firstLine="8"/>
        <w:spacing w:after="0" w:line="248" w:lineRule="auto"/>
        <w:tabs>
          <w:tab w:leader="none" w:pos="45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Lessor’s Access; Showing Premises; Repairs. </w:t>
      </w:r>
      <w:r>
        <w:rPr>
          <w:rFonts w:ascii="Arial" w:cs="Arial" w:eastAsia="Arial" w:hAnsi="Arial"/>
          <w:sz w:val="18"/>
          <w:szCs w:val="18"/>
          <w:color w:val="auto"/>
        </w:rPr>
        <w:t>Lessor and Lessor’s agents shall have the right to enter the Premises at any time, in</w:t>
      </w:r>
      <w:r>
        <w:rPr>
          <w:rFonts w:ascii="Arial" w:cs="Arial" w:eastAsia="Arial" w:hAnsi="Arial"/>
          <w:sz w:val="18"/>
          <w:szCs w:val="18"/>
          <w:b w:val="1"/>
          <w:bCs w:val="1"/>
          <w:color w:val="auto"/>
        </w:rPr>
        <w:t xml:space="preserve"> </w:t>
      </w:r>
      <w:r>
        <w:rPr>
          <w:rFonts w:ascii="Arial" w:cs="Arial" w:eastAsia="Arial" w:hAnsi="Arial"/>
          <w:sz w:val="18"/>
          <w:szCs w:val="18"/>
          <w:color w:val="auto"/>
        </w:rPr>
        <w:t>the case of an emergency, and otherwise at reasonable times after reasonable prior notice for the purpose of showing the same to prospective purchasers, lenders, or tenants, and making such alterations, repairs, improvements or additions to the Premises as Lessor may deem necessary or desirable and the erecting, using and maintaining of utilities, services, pipes and conduits through the Premises and/or other premises as long as there is no material adverse effect on Lessee’s use of the Premises. All such activities shall be without abatement of rent or liability to Lessee.</w:t>
      </w:r>
    </w:p>
    <w:p>
      <w:pPr>
        <w:spacing w:after="0" w:line="174" w:lineRule="exact"/>
        <w:rPr>
          <w:rFonts w:ascii="Arial" w:cs="Arial" w:eastAsia="Arial" w:hAnsi="Arial"/>
          <w:sz w:val="18"/>
          <w:szCs w:val="18"/>
          <w:b w:val="1"/>
          <w:bCs w:val="1"/>
          <w:color w:val="auto"/>
        </w:rPr>
      </w:pPr>
    </w:p>
    <w:p>
      <w:pPr>
        <w:ind w:right="60" w:firstLine="8"/>
        <w:spacing w:after="0" w:line="271" w:lineRule="auto"/>
        <w:tabs>
          <w:tab w:leader="none" w:pos="45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Auctions. </w:t>
      </w:r>
      <w:r>
        <w:rPr>
          <w:rFonts w:ascii="Arial" w:cs="Arial" w:eastAsia="Arial" w:hAnsi="Arial"/>
          <w:sz w:val="18"/>
          <w:szCs w:val="18"/>
          <w:color w:val="auto"/>
        </w:rPr>
        <w:t>Lessee shall not conduct, nor permit to be conducted, any auction upon the Premises without Lessor’s prior written consent.</w:t>
      </w:r>
      <w:r>
        <w:rPr>
          <w:rFonts w:ascii="Arial" w:cs="Arial" w:eastAsia="Arial" w:hAnsi="Arial"/>
          <w:sz w:val="18"/>
          <w:szCs w:val="18"/>
          <w:b w:val="1"/>
          <w:bCs w:val="1"/>
          <w:color w:val="auto"/>
        </w:rPr>
        <w:t xml:space="preserve"> </w:t>
      </w:r>
      <w:r>
        <w:rPr>
          <w:rFonts w:ascii="Arial" w:cs="Arial" w:eastAsia="Arial" w:hAnsi="Arial"/>
          <w:sz w:val="18"/>
          <w:szCs w:val="18"/>
          <w:color w:val="auto"/>
        </w:rPr>
        <w:t>Lessor shall not be obligated to exercise any standard of reasonableness in determining whether to permit an auction.</w:t>
      </w:r>
    </w:p>
    <w:p>
      <w:pPr>
        <w:spacing w:after="0" w:line="167" w:lineRule="exact"/>
        <w:rPr>
          <w:rFonts w:ascii="Arial" w:cs="Arial" w:eastAsia="Arial" w:hAnsi="Arial"/>
          <w:sz w:val="18"/>
          <w:szCs w:val="18"/>
          <w:b w:val="1"/>
          <w:bCs w:val="1"/>
          <w:color w:val="auto"/>
        </w:rPr>
      </w:pPr>
    </w:p>
    <w:p>
      <w:pPr>
        <w:jc w:val="both"/>
        <w:ind w:right="60" w:firstLine="8"/>
        <w:spacing w:after="0" w:line="253" w:lineRule="auto"/>
        <w:tabs>
          <w:tab w:leader="none" w:pos="45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Signs. </w:t>
      </w:r>
      <w:r>
        <w:rPr>
          <w:rFonts w:ascii="Arial" w:cs="Arial" w:eastAsia="Arial" w:hAnsi="Arial"/>
          <w:sz w:val="18"/>
          <w:szCs w:val="18"/>
          <w:color w:val="auto"/>
        </w:rPr>
        <w:t>Lessor may place on the Premises ordinary “For Sale” signs at anytime and ordinary “For Lease” signs during the last 6 months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term hereof. Except for ordinary “for sublease” signs, Lessee shall not place any sign upon the Premises without Lessor’s prior written consent. All signs must comply with all Applicable Requirements.</w:t>
      </w:r>
    </w:p>
    <w:p>
      <w:pPr>
        <w:spacing w:after="0" w:line="182" w:lineRule="exact"/>
        <w:rPr>
          <w:rFonts w:ascii="Arial" w:cs="Arial" w:eastAsia="Arial" w:hAnsi="Arial"/>
          <w:sz w:val="18"/>
          <w:szCs w:val="18"/>
          <w:b w:val="1"/>
          <w:bCs w:val="1"/>
          <w:color w:val="auto"/>
        </w:rPr>
      </w:pPr>
    </w:p>
    <w:p>
      <w:pPr>
        <w:ind w:right="140" w:firstLine="8"/>
        <w:spacing w:after="0" w:line="247" w:lineRule="auto"/>
        <w:tabs>
          <w:tab w:leader="none" w:pos="45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Merger. </w:t>
      </w:r>
      <w:r>
        <w:rPr>
          <w:rFonts w:ascii="Arial" w:cs="Arial" w:eastAsia="Arial" w:hAnsi="Arial"/>
          <w:sz w:val="18"/>
          <w:szCs w:val="18"/>
          <w:color w:val="auto"/>
        </w:rPr>
        <w:t>Unless specifically stated otherwise in writing by Lessor, the voluntary or other surrender of this Lease by</w:t>
      </w:r>
      <w:r>
        <w:rPr>
          <w:rFonts w:ascii="Arial" w:cs="Arial" w:eastAsia="Arial" w:hAnsi="Arial"/>
          <w:sz w:val="18"/>
          <w:szCs w:val="18"/>
          <w:b w:val="1"/>
          <w:bCs w:val="1"/>
          <w:color w:val="auto"/>
        </w:rPr>
        <w:t xml:space="preserve"> </w:t>
      </w:r>
      <w:r>
        <w:rPr>
          <w:rFonts w:ascii="Arial" w:cs="Arial" w:eastAsia="Arial" w:hAnsi="Arial"/>
          <w:sz w:val="18"/>
          <w:szCs w:val="18"/>
          <w:color w:val="auto"/>
        </w:rPr>
        <w:t>Lessee, the mutual termination or cancellation hereof, or a termination hereof by Lessor for Breach by Lessee, shall automatically terminate any sublease or lesser estate in the Premises; provided, however, that Lessor may elect to continue anyone or all existing subtenancies. Lessor’s failure within 10 days following any such event to elect to the contrary by written notice to the holder of any such lesser interest, shall constitute Lessor’s election to have such event constitute the termination of such interest.</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INITIALS</w:t>
            </w:r>
          </w:p>
        </w:tc>
        <w:tc>
          <w:tcPr>
            <w:tcW w:w="3960" w:type="dxa"/>
            <w:vAlign w:val="bottom"/>
          </w:tcPr>
          <w:p>
            <w:pPr>
              <w:ind w:left="1460"/>
              <w:spacing w:after="0"/>
              <w:rPr>
                <w:sz w:val="20"/>
                <w:szCs w:val="20"/>
                <w:color w:val="auto"/>
              </w:rPr>
            </w:pPr>
            <w:r>
              <w:rPr>
                <w:rFonts w:ascii="Arial" w:cs="Arial" w:eastAsia="Arial" w:hAnsi="Arial"/>
                <w:sz w:val="18"/>
                <w:szCs w:val="18"/>
                <w:color w:val="auto"/>
              </w:rPr>
              <w:t>Page 24 of 28</w:t>
            </w:r>
          </w:p>
        </w:tc>
        <w:tc>
          <w:tcPr>
            <w:tcW w:w="3380" w:type="dxa"/>
            <w:vAlign w:val="bottom"/>
            <w:vMerge w:val="restart"/>
          </w:tcPr>
          <w:p>
            <w:pPr>
              <w:jc w:val="right"/>
              <w:spacing w:after="0"/>
              <w:rPr>
                <w:sz w:val="20"/>
                <w:szCs w:val="20"/>
                <w:color w:val="auto"/>
              </w:rPr>
            </w:pPr>
            <w:r>
              <w:rPr>
                <w:rFonts w:ascii="Arial" w:cs="Arial" w:eastAsia="Arial" w:hAnsi="Arial"/>
                <w:sz w:val="18"/>
                <w:szCs w:val="18"/>
                <w:color w:val="auto"/>
              </w:rPr>
              <w:t>INITIALS</w:t>
            </w:r>
          </w:p>
        </w:tc>
        <w:tc>
          <w:tcPr>
            <w:tcW w:w="0" w:type="dxa"/>
            <w:vAlign w:val="bottom"/>
          </w:tcPr>
          <w:p>
            <w:pPr>
              <w:spacing w:after="0"/>
              <w:rPr>
                <w:sz w:val="1"/>
                <w:szCs w:val="1"/>
                <w:color w:val="auto"/>
              </w:rPr>
            </w:pPr>
          </w:p>
        </w:tc>
      </w:tr>
      <w:tr>
        <w:trPr>
          <w:trHeight w:val="94"/>
        </w:trPr>
        <w:tc>
          <w:tcPr>
            <w:tcW w:w="3900" w:type="dxa"/>
            <w:vAlign w:val="bottom"/>
            <w:vMerge w:val="continue"/>
          </w:tcPr>
          <w:p>
            <w:pPr>
              <w:spacing w:after="0"/>
              <w:rPr>
                <w:sz w:val="8"/>
                <w:szCs w:val="8"/>
                <w:color w:val="auto"/>
              </w:rPr>
            </w:pPr>
          </w:p>
        </w:tc>
        <w:tc>
          <w:tcPr>
            <w:tcW w:w="3960" w:type="dxa"/>
            <w:vAlign w:val="bottom"/>
            <w:vMerge w:val="restart"/>
          </w:tcPr>
          <w:p>
            <w:pPr>
              <w:ind w:left="780"/>
              <w:spacing w:after="0"/>
              <w:rPr>
                <w:sz w:val="20"/>
                <w:szCs w:val="20"/>
                <w:color w:val="auto"/>
              </w:rPr>
            </w:pPr>
            <w:r>
              <w:rPr>
                <w:rFonts w:ascii="Arial" w:cs="Arial" w:eastAsia="Arial" w:hAnsi="Arial"/>
                <w:sz w:val="18"/>
                <w:szCs w:val="18"/>
                <w:color w:val="auto"/>
              </w:rPr>
              <w:t>Last Edited 2/7/2018 1:59 PM</w:t>
            </w:r>
          </w:p>
        </w:tc>
        <w:tc>
          <w:tcPr>
            <w:tcW w:w="3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 2017 AIR CRE. All Rights Reserved.</w:t>
            </w:r>
          </w:p>
        </w:tc>
        <w:tc>
          <w:tcPr>
            <w:tcW w:w="3960" w:type="dxa"/>
            <w:vAlign w:val="bottom"/>
            <w:vMerge w:val="continue"/>
          </w:tcPr>
          <w:p>
            <w:pPr>
              <w:spacing w:after="0"/>
              <w:rPr>
                <w:sz w:val="12"/>
                <w:szCs w:val="12"/>
                <w:color w:val="auto"/>
              </w:rPr>
            </w:pPr>
          </w:p>
        </w:tc>
        <w:tc>
          <w:tcPr>
            <w:tcW w:w="3380" w:type="dxa"/>
            <w:vAlign w:val="bottom"/>
            <w:vMerge w:val="restart"/>
          </w:tcPr>
          <w:p>
            <w:pPr>
              <w:jc w:val="right"/>
              <w:spacing w:after="0"/>
              <w:rPr>
                <w:sz w:val="20"/>
                <w:szCs w:val="20"/>
                <w:color w:val="auto"/>
              </w:rPr>
            </w:pPr>
            <w:r>
              <w:rPr>
                <w:rFonts w:ascii="Arial" w:cs="Arial" w:eastAsia="Arial" w:hAnsi="Arial"/>
                <w:sz w:val="18"/>
                <w:szCs w:val="18"/>
                <w:color w:val="auto"/>
              </w:rPr>
              <w:t>STN-27.10, Revised 11-01-2017</w:t>
            </w:r>
          </w:p>
        </w:tc>
        <w:tc>
          <w:tcPr>
            <w:tcW w:w="0" w:type="dxa"/>
            <w:vAlign w:val="bottom"/>
          </w:tcPr>
          <w:p>
            <w:pPr>
              <w:spacing w:after="0"/>
              <w:rPr>
                <w:sz w:val="1"/>
                <w:szCs w:val="1"/>
                <w:color w:val="auto"/>
              </w:rPr>
            </w:pPr>
          </w:p>
        </w:tc>
      </w:tr>
      <w:tr>
        <w:trPr>
          <w:trHeight w:val="95"/>
        </w:trPr>
        <w:tc>
          <w:tcPr>
            <w:tcW w:w="3900" w:type="dxa"/>
            <w:vAlign w:val="bottom"/>
            <w:vMerge w:val="continue"/>
          </w:tcPr>
          <w:p>
            <w:pPr>
              <w:spacing w:after="0"/>
              <w:rPr>
                <w:sz w:val="8"/>
                <w:szCs w:val="8"/>
                <w:color w:val="auto"/>
              </w:rPr>
            </w:pPr>
          </w:p>
        </w:tc>
        <w:tc>
          <w:tcPr>
            <w:tcW w:w="3960" w:type="dxa"/>
            <w:vAlign w:val="bottom"/>
          </w:tcPr>
          <w:p>
            <w:pPr>
              <w:spacing w:after="0"/>
              <w:rPr>
                <w:sz w:val="8"/>
                <w:szCs w:val="8"/>
                <w:color w:val="auto"/>
              </w:rPr>
            </w:pPr>
          </w:p>
        </w:tc>
        <w:tc>
          <w:tcPr>
            <w:tcW w:w="3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3900" w:type="dxa"/>
            <w:vAlign w:val="bottom"/>
            <w:tcBorders>
              <w:bottom w:val="single" w:sz="8" w:color="9A9A9A"/>
            </w:tcBorders>
          </w:tcPr>
          <w:p>
            <w:pPr>
              <w:spacing w:after="0"/>
              <w:rPr>
                <w:sz w:val="12"/>
                <w:szCs w:val="12"/>
                <w:color w:val="auto"/>
              </w:rPr>
            </w:pPr>
          </w:p>
        </w:tc>
        <w:tc>
          <w:tcPr>
            <w:tcW w:w="3960" w:type="dxa"/>
            <w:vAlign w:val="bottom"/>
            <w:tcBorders>
              <w:bottom w:val="single" w:sz="8" w:color="9A9A9A"/>
            </w:tcBorders>
          </w:tcPr>
          <w:p>
            <w:pPr>
              <w:spacing w:after="0"/>
              <w:rPr>
                <w:sz w:val="12"/>
                <w:szCs w:val="12"/>
                <w:color w:val="auto"/>
              </w:rPr>
            </w:pPr>
          </w:p>
        </w:tc>
        <w:tc>
          <w:tcPr>
            <w:tcW w:w="33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3" w:name="page144"/>
    <w:bookmarkEnd w:id="143"/>
    <w:p>
      <w:pPr>
        <w:ind w:right="140" w:firstLine="8"/>
        <w:spacing w:after="0" w:line="243" w:lineRule="auto"/>
        <w:tabs>
          <w:tab w:leader="none" w:pos="45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Consents. </w:t>
      </w:r>
      <w:r>
        <w:rPr>
          <w:rFonts w:ascii="Arial" w:cs="Arial" w:eastAsia="Arial" w:hAnsi="Arial"/>
          <w:sz w:val="18"/>
          <w:szCs w:val="18"/>
          <w:color w:val="auto"/>
        </w:rPr>
        <w:t>All requests for consent shall be in writing. Except as otherwise provided herein, wherever in this Lease the consent of a</w:t>
      </w:r>
      <w:r>
        <w:rPr>
          <w:rFonts w:ascii="Arial" w:cs="Arial" w:eastAsia="Arial" w:hAnsi="Arial"/>
          <w:sz w:val="18"/>
          <w:szCs w:val="18"/>
          <w:b w:val="1"/>
          <w:bCs w:val="1"/>
          <w:color w:val="auto"/>
        </w:rPr>
        <w:t xml:space="preserve"> </w:t>
      </w:r>
      <w:r>
        <w:rPr>
          <w:rFonts w:ascii="Arial" w:cs="Arial" w:eastAsia="Arial" w:hAnsi="Arial"/>
          <w:sz w:val="18"/>
          <w:szCs w:val="18"/>
          <w:color w:val="auto"/>
        </w:rPr>
        <w:t>Party is required to an act by or for the other Party, such consent shall not be unreasonably withheld or delayed. Lessor’s actual reasonable costs and expenses (including but not limited to architects’, attorneys’, engineers’ and other consultants’ fees) incurred in the consideration of, or response to, a request by Lessee for any Lessor consent, including but not limited to consents to an assignment, a subletting or the presence or use of a Hazardous Substance, shall be paid by Lessee upon receipt of an invoice and supporting documentation therefor. Lessor’s consent to any act, assignment or subletting shall not constitute an acknowledgment that no Default or Breach by Lessee of this Lease exists, nor shall such consent be deemed a waiver of any then existing Default or Breach, except as may be otherwise specifically stated in writing by Lessor at the time of such consent. The failure to specify herein any particular condition to Lessor’s consent shall not preclude the imposition by Lessor at the time of consent of such further or other conditions as are then reasonable with reference to the particular matter for which consent is being given. In the event that either Party disagrees with any determination made by the other hereunder and reasonably requests the reasons for such determination, the determining party shall furnish its reasons in writing and in reasonable detail within 10 business days following such request.</w:t>
      </w:r>
    </w:p>
    <w:p>
      <w:pPr>
        <w:spacing w:after="0" w:line="293" w:lineRule="exact"/>
        <w:rPr>
          <w:rFonts w:ascii="Arial" w:cs="Arial" w:eastAsia="Arial" w:hAnsi="Arial"/>
          <w:sz w:val="18"/>
          <w:szCs w:val="18"/>
          <w:b w:val="1"/>
          <w:bCs w:val="1"/>
          <w:color w:val="auto"/>
        </w:rPr>
      </w:pPr>
    </w:p>
    <w:p>
      <w:pPr>
        <w:ind w:left="460" w:hanging="452"/>
        <w:spacing w:after="0"/>
        <w:tabs>
          <w:tab w:leader="none" w:pos="4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Guarantor.</w:t>
      </w:r>
    </w:p>
    <w:p>
      <w:pPr>
        <w:spacing w:after="0" w:line="104" w:lineRule="exact"/>
        <w:rPr>
          <w:sz w:val="20"/>
          <w:szCs w:val="20"/>
          <w:color w:val="auto"/>
        </w:rPr>
      </w:pPr>
    </w:p>
    <w:p>
      <w:pPr>
        <w:ind w:right="200" w:firstLine="509"/>
        <w:spacing w:after="0" w:line="287" w:lineRule="auto"/>
        <w:rPr>
          <w:sz w:val="20"/>
          <w:szCs w:val="20"/>
          <w:color w:val="auto"/>
        </w:rPr>
      </w:pPr>
      <w:r>
        <w:rPr>
          <w:rFonts w:ascii="Arial" w:cs="Arial" w:eastAsia="Arial" w:hAnsi="Arial"/>
          <w:sz w:val="18"/>
          <w:szCs w:val="18"/>
          <w:color w:val="auto"/>
        </w:rPr>
        <w:t xml:space="preserve">37.1 </w:t>
      </w:r>
      <w:r>
        <w:rPr>
          <w:rFonts w:ascii="Arial" w:cs="Arial" w:eastAsia="Arial" w:hAnsi="Arial"/>
          <w:sz w:val="18"/>
          <w:szCs w:val="18"/>
          <w:b w:val="1"/>
          <w:bCs w:val="1"/>
          <w:color w:val="auto"/>
        </w:rPr>
        <w:t>Execution.</w:t>
      </w:r>
      <w:r>
        <w:rPr>
          <w:rFonts w:ascii="Arial" w:cs="Arial" w:eastAsia="Arial" w:hAnsi="Arial"/>
          <w:sz w:val="18"/>
          <w:szCs w:val="18"/>
          <w:color w:val="auto"/>
        </w:rPr>
        <w:t xml:space="preserve"> The Guarantors, if any, shall each execute a guaranty in the form most recently published BY AIR CRE, and each such Guarantor shall have the same obligations as Lessee under this Lease.</w:t>
      </w:r>
    </w:p>
    <w:p>
      <w:pPr>
        <w:spacing w:after="0" w:line="126" w:lineRule="exact"/>
        <w:rPr>
          <w:sz w:val="20"/>
          <w:szCs w:val="20"/>
          <w:color w:val="auto"/>
        </w:rPr>
      </w:pPr>
    </w:p>
    <w:p>
      <w:pPr>
        <w:ind w:right="180" w:firstLine="509"/>
        <w:spacing w:after="0" w:line="252" w:lineRule="auto"/>
        <w:rPr>
          <w:sz w:val="20"/>
          <w:szCs w:val="20"/>
          <w:color w:val="auto"/>
        </w:rPr>
      </w:pPr>
      <w:r>
        <w:rPr>
          <w:rFonts w:ascii="Arial" w:cs="Arial" w:eastAsia="Arial" w:hAnsi="Arial"/>
          <w:sz w:val="18"/>
          <w:szCs w:val="18"/>
          <w:b w:val="1"/>
          <w:bCs w:val="1"/>
          <w:color w:val="auto"/>
        </w:rPr>
        <w:t xml:space="preserve">37.2 Default. </w:t>
      </w:r>
      <w:r>
        <w:rPr>
          <w:rFonts w:ascii="Arial" w:cs="Arial" w:eastAsia="Arial" w:hAnsi="Arial"/>
          <w:sz w:val="18"/>
          <w:szCs w:val="18"/>
          <w:color w:val="auto"/>
        </w:rPr>
        <w:t>It shall constitute Default of the Lessee if any Guarantor fails or refuses, upon request to provide: (a) evidence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execution of the guaranty, including the authority of the party signing on Guarantor’s behalf to obligate Guarantor, and in the case of a corporate Guarantor, a certified copy of a resolution of its board of directors authorizing the making of such guaranty, (b) current financial statements, (c) an Estoppel Certificate, or (d) written confirmation that the guaranty is still in effect.</w:t>
      </w:r>
    </w:p>
    <w:p>
      <w:pPr>
        <w:spacing w:after="0" w:line="184" w:lineRule="exact"/>
        <w:rPr>
          <w:sz w:val="20"/>
          <w:szCs w:val="20"/>
          <w:color w:val="auto"/>
        </w:rPr>
      </w:pPr>
    </w:p>
    <w:p>
      <w:pPr>
        <w:ind w:right="200" w:firstLine="8"/>
        <w:spacing w:after="0" w:line="253" w:lineRule="auto"/>
        <w:tabs>
          <w:tab w:leader="none" w:pos="50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Quiet Possession. </w:t>
      </w:r>
      <w:r>
        <w:rPr>
          <w:rFonts w:ascii="Arial" w:cs="Arial" w:eastAsia="Arial" w:hAnsi="Arial"/>
          <w:sz w:val="18"/>
          <w:szCs w:val="18"/>
          <w:color w:val="auto"/>
        </w:rPr>
        <w:t>Subject to payment by Lessee of the Rent and performance of all of the covenants, conditions and provisions on</w:t>
      </w:r>
      <w:r>
        <w:rPr>
          <w:rFonts w:ascii="Arial" w:cs="Arial" w:eastAsia="Arial" w:hAnsi="Arial"/>
          <w:sz w:val="18"/>
          <w:szCs w:val="18"/>
          <w:b w:val="1"/>
          <w:bCs w:val="1"/>
          <w:color w:val="auto"/>
        </w:rPr>
        <w:t xml:space="preserve"> </w:t>
      </w:r>
      <w:r>
        <w:rPr>
          <w:rFonts w:ascii="Arial" w:cs="Arial" w:eastAsia="Arial" w:hAnsi="Arial"/>
          <w:sz w:val="18"/>
          <w:szCs w:val="18"/>
          <w:color w:val="auto"/>
        </w:rPr>
        <w:t>Lessee’s part to be observed and performed under this Lease, Lessee shall have quiet possession and quiet enjoyment of the Premises during the term hereof.</w:t>
      </w:r>
    </w:p>
    <w:p>
      <w:pPr>
        <w:spacing w:after="0" w:line="182" w:lineRule="exact"/>
        <w:rPr>
          <w:rFonts w:ascii="Arial" w:cs="Arial" w:eastAsia="Arial" w:hAnsi="Arial"/>
          <w:sz w:val="18"/>
          <w:szCs w:val="18"/>
          <w:b w:val="1"/>
          <w:bCs w:val="1"/>
          <w:color w:val="auto"/>
        </w:rPr>
      </w:pPr>
    </w:p>
    <w:p>
      <w:pPr>
        <w:ind w:left="500" w:hanging="492"/>
        <w:spacing w:after="0"/>
        <w:tabs>
          <w:tab w:leader="none" w:pos="50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Options. </w:t>
      </w:r>
      <w:r>
        <w:rPr>
          <w:rFonts w:ascii="Arial" w:cs="Arial" w:eastAsia="Arial" w:hAnsi="Arial"/>
          <w:sz w:val="18"/>
          <w:szCs w:val="18"/>
          <w:color w:val="auto"/>
        </w:rPr>
        <w:t>If Lessee is granted any Option, as defined below, then the following provisions shall apply.</w:t>
      </w:r>
    </w:p>
    <w:p>
      <w:pPr>
        <w:spacing w:after="0" w:line="212" w:lineRule="exact"/>
        <w:rPr>
          <w:sz w:val="20"/>
          <w:szCs w:val="20"/>
          <w:color w:val="auto"/>
        </w:rPr>
      </w:pPr>
    </w:p>
    <w:p>
      <w:pPr>
        <w:ind w:right="80" w:firstLine="509"/>
        <w:spacing w:after="0" w:line="252" w:lineRule="auto"/>
        <w:rPr>
          <w:sz w:val="20"/>
          <w:szCs w:val="20"/>
          <w:color w:val="auto"/>
        </w:rPr>
      </w:pPr>
      <w:r>
        <w:rPr>
          <w:rFonts w:ascii="Arial" w:cs="Arial" w:eastAsia="Arial" w:hAnsi="Arial"/>
          <w:sz w:val="18"/>
          <w:szCs w:val="18"/>
          <w:color w:val="auto"/>
        </w:rPr>
        <w:t xml:space="preserve">39.1 </w:t>
      </w:r>
      <w:r>
        <w:rPr>
          <w:rFonts w:ascii="Arial" w:cs="Arial" w:eastAsia="Arial" w:hAnsi="Arial"/>
          <w:sz w:val="18"/>
          <w:szCs w:val="18"/>
          <w:b w:val="1"/>
          <w:bCs w:val="1"/>
          <w:color w:val="auto"/>
        </w:rPr>
        <w:t>Definition. “Option”</w:t>
      </w:r>
      <w:r>
        <w:rPr>
          <w:rFonts w:ascii="Arial" w:cs="Arial" w:eastAsia="Arial" w:hAnsi="Arial"/>
          <w:sz w:val="18"/>
          <w:szCs w:val="18"/>
          <w:color w:val="auto"/>
        </w:rPr>
        <w:t xml:space="preserve"> shall mean: (a) the right to extend or reduce the term of or renew this Lease or to extend or reduce the term of or renew any lease that Lessee has on other property of Lessor; (b) the right of first refusal or first offer to lease either the Premises or other property of Lessor; (c) the right to purchase, the right of first offer to purchase or the right of first refusal to purchase the Premises or other property of Lessor.</w:t>
      </w:r>
    </w:p>
    <w:p>
      <w:pPr>
        <w:spacing w:after="0" w:line="170" w:lineRule="exact"/>
        <w:rPr>
          <w:sz w:val="20"/>
          <w:szCs w:val="20"/>
          <w:color w:val="auto"/>
        </w:rPr>
      </w:pPr>
    </w:p>
    <w:p>
      <w:pPr>
        <w:jc w:val="both"/>
        <w:ind w:right="360" w:firstLine="509"/>
        <w:spacing w:after="0" w:line="261" w:lineRule="auto"/>
        <w:rPr>
          <w:sz w:val="20"/>
          <w:szCs w:val="20"/>
          <w:color w:val="auto"/>
        </w:rPr>
      </w:pPr>
      <w:r>
        <w:rPr>
          <w:rFonts w:ascii="Arial" w:cs="Arial" w:eastAsia="Arial" w:hAnsi="Arial"/>
          <w:sz w:val="18"/>
          <w:szCs w:val="18"/>
          <w:color w:val="auto"/>
        </w:rPr>
        <w:t xml:space="preserve">39.2 </w:t>
      </w:r>
      <w:r>
        <w:rPr>
          <w:rFonts w:ascii="Arial" w:cs="Arial" w:eastAsia="Arial" w:hAnsi="Arial"/>
          <w:sz w:val="18"/>
          <w:szCs w:val="18"/>
          <w:b w:val="1"/>
          <w:bCs w:val="1"/>
          <w:color w:val="auto"/>
        </w:rPr>
        <w:t>Options Personal To Original Lessee.</w:t>
      </w:r>
      <w:r>
        <w:rPr>
          <w:rFonts w:ascii="Arial" w:cs="Arial" w:eastAsia="Arial" w:hAnsi="Arial"/>
          <w:sz w:val="18"/>
          <w:szCs w:val="18"/>
          <w:color w:val="auto"/>
        </w:rPr>
        <w:t xml:space="preserve"> Any Option granted to Lessee in this Lease is personal to the original Lessee, and cannot be assigned or exercised by anyone other than said original Lessee and only while the original Lessee is in full possession of the Premises and, if requested by Lessor, with Lessee certifying that Lessee has no intention of thereafter assigning or subletting.</w:t>
      </w:r>
    </w:p>
    <w:p>
      <w:pPr>
        <w:spacing w:after="0" w:line="162" w:lineRule="exact"/>
        <w:rPr>
          <w:sz w:val="20"/>
          <w:szCs w:val="20"/>
          <w:color w:val="auto"/>
        </w:rPr>
      </w:pPr>
    </w:p>
    <w:p>
      <w:pPr>
        <w:ind w:right="240" w:firstLine="509"/>
        <w:spacing w:after="0" w:line="271" w:lineRule="auto"/>
        <w:rPr>
          <w:sz w:val="20"/>
          <w:szCs w:val="20"/>
          <w:color w:val="auto"/>
        </w:rPr>
      </w:pPr>
      <w:r>
        <w:rPr>
          <w:rFonts w:ascii="Arial" w:cs="Arial" w:eastAsia="Arial" w:hAnsi="Arial"/>
          <w:sz w:val="18"/>
          <w:szCs w:val="18"/>
          <w:color w:val="auto"/>
        </w:rPr>
        <w:t xml:space="preserve">39.3 </w:t>
      </w:r>
      <w:r>
        <w:rPr>
          <w:rFonts w:ascii="Arial" w:cs="Arial" w:eastAsia="Arial" w:hAnsi="Arial"/>
          <w:sz w:val="18"/>
          <w:szCs w:val="18"/>
          <w:b w:val="1"/>
          <w:bCs w:val="1"/>
          <w:color w:val="auto"/>
        </w:rPr>
        <w:t>Multiple Options.</w:t>
      </w:r>
      <w:r>
        <w:rPr>
          <w:rFonts w:ascii="Arial" w:cs="Arial" w:eastAsia="Arial" w:hAnsi="Arial"/>
          <w:sz w:val="18"/>
          <w:szCs w:val="18"/>
          <w:color w:val="auto"/>
        </w:rPr>
        <w:t xml:space="preserve"> In the event that Lessee has any multiple Options to extend or renew this Lease, a later Option cannot be exercised unless the prior Options have been validly exercised.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INITIALS</w:t>
            </w:r>
          </w:p>
        </w:tc>
        <w:tc>
          <w:tcPr>
            <w:tcW w:w="3960" w:type="dxa"/>
            <w:vAlign w:val="bottom"/>
          </w:tcPr>
          <w:p>
            <w:pPr>
              <w:ind w:left="1460"/>
              <w:spacing w:after="0"/>
              <w:rPr>
                <w:sz w:val="20"/>
                <w:szCs w:val="20"/>
                <w:color w:val="auto"/>
              </w:rPr>
            </w:pPr>
            <w:r>
              <w:rPr>
                <w:rFonts w:ascii="Arial" w:cs="Arial" w:eastAsia="Arial" w:hAnsi="Arial"/>
                <w:sz w:val="18"/>
                <w:szCs w:val="18"/>
                <w:color w:val="auto"/>
              </w:rPr>
              <w:t>Page 25 of 28</w:t>
            </w:r>
          </w:p>
        </w:tc>
        <w:tc>
          <w:tcPr>
            <w:tcW w:w="3380" w:type="dxa"/>
            <w:vAlign w:val="bottom"/>
            <w:vMerge w:val="restart"/>
          </w:tcPr>
          <w:p>
            <w:pPr>
              <w:jc w:val="right"/>
              <w:spacing w:after="0"/>
              <w:rPr>
                <w:sz w:val="20"/>
                <w:szCs w:val="20"/>
                <w:color w:val="auto"/>
              </w:rPr>
            </w:pPr>
            <w:r>
              <w:rPr>
                <w:rFonts w:ascii="Arial" w:cs="Arial" w:eastAsia="Arial" w:hAnsi="Arial"/>
                <w:sz w:val="18"/>
                <w:szCs w:val="18"/>
                <w:color w:val="auto"/>
              </w:rPr>
              <w:t>INITIALS</w:t>
            </w:r>
          </w:p>
        </w:tc>
        <w:tc>
          <w:tcPr>
            <w:tcW w:w="0" w:type="dxa"/>
            <w:vAlign w:val="bottom"/>
          </w:tcPr>
          <w:p>
            <w:pPr>
              <w:spacing w:after="0"/>
              <w:rPr>
                <w:sz w:val="1"/>
                <w:szCs w:val="1"/>
                <w:color w:val="auto"/>
              </w:rPr>
            </w:pPr>
          </w:p>
        </w:tc>
      </w:tr>
      <w:tr>
        <w:trPr>
          <w:trHeight w:val="95"/>
        </w:trPr>
        <w:tc>
          <w:tcPr>
            <w:tcW w:w="3900" w:type="dxa"/>
            <w:vAlign w:val="bottom"/>
            <w:vMerge w:val="continue"/>
          </w:tcPr>
          <w:p>
            <w:pPr>
              <w:spacing w:after="0"/>
              <w:rPr>
                <w:sz w:val="8"/>
                <w:szCs w:val="8"/>
                <w:color w:val="auto"/>
              </w:rPr>
            </w:pPr>
          </w:p>
        </w:tc>
        <w:tc>
          <w:tcPr>
            <w:tcW w:w="3960" w:type="dxa"/>
            <w:vAlign w:val="bottom"/>
            <w:vMerge w:val="restart"/>
          </w:tcPr>
          <w:p>
            <w:pPr>
              <w:ind w:left="780"/>
              <w:spacing w:after="0"/>
              <w:rPr>
                <w:sz w:val="20"/>
                <w:szCs w:val="20"/>
                <w:color w:val="auto"/>
              </w:rPr>
            </w:pPr>
            <w:r>
              <w:rPr>
                <w:rFonts w:ascii="Arial" w:cs="Arial" w:eastAsia="Arial" w:hAnsi="Arial"/>
                <w:sz w:val="18"/>
                <w:szCs w:val="18"/>
                <w:color w:val="auto"/>
              </w:rPr>
              <w:t>Last Edited 2/7/2018 1:59 PM</w:t>
            </w:r>
          </w:p>
        </w:tc>
        <w:tc>
          <w:tcPr>
            <w:tcW w:w="3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 2017 AIR CRE. All Rights Reserved.</w:t>
            </w:r>
          </w:p>
        </w:tc>
        <w:tc>
          <w:tcPr>
            <w:tcW w:w="3960" w:type="dxa"/>
            <w:vAlign w:val="bottom"/>
            <w:vMerge w:val="continue"/>
          </w:tcPr>
          <w:p>
            <w:pPr>
              <w:spacing w:after="0"/>
              <w:rPr>
                <w:sz w:val="12"/>
                <w:szCs w:val="12"/>
                <w:color w:val="auto"/>
              </w:rPr>
            </w:pPr>
          </w:p>
        </w:tc>
        <w:tc>
          <w:tcPr>
            <w:tcW w:w="3380" w:type="dxa"/>
            <w:vAlign w:val="bottom"/>
            <w:vMerge w:val="restart"/>
          </w:tcPr>
          <w:p>
            <w:pPr>
              <w:jc w:val="right"/>
              <w:spacing w:after="0"/>
              <w:rPr>
                <w:sz w:val="20"/>
                <w:szCs w:val="20"/>
                <w:color w:val="auto"/>
              </w:rPr>
            </w:pPr>
            <w:r>
              <w:rPr>
                <w:rFonts w:ascii="Arial" w:cs="Arial" w:eastAsia="Arial" w:hAnsi="Arial"/>
                <w:sz w:val="18"/>
                <w:szCs w:val="18"/>
                <w:color w:val="auto"/>
              </w:rPr>
              <w:t>STN-27.10, Revised 11-01-2017</w:t>
            </w:r>
          </w:p>
        </w:tc>
        <w:tc>
          <w:tcPr>
            <w:tcW w:w="0" w:type="dxa"/>
            <w:vAlign w:val="bottom"/>
          </w:tcPr>
          <w:p>
            <w:pPr>
              <w:spacing w:after="0"/>
              <w:rPr>
                <w:sz w:val="1"/>
                <w:szCs w:val="1"/>
                <w:color w:val="auto"/>
              </w:rPr>
            </w:pPr>
          </w:p>
        </w:tc>
      </w:tr>
      <w:tr>
        <w:trPr>
          <w:trHeight w:val="95"/>
        </w:trPr>
        <w:tc>
          <w:tcPr>
            <w:tcW w:w="3900" w:type="dxa"/>
            <w:vAlign w:val="bottom"/>
            <w:vMerge w:val="continue"/>
          </w:tcPr>
          <w:p>
            <w:pPr>
              <w:spacing w:after="0"/>
              <w:rPr>
                <w:sz w:val="8"/>
                <w:szCs w:val="8"/>
                <w:color w:val="auto"/>
              </w:rPr>
            </w:pPr>
          </w:p>
        </w:tc>
        <w:tc>
          <w:tcPr>
            <w:tcW w:w="3960" w:type="dxa"/>
            <w:vAlign w:val="bottom"/>
          </w:tcPr>
          <w:p>
            <w:pPr>
              <w:spacing w:after="0"/>
              <w:rPr>
                <w:sz w:val="8"/>
                <w:szCs w:val="8"/>
                <w:color w:val="auto"/>
              </w:rPr>
            </w:pPr>
          </w:p>
        </w:tc>
        <w:tc>
          <w:tcPr>
            <w:tcW w:w="3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3900" w:type="dxa"/>
            <w:vAlign w:val="bottom"/>
            <w:tcBorders>
              <w:bottom w:val="single" w:sz="8" w:color="9A9A9A"/>
            </w:tcBorders>
          </w:tcPr>
          <w:p>
            <w:pPr>
              <w:spacing w:after="0"/>
              <w:rPr>
                <w:sz w:val="13"/>
                <w:szCs w:val="13"/>
                <w:color w:val="auto"/>
              </w:rPr>
            </w:pPr>
          </w:p>
        </w:tc>
        <w:tc>
          <w:tcPr>
            <w:tcW w:w="3960" w:type="dxa"/>
            <w:vAlign w:val="bottom"/>
            <w:tcBorders>
              <w:bottom w:val="single" w:sz="8" w:color="9A9A9A"/>
            </w:tcBorders>
          </w:tcPr>
          <w:p>
            <w:pPr>
              <w:spacing w:after="0"/>
              <w:rPr>
                <w:sz w:val="13"/>
                <w:szCs w:val="13"/>
                <w:color w:val="auto"/>
              </w:rPr>
            </w:pPr>
          </w:p>
        </w:tc>
        <w:tc>
          <w:tcPr>
            <w:tcW w:w="33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4" w:name="page145"/>
    <w:bookmarkEnd w:id="144"/>
    <w:p>
      <w:pPr>
        <w:ind w:left="520"/>
        <w:spacing w:after="0"/>
        <w:tabs>
          <w:tab w:leader="none" w:pos="1100" w:val="left"/>
        </w:tabs>
        <w:rPr>
          <w:sz w:val="20"/>
          <w:szCs w:val="20"/>
          <w:color w:val="auto"/>
        </w:rPr>
      </w:pPr>
      <w:r>
        <w:rPr>
          <w:rFonts w:ascii="Arial" w:cs="Arial" w:eastAsia="Arial" w:hAnsi="Arial"/>
          <w:sz w:val="18"/>
          <w:szCs w:val="18"/>
          <w:color w:val="auto"/>
        </w:rPr>
        <w:t>39.4</w:t>
      </w:r>
      <w:r>
        <w:rPr>
          <w:sz w:val="20"/>
          <w:szCs w:val="20"/>
          <w:color w:val="auto"/>
        </w:rPr>
        <w:tab/>
      </w:r>
      <w:r>
        <w:rPr>
          <w:rFonts w:ascii="Arial" w:cs="Arial" w:eastAsia="Arial" w:hAnsi="Arial"/>
          <w:sz w:val="17"/>
          <w:szCs w:val="17"/>
          <w:b w:val="1"/>
          <w:bCs w:val="1"/>
          <w:color w:val="auto"/>
        </w:rPr>
        <w:t>Effect of Default on Options</w:t>
      </w:r>
      <w:r>
        <w:rPr>
          <w:rFonts w:ascii="Arial" w:cs="Arial" w:eastAsia="Arial" w:hAnsi="Arial"/>
          <w:sz w:val="17"/>
          <w:szCs w:val="17"/>
          <w:color w:val="auto"/>
        </w:rPr>
        <w:t>.</w:t>
      </w:r>
    </w:p>
    <w:p>
      <w:pPr>
        <w:spacing w:after="0" w:line="117" w:lineRule="exact"/>
        <w:rPr>
          <w:sz w:val="20"/>
          <w:szCs w:val="20"/>
          <w:color w:val="auto"/>
        </w:rPr>
      </w:pPr>
    </w:p>
    <w:p>
      <w:pPr>
        <w:ind w:right="100" w:firstLine="1154"/>
        <w:spacing w:after="0" w:line="252" w:lineRule="auto"/>
        <w:tabs>
          <w:tab w:leader="none" w:pos="1615" w:val="left"/>
        </w:tabs>
        <w:numPr>
          <w:ilvl w:val="1"/>
          <w:numId w:val="138"/>
        </w:numPr>
        <w:rPr>
          <w:rFonts w:ascii="Arial" w:cs="Arial" w:eastAsia="Arial" w:hAnsi="Arial"/>
          <w:sz w:val="18"/>
          <w:szCs w:val="18"/>
          <w:color w:val="auto"/>
        </w:rPr>
      </w:pPr>
      <w:r>
        <w:rPr>
          <w:rFonts w:ascii="Arial" w:cs="Arial" w:eastAsia="Arial" w:hAnsi="Arial"/>
          <w:sz w:val="18"/>
          <w:szCs w:val="18"/>
          <w:color w:val="auto"/>
        </w:rPr>
        <w:t>Lessee shall have no right to exercise an Option: (i) during the period commencing with the giving of any notice of Default and continuing until said Default is cured, (ii) during the period of time any Rent is unpaid (without regard to whether notice thereof is given Lessee), (iii) during the time Lessee is in Breach of this Lease, or (iv) in the event that Lessee has been given 3 or more notices of separate Default, whether or not the Defaults are cured, during the 12 month period immediately preceding the exercise of the Option.</w:t>
      </w:r>
    </w:p>
    <w:p>
      <w:pPr>
        <w:spacing w:after="0" w:line="170" w:lineRule="exact"/>
        <w:rPr>
          <w:rFonts w:ascii="Arial" w:cs="Arial" w:eastAsia="Arial" w:hAnsi="Arial"/>
          <w:sz w:val="18"/>
          <w:szCs w:val="18"/>
          <w:color w:val="auto"/>
        </w:rPr>
      </w:pPr>
    </w:p>
    <w:p>
      <w:pPr>
        <w:ind w:right="340" w:firstLine="1154"/>
        <w:spacing w:after="0" w:line="271" w:lineRule="auto"/>
        <w:tabs>
          <w:tab w:leader="none" w:pos="1615"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The period of time within which an Option may be exercised shall not be extended or enlarged by reason of Lessee’s inability to exercise an Option because of the provisions of Paragraph 39.4(a).</w:t>
      </w:r>
    </w:p>
    <w:p>
      <w:pPr>
        <w:spacing w:after="0" w:line="167" w:lineRule="exact"/>
        <w:rPr>
          <w:rFonts w:ascii="Arial" w:cs="Arial" w:eastAsia="Arial" w:hAnsi="Arial"/>
          <w:sz w:val="18"/>
          <w:szCs w:val="18"/>
          <w:color w:val="auto"/>
        </w:rPr>
      </w:pPr>
    </w:p>
    <w:p>
      <w:pPr>
        <w:ind w:right="80" w:firstLine="1154"/>
        <w:spacing w:after="0" w:line="252" w:lineRule="auto"/>
        <w:tabs>
          <w:tab w:leader="none" w:pos="1605"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An Option shall terminate and be of no further force or effect, notwithstanding Lessee’s due and timely exercise of the Option, if, after such exercise and prior to the commencement of the extended term or completion of the purchase, (i) Lessee fails to pay Rent for a period of 30 days after such Rent becomes due (without any necessity of Lessor to give notice thereof), or (ii) if Lessee commits a Breach of this Lease.</w:t>
      </w:r>
    </w:p>
    <w:p>
      <w:pPr>
        <w:spacing w:after="0" w:line="170" w:lineRule="exact"/>
        <w:rPr>
          <w:rFonts w:ascii="Arial" w:cs="Arial" w:eastAsia="Arial" w:hAnsi="Arial"/>
          <w:sz w:val="18"/>
          <w:szCs w:val="18"/>
          <w:color w:val="auto"/>
        </w:rPr>
      </w:pPr>
    </w:p>
    <w:p>
      <w:pPr>
        <w:ind w:right="260" w:firstLine="8"/>
        <w:spacing w:after="0" w:line="247" w:lineRule="auto"/>
        <w:tabs>
          <w:tab w:leader="none" w:pos="30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Multiple Buildings. </w:t>
      </w:r>
      <w:r>
        <w:rPr>
          <w:rFonts w:ascii="Arial" w:cs="Arial" w:eastAsia="Arial" w:hAnsi="Arial"/>
          <w:sz w:val="18"/>
          <w:szCs w:val="18"/>
          <w:color w:val="auto"/>
        </w:rPr>
        <w:t>If the Premises are a part of a group of buildings controlled by Lessor, Lessee agrees that it will abide by and</w:t>
      </w:r>
      <w:r>
        <w:rPr>
          <w:rFonts w:ascii="Arial" w:cs="Arial" w:eastAsia="Arial" w:hAnsi="Arial"/>
          <w:sz w:val="18"/>
          <w:szCs w:val="18"/>
          <w:b w:val="1"/>
          <w:bCs w:val="1"/>
          <w:color w:val="auto"/>
        </w:rPr>
        <w:t xml:space="preserve"> </w:t>
      </w:r>
      <w:r>
        <w:rPr>
          <w:rFonts w:ascii="Arial" w:cs="Arial" w:eastAsia="Arial" w:hAnsi="Arial"/>
          <w:sz w:val="18"/>
          <w:szCs w:val="18"/>
          <w:color w:val="auto"/>
        </w:rPr>
        <w:t>conform to all reasonable rules and regulations which Lessor may make from time to time for the management, safety, and care of said properties, including the care and cleanliness of the grounds and including the parking, loading and unloading of vehicles, and to cause its employees, suppliers, shippers, customers, contractors and invitees to soabide and conform. Lessee also agrees to pay its fair share of common expenses incurred in connection with such rules and regulations.</w:t>
      </w:r>
    </w:p>
    <w:p>
      <w:pPr>
        <w:spacing w:after="0" w:line="176" w:lineRule="exact"/>
        <w:rPr>
          <w:rFonts w:ascii="Arial" w:cs="Arial" w:eastAsia="Arial" w:hAnsi="Arial"/>
          <w:sz w:val="18"/>
          <w:szCs w:val="18"/>
          <w:b w:val="1"/>
          <w:bCs w:val="1"/>
          <w:color w:val="auto"/>
        </w:rPr>
      </w:pPr>
    </w:p>
    <w:p>
      <w:pPr>
        <w:ind w:right="140" w:firstLine="8"/>
        <w:spacing w:after="0" w:line="261" w:lineRule="auto"/>
        <w:tabs>
          <w:tab w:leader="none" w:pos="50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Security Measures. </w:t>
      </w:r>
      <w:r>
        <w:rPr>
          <w:rFonts w:ascii="Arial" w:cs="Arial" w:eastAsia="Arial" w:hAnsi="Arial"/>
          <w:sz w:val="18"/>
          <w:szCs w:val="18"/>
          <w:color w:val="auto"/>
        </w:rPr>
        <w:t>Lessee hereby acknowledges that the Rent payable to Lessor hereunder does not include the cost of guard</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or other security measures, and that Lessor shall have no obligation whatsoever to provide same. Lessee assumes all responsibility for the protection of the Premises, Lessee, its agents and invitees and their property from the acts of third parties.</w:t>
      </w:r>
    </w:p>
    <w:p>
      <w:pPr>
        <w:spacing w:after="0" w:line="161" w:lineRule="exact"/>
        <w:rPr>
          <w:rFonts w:ascii="Arial" w:cs="Arial" w:eastAsia="Arial" w:hAnsi="Arial"/>
          <w:sz w:val="18"/>
          <w:szCs w:val="18"/>
          <w:b w:val="1"/>
          <w:bCs w:val="1"/>
          <w:color w:val="auto"/>
        </w:rPr>
      </w:pPr>
    </w:p>
    <w:p>
      <w:pPr>
        <w:ind w:right="20" w:firstLine="8"/>
        <w:spacing w:after="0" w:line="252" w:lineRule="auto"/>
        <w:tabs>
          <w:tab w:leader="none" w:pos="50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Reservations. </w:t>
      </w:r>
      <w:r>
        <w:rPr>
          <w:rFonts w:ascii="Arial" w:cs="Arial" w:eastAsia="Arial" w:hAnsi="Arial"/>
          <w:sz w:val="18"/>
          <w:szCs w:val="18"/>
          <w:color w:val="auto"/>
        </w:rPr>
        <w:t>Lessor reserves to itself the right, from time to time, to grant, without the consent or joinder of Lessee, such easements,</w:t>
      </w:r>
      <w:r>
        <w:rPr>
          <w:rFonts w:ascii="Arial" w:cs="Arial" w:eastAsia="Arial" w:hAnsi="Arial"/>
          <w:sz w:val="18"/>
          <w:szCs w:val="18"/>
          <w:b w:val="1"/>
          <w:bCs w:val="1"/>
          <w:color w:val="auto"/>
        </w:rPr>
        <w:t xml:space="preserve"> </w:t>
      </w:r>
      <w:r>
        <w:rPr>
          <w:rFonts w:ascii="Arial" w:cs="Arial" w:eastAsia="Arial" w:hAnsi="Arial"/>
          <w:sz w:val="18"/>
          <w:szCs w:val="18"/>
          <w:color w:val="auto"/>
        </w:rPr>
        <w:t>rights and dedications that Lessor deems necessary, and to cause the recordation of parcel maps and restrictions, so long as such easements, rights, dedications, maps and restrictions do not unreasonably interfere with the use of the Premises by Lessee. Lessee agrees to sign any documents reasonably requested by Lessor to effectuate any such easement rights, dedication, map or restrictions.</w:t>
      </w:r>
    </w:p>
    <w:p>
      <w:pPr>
        <w:spacing w:after="0" w:line="183" w:lineRule="exact"/>
        <w:rPr>
          <w:rFonts w:ascii="Arial" w:cs="Arial" w:eastAsia="Arial" w:hAnsi="Arial"/>
          <w:sz w:val="18"/>
          <w:szCs w:val="18"/>
          <w:b w:val="1"/>
          <w:bCs w:val="1"/>
          <w:color w:val="auto"/>
        </w:rPr>
      </w:pPr>
    </w:p>
    <w:p>
      <w:pPr>
        <w:ind w:right="140" w:firstLine="8"/>
        <w:spacing w:after="0" w:line="243" w:lineRule="auto"/>
        <w:tabs>
          <w:tab w:leader="none" w:pos="50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Performance Under Protest. </w:t>
      </w:r>
      <w:r>
        <w:rPr>
          <w:rFonts w:ascii="Arial" w:cs="Arial" w:eastAsia="Arial" w:hAnsi="Arial"/>
          <w:sz w:val="18"/>
          <w:szCs w:val="18"/>
          <w:color w:val="auto"/>
        </w:rPr>
        <w:t>If at any time a dispute shall arise as to any amount or sum of money to be paid by one Party to the</w:t>
      </w:r>
      <w:r>
        <w:rPr>
          <w:rFonts w:ascii="Arial" w:cs="Arial" w:eastAsia="Arial" w:hAnsi="Arial"/>
          <w:sz w:val="18"/>
          <w:szCs w:val="18"/>
          <w:b w:val="1"/>
          <w:bCs w:val="1"/>
          <w:color w:val="auto"/>
        </w:rPr>
        <w:t xml:space="preserve"> </w:t>
      </w:r>
      <w:r>
        <w:rPr>
          <w:rFonts w:ascii="Arial" w:cs="Arial" w:eastAsia="Arial" w:hAnsi="Arial"/>
          <w:sz w:val="18"/>
          <w:szCs w:val="18"/>
          <w:color w:val="auto"/>
        </w:rPr>
        <w:t>other under the provisions hereof, the Party against whom the obligation to pay the money is asserted shall have the right to make payment “under protest” and such payment shall not be regarded as a voluntary payment and there shall survive the right on the part of said Party to institute suit for recovery of such sum. If it shall be adjudged that there was no legal obligation on the part of said Party to pay such sum or any part thereof, said Party shall be entitled to recover such sum or so much thereof as it was not legally required to pay. A Party who does not initiate suit for the recovery of sums paid “under protest” within 6 months shall be deemed to have waived its right to protest such payment.</w:t>
      </w:r>
    </w:p>
    <w:p>
      <w:pPr>
        <w:spacing w:after="0" w:line="301" w:lineRule="exact"/>
        <w:rPr>
          <w:rFonts w:ascii="Arial" w:cs="Arial" w:eastAsia="Arial" w:hAnsi="Arial"/>
          <w:sz w:val="18"/>
          <w:szCs w:val="18"/>
          <w:b w:val="1"/>
          <w:bCs w:val="1"/>
          <w:color w:val="auto"/>
        </w:rPr>
      </w:pPr>
    </w:p>
    <w:p>
      <w:pPr>
        <w:ind w:left="500" w:hanging="492"/>
        <w:spacing w:after="0"/>
        <w:tabs>
          <w:tab w:leader="none" w:pos="50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Authority; Multiple Parties; Execution.</w:t>
      </w:r>
    </w:p>
    <w:p>
      <w:pPr>
        <w:spacing w:after="0" w:line="103" w:lineRule="exact"/>
        <w:rPr>
          <w:rFonts w:ascii="Arial" w:cs="Arial" w:eastAsia="Arial" w:hAnsi="Arial"/>
          <w:sz w:val="18"/>
          <w:szCs w:val="18"/>
          <w:b w:val="1"/>
          <w:bCs w:val="1"/>
          <w:color w:val="auto"/>
        </w:rPr>
      </w:pPr>
    </w:p>
    <w:p>
      <w:pPr>
        <w:ind w:right="160" w:firstLine="1154"/>
        <w:spacing w:after="0" w:line="261" w:lineRule="auto"/>
        <w:tabs>
          <w:tab w:leader="none" w:pos="1615" w:val="left"/>
        </w:tabs>
        <w:numPr>
          <w:ilvl w:val="1"/>
          <w:numId w:val="139"/>
        </w:numPr>
        <w:rPr>
          <w:rFonts w:ascii="Arial" w:cs="Arial" w:eastAsia="Arial" w:hAnsi="Arial"/>
          <w:sz w:val="18"/>
          <w:szCs w:val="18"/>
          <w:color w:val="auto"/>
        </w:rPr>
      </w:pPr>
      <w:r>
        <w:rPr>
          <w:rFonts w:ascii="Arial" w:cs="Arial" w:eastAsia="Arial" w:hAnsi="Arial"/>
          <w:sz w:val="18"/>
          <w:szCs w:val="18"/>
          <w:color w:val="auto"/>
        </w:rPr>
        <w:t>If either Party hereto is a corporation, trust, limited liability company, partnership, or similar entity, each individual executing this Lease on behalf of such entity represents and warrants that he or she is duly authorized to execute and deliver this Lease on its behalf. Each Party shall, within 30 days after request, deliver to the other Party satisfactory evidence of such authority.</w:t>
      </w:r>
    </w:p>
    <w:p>
      <w:pPr>
        <w:spacing w:after="0" w:line="161" w:lineRule="exact"/>
        <w:rPr>
          <w:rFonts w:ascii="Arial" w:cs="Arial" w:eastAsia="Arial" w:hAnsi="Arial"/>
          <w:sz w:val="18"/>
          <w:szCs w:val="18"/>
          <w:color w:val="auto"/>
        </w:rPr>
      </w:pPr>
    </w:p>
    <w:p>
      <w:pPr>
        <w:jc w:val="both"/>
        <w:ind w:right="180" w:firstLine="1154"/>
        <w:spacing w:after="0" w:line="252" w:lineRule="auto"/>
        <w:tabs>
          <w:tab w:leader="none" w:pos="1615" w:val="left"/>
        </w:tabs>
        <w:numPr>
          <w:ilvl w:val="1"/>
          <w:numId w:val="139"/>
        </w:numPr>
        <w:rPr>
          <w:rFonts w:ascii="Arial" w:cs="Arial" w:eastAsia="Arial" w:hAnsi="Arial"/>
          <w:sz w:val="18"/>
          <w:szCs w:val="18"/>
          <w:color w:val="auto"/>
        </w:rPr>
      </w:pPr>
      <w:r>
        <w:rPr>
          <w:rFonts w:ascii="Arial" w:cs="Arial" w:eastAsia="Arial" w:hAnsi="Arial"/>
          <w:sz w:val="18"/>
          <w:szCs w:val="18"/>
          <w:color w:val="auto"/>
        </w:rPr>
        <w:t>If this Lease is executed by more than one person or entity as “Lessee”, each such person or entity shall be jointly and severally liable hereunder. It is agreed that anyone of the named Lessees shall be empowered to execute any amendment to this Lease, or other document ancillary thereto and bind all of the named Lessees, and Lessor may rely on the same as if all of the named Lessees had executed such document.</w:t>
      </w:r>
    </w:p>
    <w:p>
      <w:pPr>
        <w:spacing w:after="0" w:line="170" w:lineRule="exact"/>
        <w:rPr>
          <w:rFonts w:ascii="Arial" w:cs="Arial" w:eastAsia="Arial" w:hAnsi="Arial"/>
          <w:sz w:val="18"/>
          <w:szCs w:val="18"/>
          <w:color w:val="auto"/>
        </w:rPr>
      </w:pPr>
    </w:p>
    <w:p>
      <w:pPr>
        <w:ind w:right="240" w:firstLine="1154"/>
        <w:spacing w:after="0" w:line="287" w:lineRule="auto"/>
        <w:tabs>
          <w:tab w:leader="none" w:pos="1605"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This Lease maybe executed by the Parties in counterparts, each of which shall be deemed an original and all of which together shall constitute one and the same instrument.</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INITIALS</w:t>
            </w:r>
          </w:p>
        </w:tc>
        <w:tc>
          <w:tcPr>
            <w:tcW w:w="3960" w:type="dxa"/>
            <w:vAlign w:val="bottom"/>
          </w:tcPr>
          <w:p>
            <w:pPr>
              <w:ind w:left="1460"/>
              <w:spacing w:after="0"/>
              <w:rPr>
                <w:sz w:val="20"/>
                <w:szCs w:val="20"/>
                <w:color w:val="auto"/>
              </w:rPr>
            </w:pPr>
            <w:r>
              <w:rPr>
                <w:rFonts w:ascii="Arial" w:cs="Arial" w:eastAsia="Arial" w:hAnsi="Arial"/>
                <w:sz w:val="18"/>
                <w:szCs w:val="18"/>
                <w:color w:val="auto"/>
              </w:rPr>
              <w:t>Page 26 of 28</w:t>
            </w:r>
          </w:p>
        </w:tc>
        <w:tc>
          <w:tcPr>
            <w:tcW w:w="3380" w:type="dxa"/>
            <w:vAlign w:val="bottom"/>
            <w:vMerge w:val="restart"/>
          </w:tcPr>
          <w:p>
            <w:pPr>
              <w:jc w:val="right"/>
              <w:spacing w:after="0"/>
              <w:rPr>
                <w:sz w:val="20"/>
                <w:szCs w:val="20"/>
                <w:color w:val="auto"/>
              </w:rPr>
            </w:pPr>
            <w:r>
              <w:rPr>
                <w:rFonts w:ascii="Arial" w:cs="Arial" w:eastAsia="Arial" w:hAnsi="Arial"/>
                <w:sz w:val="18"/>
                <w:szCs w:val="18"/>
                <w:color w:val="auto"/>
              </w:rPr>
              <w:t>INITIALS</w:t>
            </w:r>
          </w:p>
        </w:tc>
        <w:tc>
          <w:tcPr>
            <w:tcW w:w="0" w:type="dxa"/>
            <w:vAlign w:val="bottom"/>
          </w:tcPr>
          <w:p>
            <w:pPr>
              <w:spacing w:after="0"/>
              <w:rPr>
                <w:sz w:val="1"/>
                <w:szCs w:val="1"/>
                <w:color w:val="auto"/>
              </w:rPr>
            </w:pPr>
          </w:p>
        </w:tc>
      </w:tr>
      <w:tr>
        <w:trPr>
          <w:trHeight w:val="95"/>
        </w:trPr>
        <w:tc>
          <w:tcPr>
            <w:tcW w:w="3900" w:type="dxa"/>
            <w:vAlign w:val="bottom"/>
            <w:vMerge w:val="continue"/>
          </w:tcPr>
          <w:p>
            <w:pPr>
              <w:spacing w:after="0"/>
              <w:rPr>
                <w:sz w:val="8"/>
                <w:szCs w:val="8"/>
                <w:color w:val="auto"/>
              </w:rPr>
            </w:pPr>
          </w:p>
        </w:tc>
        <w:tc>
          <w:tcPr>
            <w:tcW w:w="3960" w:type="dxa"/>
            <w:vAlign w:val="bottom"/>
            <w:vMerge w:val="restart"/>
          </w:tcPr>
          <w:p>
            <w:pPr>
              <w:ind w:left="780"/>
              <w:spacing w:after="0"/>
              <w:rPr>
                <w:sz w:val="20"/>
                <w:szCs w:val="20"/>
                <w:color w:val="auto"/>
              </w:rPr>
            </w:pPr>
            <w:r>
              <w:rPr>
                <w:rFonts w:ascii="Arial" w:cs="Arial" w:eastAsia="Arial" w:hAnsi="Arial"/>
                <w:sz w:val="18"/>
                <w:szCs w:val="18"/>
                <w:color w:val="auto"/>
              </w:rPr>
              <w:t>Last Edited 2/7/2018 1:59 PM</w:t>
            </w:r>
          </w:p>
        </w:tc>
        <w:tc>
          <w:tcPr>
            <w:tcW w:w="3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 2017 AIR CRE. All Rights Reserved.</w:t>
            </w:r>
          </w:p>
        </w:tc>
        <w:tc>
          <w:tcPr>
            <w:tcW w:w="3960" w:type="dxa"/>
            <w:vAlign w:val="bottom"/>
            <w:vMerge w:val="continue"/>
          </w:tcPr>
          <w:p>
            <w:pPr>
              <w:spacing w:after="0"/>
              <w:rPr>
                <w:sz w:val="12"/>
                <w:szCs w:val="12"/>
                <w:color w:val="auto"/>
              </w:rPr>
            </w:pPr>
          </w:p>
        </w:tc>
        <w:tc>
          <w:tcPr>
            <w:tcW w:w="3380" w:type="dxa"/>
            <w:vAlign w:val="bottom"/>
            <w:vMerge w:val="restart"/>
          </w:tcPr>
          <w:p>
            <w:pPr>
              <w:jc w:val="right"/>
              <w:spacing w:after="0"/>
              <w:rPr>
                <w:sz w:val="20"/>
                <w:szCs w:val="20"/>
                <w:color w:val="auto"/>
              </w:rPr>
            </w:pPr>
            <w:r>
              <w:rPr>
                <w:rFonts w:ascii="Arial" w:cs="Arial" w:eastAsia="Arial" w:hAnsi="Arial"/>
                <w:sz w:val="18"/>
                <w:szCs w:val="18"/>
                <w:color w:val="auto"/>
              </w:rPr>
              <w:t>STN-27.10, Revised 11-01-2017</w:t>
            </w:r>
          </w:p>
        </w:tc>
        <w:tc>
          <w:tcPr>
            <w:tcW w:w="0" w:type="dxa"/>
            <w:vAlign w:val="bottom"/>
          </w:tcPr>
          <w:p>
            <w:pPr>
              <w:spacing w:after="0"/>
              <w:rPr>
                <w:sz w:val="1"/>
                <w:szCs w:val="1"/>
                <w:color w:val="auto"/>
              </w:rPr>
            </w:pPr>
          </w:p>
        </w:tc>
      </w:tr>
      <w:tr>
        <w:trPr>
          <w:trHeight w:val="94"/>
        </w:trPr>
        <w:tc>
          <w:tcPr>
            <w:tcW w:w="3900" w:type="dxa"/>
            <w:vAlign w:val="bottom"/>
            <w:vMerge w:val="continue"/>
          </w:tcPr>
          <w:p>
            <w:pPr>
              <w:spacing w:after="0"/>
              <w:rPr>
                <w:sz w:val="8"/>
                <w:szCs w:val="8"/>
                <w:color w:val="auto"/>
              </w:rPr>
            </w:pPr>
          </w:p>
        </w:tc>
        <w:tc>
          <w:tcPr>
            <w:tcW w:w="3960" w:type="dxa"/>
            <w:vAlign w:val="bottom"/>
          </w:tcPr>
          <w:p>
            <w:pPr>
              <w:spacing w:after="0"/>
              <w:rPr>
                <w:sz w:val="8"/>
                <w:szCs w:val="8"/>
                <w:color w:val="auto"/>
              </w:rPr>
            </w:pPr>
          </w:p>
        </w:tc>
        <w:tc>
          <w:tcPr>
            <w:tcW w:w="3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3900" w:type="dxa"/>
            <w:vAlign w:val="bottom"/>
            <w:tcBorders>
              <w:bottom w:val="single" w:sz="8" w:color="9A9A9A"/>
            </w:tcBorders>
          </w:tcPr>
          <w:p>
            <w:pPr>
              <w:spacing w:after="0"/>
              <w:rPr>
                <w:sz w:val="13"/>
                <w:szCs w:val="13"/>
                <w:color w:val="auto"/>
              </w:rPr>
            </w:pPr>
          </w:p>
        </w:tc>
        <w:tc>
          <w:tcPr>
            <w:tcW w:w="3960" w:type="dxa"/>
            <w:vAlign w:val="bottom"/>
            <w:tcBorders>
              <w:bottom w:val="single" w:sz="8" w:color="9A9A9A"/>
            </w:tcBorders>
          </w:tcPr>
          <w:p>
            <w:pPr>
              <w:spacing w:after="0"/>
              <w:rPr>
                <w:sz w:val="13"/>
                <w:szCs w:val="13"/>
                <w:color w:val="auto"/>
              </w:rPr>
            </w:pPr>
          </w:p>
        </w:tc>
        <w:tc>
          <w:tcPr>
            <w:tcW w:w="33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5" w:name="page146"/>
    <w:bookmarkEnd w:id="145"/>
    <w:p>
      <w:pPr>
        <w:ind w:right="120" w:firstLine="8"/>
        <w:spacing w:after="0" w:line="287" w:lineRule="auto"/>
        <w:tabs>
          <w:tab w:leader="none" w:pos="50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Conflict. </w:t>
      </w:r>
      <w:r>
        <w:rPr>
          <w:rFonts w:ascii="Arial" w:cs="Arial" w:eastAsia="Arial" w:hAnsi="Arial"/>
          <w:sz w:val="18"/>
          <w:szCs w:val="18"/>
          <w:color w:val="auto"/>
        </w:rPr>
        <w:t>Any conflict between the printed provisions of this Lease and the typewritten or handwritten provisions shall be controlled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typewritten or handwritten provisions.</w:t>
      </w:r>
    </w:p>
    <w:p>
      <w:pPr>
        <w:spacing w:after="0" w:line="139" w:lineRule="exact"/>
        <w:rPr>
          <w:rFonts w:ascii="Arial" w:cs="Arial" w:eastAsia="Arial" w:hAnsi="Arial"/>
          <w:sz w:val="18"/>
          <w:szCs w:val="18"/>
          <w:b w:val="1"/>
          <w:bCs w:val="1"/>
          <w:color w:val="auto"/>
        </w:rPr>
      </w:pPr>
    </w:p>
    <w:p>
      <w:pPr>
        <w:ind w:right="140" w:firstLine="8"/>
        <w:spacing w:after="0" w:line="271" w:lineRule="auto"/>
        <w:tabs>
          <w:tab w:leader="none" w:pos="50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Offer. </w:t>
      </w:r>
      <w:r>
        <w:rPr>
          <w:rFonts w:ascii="Arial" w:cs="Arial" w:eastAsia="Arial" w:hAnsi="Arial"/>
          <w:sz w:val="18"/>
          <w:szCs w:val="18"/>
          <w:color w:val="auto"/>
        </w:rPr>
        <w:t>Preparation of this Lease by either Party or their agent and submission of same to the other Party shall not be deemed an offer</w:t>
      </w:r>
      <w:r>
        <w:rPr>
          <w:rFonts w:ascii="Arial" w:cs="Arial" w:eastAsia="Arial" w:hAnsi="Arial"/>
          <w:sz w:val="18"/>
          <w:szCs w:val="18"/>
          <w:b w:val="1"/>
          <w:bCs w:val="1"/>
          <w:color w:val="auto"/>
        </w:rPr>
        <w:t xml:space="preserve"> </w:t>
      </w:r>
      <w:r>
        <w:rPr>
          <w:rFonts w:ascii="Arial" w:cs="Arial" w:eastAsia="Arial" w:hAnsi="Arial"/>
          <w:sz w:val="18"/>
          <w:szCs w:val="18"/>
          <w:color w:val="auto"/>
        </w:rPr>
        <w:t>to lease to the other Party. This Lease is not intended to be binding until executed and delivered by all Parties hereto.</w:t>
      </w:r>
    </w:p>
    <w:p>
      <w:pPr>
        <w:spacing w:after="0" w:line="167" w:lineRule="exact"/>
        <w:rPr>
          <w:rFonts w:ascii="Arial" w:cs="Arial" w:eastAsia="Arial" w:hAnsi="Arial"/>
          <w:sz w:val="18"/>
          <w:szCs w:val="18"/>
          <w:b w:val="1"/>
          <w:bCs w:val="1"/>
          <w:color w:val="auto"/>
        </w:rPr>
      </w:pPr>
    </w:p>
    <w:p>
      <w:pPr>
        <w:ind w:right="160" w:firstLine="8"/>
        <w:spacing w:after="0" w:line="253" w:lineRule="auto"/>
        <w:tabs>
          <w:tab w:leader="none" w:pos="50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Amendments. </w:t>
      </w:r>
      <w:r>
        <w:rPr>
          <w:rFonts w:ascii="Arial" w:cs="Arial" w:eastAsia="Arial" w:hAnsi="Arial"/>
          <w:sz w:val="18"/>
          <w:szCs w:val="18"/>
          <w:color w:val="auto"/>
        </w:rPr>
        <w:t>This Lease may be modified only in writing, signed by the Parties in interest at the time of the modification. As long as</w:t>
      </w:r>
      <w:r>
        <w:rPr>
          <w:rFonts w:ascii="Arial" w:cs="Arial" w:eastAsia="Arial" w:hAnsi="Arial"/>
          <w:sz w:val="18"/>
          <w:szCs w:val="18"/>
          <w:b w:val="1"/>
          <w:bCs w:val="1"/>
          <w:color w:val="auto"/>
        </w:rPr>
        <w:t xml:space="preserve"> </w:t>
      </w:r>
      <w:r>
        <w:rPr>
          <w:rFonts w:ascii="Arial" w:cs="Arial" w:eastAsia="Arial" w:hAnsi="Arial"/>
          <w:sz w:val="18"/>
          <w:szCs w:val="18"/>
          <w:color w:val="auto"/>
        </w:rPr>
        <w:t>they do not materially change Lessee’s obligations hereunder, Lessee agrees to make such reasonable non-monetary modifications to this Lease as may be reasonably required by a Lender in connection with the obtaining of normal financing or refinancing of the Premises.</w:t>
      </w:r>
    </w:p>
    <w:p>
      <w:pPr>
        <w:spacing w:after="0" w:line="182" w:lineRule="exact"/>
        <w:rPr>
          <w:rFonts w:ascii="Arial" w:cs="Arial" w:eastAsia="Arial" w:hAnsi="Arial"/>
          <w:sz w:val="18"/>
          <w:szCs w:val="18"/>
          <w:b w:val="1"/>
          <w:bCs w:val="1"/>
          <w:color w:val="auto"/>
        </w:rPr>
      </w:pPr>
    </w:p>
    <w:p>
      <w:pPr>
        <w:ind w:right="440" w:firstLine="8"/>
        <w:spacing w:after="0" w:line="281" w:lineRule="auto"/>
        <w:tabs>
          <w:tab w:leader="none" w:pos="50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Waiver of Jury Trial. THE PARTIES HEREBY WAIVE THEIR RESPECTIVE RIGHTS TO TRIAL BY JURY IN ANY ACTION OR PROCEEDING INVOLVING THE PROPERTY OR ARISING OUT OF THIS AGREEMENT.</w:t>
      </w:r>
    </w:p>
    <w:p>
      <w:pPr>
        <w:spacing w:after="0" w:line="136" w:lineRule="exact"/>
        <w:rPr>
          <w:rFonts w:ascii="Arial" w:cs="Arial" w:eastAsia="Arial" w:hAnsi="Arial"/>
          <w:sz w:val="18"/>
          <w:szCs w:val="18"/>
          <w:b w:val="1"/>
          <w:bCs w:val="1"/>
          <w:color w:val="auto"/>
        </w:rPr>
      </w:pPr>
    </w:p>
    <w:p>
      <w:pPr>
        <w:ind w:right="200" w:firstLine="8"/>
        <w:spacing w:after="0" w:line="235" w:lineRule="exact"/>
        <w:tabs>
          <w:tab w:leader="none" w:pos="50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Arbitration of Disputes. </w:t>
      </w:r>
      <w:r>
        <w:rPr>
          <w:rFonts w:ascii="Arial" w:cs="Arial" w:eastAsia="Arial" w:hAnsi="Arial"/>
          <w:sz w:val="18"/>
          <w:szCs w:val="18"/>
          <w:color w:val="auto"/>
        </w:rPr>
        <w:t>An Addendum requiring the Arbitration of all disputes between the Parties and/or Brokers arising out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Lease is </w:t>
      </w:r>
      <w:r>
        <w:rPr>
          <w:rFonts w:ascii="MS PGothic" w:cs="MS PGothic" w:eastAsia="MS PGothic" w:hAnsi="MS PGothic"/>
          <w:sz w:val="18"/>
          <w:szCs w:val="18"/>
          <w:color w:val="auto"/>
        </w:rPr>
        <w:t>☒</w:t>
      </w:r>
      <w:r>
        <w:rPr>
          <w:rFonts w:ascii="Arial" w:cs="Arial" w:eastAsia="Arial" w:hAnsi="Arial"/>
          <w:sz w:val="18"/>
          <w:szCs w:val="18"/>
          <w:color w:val="auto"/>
        </w:rPr>
        <w:t xml:space="preserve"> is not </w:t>
      </w:r>
      <w:r>
        <w:rPr>
          <w:rFonts w:ascii="MS PGothic" w:cs="MS PGothic" w:eastAsia="MS PGothic" w:hAnsi="MS PGothic"/>
          <w:sz w:val="18"/>
          <w:szCs w:val="18"/>
          <w:color w:val="auto"/>
        </w:rPr>
        <w:t>☐</w:t>
      </w:r>
      <w:r>
        <w:rPr>
          <w:rFonts w:ascii="Arial" w:cs="Arial" w:eastAsia="Arial" w:hAnsi="Arial"/>
          <w:sz w:val="18"/>
          <w:szCs w:val="18"/>
          <w:color w:val="auto"/>
        </w:rPr>
        <w:t xml:space="preserve"> attached to this Lease.</w:t>
      </w:r>
    </w:p>
    <w:p>
      <w:pPr>
        <w:spacing w:after="0" w:line="273" w:lineRule="exact"/>
        <w:rPr>
          <w:rFonts w:ascii="Arial" w:cs="Arial" w:eastAsia="Arial" w:hAnsi="Arial"/>
          <w:sz w:val="18"/>
          <w:szCs w:val="18"/>
          <w:b w:val="1"/>
          <w:bCs w:val="1"/>
          <w:color w:val="auto"/>
        </w:rPr>
      </w:pPr>
    </w:p>
    <w:p>
      <w:pPr>
        <w:ind w:left="500" w:hanging="492"/>
        <w:spacing w:after="0"/>
        <w:tabs>
          <w:tab w:leader="none" w:pos="50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Accessibility; Americans with Disabilities Act.</w:t>
      </w:r>
    </w:p>
    <w:p>
      <w:pPr>
        <w:spacing w:after="0" w:line="104" w:lineRule="exact"/>
        <w:rPr>
          <w:sz w:val="20"/>
          <w:szCs w:val="20"/>
          <w:color w:val="auto"/>
        </w:rPr>
      </w:pPr>
    </w:p>
    <w:p>
      <w:pPr>
        <w:ind w:left="1620" w:hanging="466"/>
        <w:spacing w:after="0"/>
        <w:tabs>
          <w:tab w:leader="none" w:pos="162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The Premises:</w:t>
      </w:r>
    </w:p>
    <w:p>
      <w:pPr>
        <w:spacing w:after="0" w:line="103" w:lineRule="exact"/>
        <w:rPr>
          <w:rFonts w:ascii="Arial" w:cs="Arial" w:eastAsia="Arial" w:hAnsi="Arial"/>
          <w:sz w:val="18"/>
          <w:szCs w:val="18"/>
          <w:color w:val="auto"/>
        </w:rPr>
      </w:pPr>
    </w:p>
    <w:p>
      <w:pPr>
        <w:ind w:right="180" w:firstLine="8"/>
        <w:spacing w:after="0" w:line="246" w:lineRule="auto"/>
        <w:tabs>
          <w:tab w:leader="none" w:pos="212" w:val="left"/>
        </w:tabs>
        <w:numPr>
          <w:ilvl w:val="0"/>
          <w:numId w:val="141"/>
        </w:numPr>
        <w:rPr>
          <w:rFonts w:ascii="MS PGothic" w:cs="MS PGothic" w:eastAsia="MS PGothic" w:hAnsi="MS PGothic"/>
          <w:sz w:val="18"/>
          <w:szCs w:val="18"/>
          <w:color w:val="auto"/>
        </w:rPr>
      </w:pPr>
      <w:r>
        <w:rPr>
          <w:rFonts w:ascii="Arial" w:cs="Arial" w:eastAsia="Arial" w:hAnsi="Arial"/>
          <w:sz w:val="18"/>
          <w:szCs w:val="18"/>
          <w:color w:val="auto"/>
        </w:rPr>
        <w:t>have not undergone an inspection by a Certified Access Specialist (CASp). Note: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w:t>
      </w:r>
    </w:p>
    <w:p>
      <w:pPr>
        <w:spacing w:after="0" w:line="189" w:lineRule="exact"/>
        <w:rPr>
          <w:sz w:val="20"/>
          <w:szCs w:val="20"/>
          <w:color w:val="auto"/>
        </w:rPr>
      </w:pPr>
    </w:p>
    <w:p>
      <w:pPr>
        <w:ind w:right="160" w:firstLine="8"/>
        <w:spacing w:after="0" w:line="253" w:lineRule="auto"/>
        <w:tabs>
          <w:tab w:leader="none" w:pos="212" w:val="left"/>
        </w:tabs>
        <w:numPr>
          <w:ilvl w:val="0"/>
          <w:numId w:val="142"/>
        </w:numPr>
        <w:rPr>
          <w:rFonts w:ascii="MS PGothic" w:cs="MS PGothic" w:eastAsia="MS PGothic" w:hAnsi="MS PGothic"/>
          <w:sz w:val="18"/>
          <w:szCs w:val="18"/>
          <w:color w:val="auto"/>
        </w:rPr>
      </w:pPr>
      <w:r>
        <w:rPr>
          <w:rFonts w:ascii="Arial" w:cs="Arial" w:eastAsia="Arial" w:hAnsi="Arial"/>
          <w:sz w:val="18"/>
          <w:szCs w:val="18"/>
          <w:color w:val="auto"/>
        </w:rPr>
        <w:t>have undergone an inspection by a Certified Access Specialist (CASp) and it was determined that the Premises met all applicable construction-related accessibility standards pursuant to California Civil Code $55.51 et seq. Lessee acknowledges that it received a copy of the inspection report at least 48 hours prior to executing this Lease and agrees to keep such report confidential.</w:t>
      </w:r>
    </w:p>
    <w:p>
      <w:pPr>
        <w:spacing w:after="0" w:line="182" w:lineRule="exact"/>
        <w:rPr>
          <w:rFonts w:ascii="MS PGothic" w:cs="MS PGothic" w:eastAsia="MS PGothic" w:hAnsi="MS PGothic"/>
          <w:sz w:val="18"/>
          <w:szCs w:val="18"/>
          <w:color w:val="auto"/>
        </w:rPr>
      </w:pPr>
    </w:p>
    <w:p>
      <w:pPr>
        <w:ind w:right="20" w:firstLine="8"/>
        <w:spacing w:after="0" w:line="252" w:lineRule="auto"/>
        <w:tabs>
          <w:tab w:leader="none" w:pos="212" w:val="left"/>
        </w:tabs>
        <w:numPr>
          <w:ilvl w:val="0"/>
          <w:numId w:val="142"/>
        </w:numPr>
        <w:rPr>
          <w:rFonts w:ascii="MS PGothic" w:cs="MS PGothic" w:eastAsia="MS PGothic" w:hAnsi="MS PGothic"/>
          <w:sz w:val="18"/>
          <w:szCs w:val="18"/>
          <w:color w:val="auto"/>
        </w:rPr>
      </w:pPr>
      <w:r>
        <w:rPr>
          <w:rFonts w:ascii="Arial" w:cs="Arial" w:eastAsia="Arial" w:hAnsi="Arial"/>
          <w:sz w:val="18"/>
          <w:szCs w:val="18"/>
          <w:color w:val="auto"/>
        </w:rPr>
        <w:t>have undergone an inspection by a Certified Access Specialist (CASp) and it was determined that the Premises did not meet all applicable construction-related accessibility standards pursuant to California Civil Code $55.51 et seq. Lessee acknowledges that it received a copy of the inspection report at least 48 hours prior to executing this Lease and agrees to keep such report confidential except as necessary to complete repairs and corrections of violations of construction related accessibility standards.</w:t>
      </w:r>
    </w:p>
    <w:p>
      <w:pPr>
        <w:spacing w:after="0" w:line="170"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In the event that the Premises have been issued an inspection report by a CASp the Lessor shall provide a copy of the disability access inspection certificate to Lessee within? days of the execution of this Lease.</w:t>
      </w:r>
    </w:p>
    <w:p>
      <w:pPr>
        <w:spacing w:after="0" w:line="154" w:lineRule="exact"/>
        <w:rPr>
          <w:sz w:val="20"/>
          <w:szCs w:val="20"/>
          <w:color w:val="auto"/>
        </w:rPr>
      </w:pPr>
    </w:p>
    <w:p>
      <w:pPr>
        <w:ind w:right="40" w:firstLine="1161"/>
        <w:spacing w:after="0" w:line="247" w:lineRule="auto"/>
        <w:tabs>
          <w:tab w:leader="none" w:pos="1623"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Since compliance with the Americans with Disabilities Act (ADA) and other state and local accessibility statutes are dependent upon Lessee’s specific use of the Premises, Lessor makes no warranty or representation as to whether or not the Premises comply with ADA or any similar legislation. In the event that Lessee’s use of the Premises requires modifications or additions to the Premises in order to be in compliance with ADA or other accessibility statutes, Lessee agrees to make any such necessary modifications and/or additions at Lessee’s expense.</w:t>
      </w:r>
    </w:p>
    <w:p>
      <w:pPr>
        <w:spacing w:after="0" w:line="177" w:lineRule="exact"/>
        <w:rPr>
          <w:sz w:val="20"/>
          <w:szCs w:val="20"/>
          <w:color w:val="auto"/>
        </w:rPr>
      </w:pPr>
    </w:p>
    <w:p>
      <w:pPr>
        <w:ind w:right="360"/>
        <w:spacing w:after="0" w:line="275" w:lineRule="auto"/>
        <w:rPr>
          <w:sz w:val="20"/>
          <w:szCs w:val="20"/>
          <w:color w:val="auto"/>
        </w:rPr>
      </w:pPr>
      <w:r>
        <w:rPr>
          <w:rFonts w:ascii="Arial" w:cs="Arial" w:eastAsia="Arial" w:hAnsi="Arial"/>
          <w:sz w:val="17"/>
          <w:szCs w:val="17"/>
          <w:b w:val="1"/>
          <w:bCs w:val="1"/>
          <w:color w:val="auto"/>
        </w:rPr>
        <w:t>LESSOR AND LESSEE HAVE CAREFULLY READ AND REVIEWED THIS LEASE AND EACH TERM AND PROVISION CONTAINED HEREIN, AND BY THE EXECUTION OF THIS LEASE SHOW THEIR INFORMED AND VOLUNTARY CONSENT THERETO. THE PARTIES HEREBY AGREE THAT, AT THE TIME THIS LEASE IS EXECUTED, THE TERMS OF THIS LEASE ARE COMMERCIALLY REASONABLE AND EFFECTUATE THE INTENT AND PURPOSE OF LESSOR AND LESSEE WITH RESPECT TO THE PREMISES.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INITIALS</w:t>
            </w:r>
          </w:p>
        </w:tc>
        <w:tc>
          <w:tcPr>
            <w:tcW w:w="3960" w:type="dxa"/>
            <w:vAlign w:val="bottom"/>
          </w:tcPr>
          <w:p>
            <w:pPr>
              <w:ind w:left="1460"/>
              <w:spacing w:after="0"/>
              <w:rPr>
                <w:sz w:val="20"/>
                <w:szCs w:val="20"/>
                <w:color w:val="auto"/>
              </w:rPr>
            </w:pPr>
            <w:r>
              <w:rPr>
                <w:rFonts w:ascii="Arial" w:cs="Arial" w:eastAsia="Arial" w:hAnsi="Arial"/>
                <w:sz w:val="18"/>
                <w:szCs w:val="18"/>
                <w:color w:val="auto"/>
              </w:rPr>
              <w:t>Page 27 of 28</w:t>
            </w:r>
          </w:p>
        </w:tc>
        <w:tc>
          <w:tcPr>
            <w:tcW w:w="3380" w:type="dxa"/>
            <w:vAlign w:val="bottom"/>
            <w:vMerge w:val="restart"/>
          </w:tcPr>
          <w:p>
            <w:pPr>
              <w:jc w:val="right"/>
              <w:spacing w:after="0"/>
              <w:rPr>
                <w:sz w:val="20"/>
                <w:szCs w:val="20"/>
                <w:color w:val="auto"/>
              </w:rPr>
            </w:pPr>
            <w:r>
              <w:rPr>
                <w:rFonts w:ascii="Arial" w:cs="Arial" w:eastAsia="Arial" w:hAnsi="Arial"/>
                <w:sz w:val="18"/>
                <w:szCs w:val="18"/>
                <w:color w:val="auto"/>
              </w:rPr>
              <w:t>INITIALS</w:t>
            </w:r>
          </w:p>
        </w:tc>
        <w:tc>
          <w:tcPr>
            <w:tcW w:w="0" w:type="dxa"/>
            <w:vAlign w:val="bottom"/>
          </w:tcPr>
          <w:p>
            <w:pPr>
              <w:spacing w:after="0"/>
              <w:rPr>
                <w:sz w:val="1"/>
                <w:szCs w:val="1"/>
                <w:color w:val="auto"/>
              </w:rPr>
            </w:pPr>
          </w:p>
        </w:tc>
      </w:tr>
      <w:tr>
        <w:trPr>
          <w:trHeight w:val="95"/>
        </w:trPr>
        <w:tc>
          <w:tcPr>
            <w:tcW w:w="3900" w:type="dxa"/>
            <w:vAlign w:val="bottom"/>
            <w:vMerge w:val="continue"/>
          </w:tcPr>
          <w:p>
            <w:pPr>
              <w:spacing w:after="0"/>
              <w:rPr>
                <w:sz w:val="8"/>
                <w:szCs w:val="8"/>
                <w:color w:val="auto"/>
              </w:rPr>
            </w:pPr>
          </w:p>
        </w:tc>
        <w:tc>
          <w:tcPr>
            <w:tcW w:w="3960" w:type="dxa"/>
            <w:vAlign w:val="bottom"/>
            <w:vMerge w:val="restart"/>
          </w:tcPr>
          <w:p>
            <w:pPr>
              <w:ind w:left="780"/>
              <w:spacing w:after="0"/>
              <w:rPr>
                <w:sz w:val="20"/>
                <w:szCs w:val="20"/>
                <w:color w:val="auto"/>
              </w:rPr>
            </w:pPr>
            <w:r>
              <w:rPr>
                <w:rFonts w:ascii="Arial" w:cs="Arial" w:eastAsia="Arial" w:hAnsi="Arial"/>
                <w:sz w:val="18"/>
                <w:szCs w:val="18"/>
                <w:color w:val="auto"/>
              </w:rPr>
              <w:t>Last Edited 2/7/2018 1:59 PM</w:t>
            </w:r>
          </w:p>
        </w:tc>
        <w:tc>
          <w:tcPr>
            <w:tcW w:w="3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 2017 AIR CRE. All Rights Reserved.</w:t>
            </w:r>
          </w:p>
        </w:tc>
        <w:tc>
          <w:tcPr>
            <w:tcW w:w="3960" w:type="dxa"/>
            <w:vAlign w:val="bottom"/>
            <w:vMerge w:val="continue"/>
          </w:tcPr>
          <w:p>
            <w:pPr>
              <w:spacing w:after="0"/>
              <w:rPr>
                <w:sz w:val="12"/>
                <w:szCs w:val="12"/>
                <w:color w:val="auto"/>
              </w:rPr>
            </w:pPr>
          </w:p>
        </w:tc>
        <w:tc>
          <w:tcPr>
            <w:tcW w:w="3380" w:type="dxa"/>
            <w:vAlign w:val="bottom"/>
            <w:vMerge w:val="restart"/>
          </w:tcPr>
          <w:p>
            <w:pPr>
              <w:jc w:val="right"/>
              <w:spacing w:after="0"/>
              <w:rPr>
                <w:sz w:val="20"/>
                <w:szCs w:val="20"/>
                <w:color w:val="auto"/>
              </w:rPr>
            </w:pPr>
            <w:r>
              <w:rPr>
                <w:rFonts w:ascii="Arial" w:cs="Arial" w:eastAsia="Arial" w:hAnsi="Arial"/>
                <w:sz w:val="18"/>
                <w:szCs w:val="18"/>
                <w:color w:val="auto"/>
              </w:rPr>
              <w:t>STN-27.10, Revised 11-01-2017</w:t>
            </w:r>
          </w:p>
        </w:tc>
        <w:tc>
          <w:tcPr>
            <w:tcW w:w="0" w:type="dxa"/>
            <w:vAlign w:val="bottom"/>
          </w:tcPr>
          <w:p>
            <w:pPr>
              <w:spacing w:after="0"/>
              <w:rPr>
                <w:sz w:val="1"/>
                <w:szCs w:val="1"/>
                <w:color w:val="auto"/>
              </w:rPr>
            </w:pPr>
          </w:p>
        </w:tc>
      </w:tr>
      <w:tr>
        <w:trPr>
          <w:trHeight w:val="94"/>
        </w:trPr>
        <w:tc>
          <w:tcPr>
            <w:tcW w:w="3900" w:type="dxa"/>
            <w:vAlign w:val="bottom"/>
            <w:vMerge w:val="continue"/>
          </w:tcPr>
          <w:p>
            <w:pPr>
              <w:spacing w:after="0"/>
              <w:rPr>
                <w:sz w:val="8"/>
                <w:szCs w:val="8"/>
                <w:color w:val="auto"/>
              </w:rPr>
            </w:pPr>
          </w:p>
        </w:tc>
        <w:tc>
          <w:tcPr>
            <w:tcW w:w="3960" w:type="dxa"/>
            <w:vAlign w:val="bottom"/>
          </w:tcPr>
          <w:p>
            <w:pPr>
              <w:spacing w:after="0"/>
              <w:rPr>
                <w:sz w:val="8"/>
                <w:szCs w:val="8"/>
                <w:color w:val="auto"/>
              </w:rPr>
            </w:pPr>
          </w:p>
        </w:tc>
        <w:tc>
          <w:tcPr>
            <w:tcW w:w="3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3900" w:type="dxa"/>
            <w:vAlign w:val="bottom"/>
            <w:tcBorders>
              <w:bottom w:val="single" w:sz="8" w:color="9A9A9A"/>
            </w:tcBorders>
          </w:tcPr>
          <w:p>
            <w:pPr>
              <w:spacing w:after="0"/>
              <w:rPr>
                <w:sz w:val="12"/>
                <w:szCs w:val="12"/>
                <w:color w:val="auto"/>
              </w:rPr>
            </w:pPr>
          </w:p>
        </w:tc>
        <w:tc>
          <w:tcPr>
            <w:tcW w:w="3960" w:type="dxa"/>
            <w:vAlign w:val="bottom"/>
            <w:tcBorders>
              <w:bottom w:val="single" w:sz="8" w:color="9A9A9A"/>
            </w:tcBorders>
          </w:tcPr>
          <w:p>
            <w:pPr>
              <w:spacing w:after="0"/>
              <w:rPr>
                <w:sz w:val="12"/>
                <w:szCs w:val="12"/>
                <w:color w:val="auto"/>
              </w:rPr>
            </w:pPr>
          </w:p>
        </w:tc>
        <w:tc>
          <w:tcPr>
            <w:tcW w:w="33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6" w:name="page147"/>
    <w:bookmarkEnd w:id="146"/>
    <w:p>
      <w:pPr>
        <w:ind w:right="260"/>
        <w:spacing w:after="0" w:line="265" w:lineRule="auto"/>
        <w:rPr>
          <w:sz w:val="20"/>
          <w:szCs w:val="20"/>
          <w:color w:val="auto"/>
        </w:rPr>
      </w:pPr>
      <w:r>
        <w:rPr>
          <w:rFonts w:ascii="Arial" w:cs="Arial" w:eastAsia="Arial" w:hAnsi="Arial"/>
          <w:sz w:val="18"/>
          <w:szCs w:val="18"/>
          <w:b w:val="1"/>
          <w:bCs w:val="1"/>
          <w:color w:val="auto"/>
        </w:rPr>
        <w:t>ATTENTION: NO REPRESENTATION OR RECOMMENDATION IS MADE BY AIR CRE OR BY ANY BROKER AS TO THE LEGAL SUFFICIENCY, LEGAL EFFECT, OR TAX CONSEQUENCES OF THIS LEASE OR THE TRANSACTION TO WHICH IT RELATES. THE PARTIES ARE URGED TO:</w:t>
      </w:r>
    </w:p>
    <w:p>
      <w:pPr>
        <w:spacing w:after="0" w:line="43" w:lineRule="exact"/>
        <w:rPr>
          <w:sz w:val="20"/>
          <w:szCs w:val="20"/>
          <w:color w:val="auto"/>
        </w:rPr>
      </w:pPr>
    </w:p>
    <w:p>
      <w:pPr>
        <w:ind w:left="200" w:hanging="192"/>
        <w:spacing w:after="0"/>
        <w:tabs>
          <w:tab w:leader="none" w:pos="20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SEEK ADVICE OF COUNSEL AS TO THE LEGAL AND TAX CONSEQUENCES OF THIS LEASE.</w:t>
      </w:r>
    </w:p>
    <w:p>
      <w:pPr>
        <w:spacing w:after="0" w:line="117" w:lineRule="exact"/>
        <w:rPr>
          <w:rFonts w:ascii="Arial" w:cs="Arial" w:eastAsia="Arial" w:hAnsi="Arial"/>
          <w:sz w:val="18"/>
          <w:szCs w:val="18"/>
          <w:b w:val="1"/>
          <w:bCs w:val="1"/>
          <w:color w:val="auto"/>
        </w:rPr>
      </w:pPr>
    </w:p>
    <w:p>
      <w:pPr>
        <w:ind w:right="260" w:firstLine="8"/>
        <w:spacing w:after="0" w:line="255" w:lineRule="auto"/>
        <w:tabs>
          <w:tab w:leader="none" w:pos="20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RETAIN APPROPRIATE CONSULTANTS TO REVIEW AND INVESTIGATE THE CONDITION OF THE PREMISES. SAID INVESTIGATION SHOULD INCLUDE BUT NOT BE LIMITED TO: THE POSSIBLE PRESENCE OF HAZARDOUS SUBSTANCES, THE ZONING OF THE PREMISES, THE STRUCTURAL INTEGRITY, THE CONDITION OF THE ROOF AND OPERATING SYSTEMS, AND THE SUITABILITY OF THE PREMISES FOR LESSEE’S INTENDED USE.</w:t>
      </w:r>
    </w:p>
    <w:p>
      <w:pPr>
        <w:spacing w:after="0" w:line="52" w:lineRule="exact"/>
        <w:rPr>
          <w:sz w:val="20"/>
          <w:szCs w:val="20"/>
          <w:color w:val="auto"/>
        </w:rPr>
      </w:pPr>
    </w:p>
    <w:p>
      <w:pPr>
        <w:ind w:right="100"/>
        <w:spacing w:after="0" w:line="281" w:lineRule="auto"/>
        <w:rPr>
          <w:sz w:val="20"/>
          <w:szCs w:val="20"/>
          <w:color w:val="auto"/>
        </w:rPr>
      </w:pPr>
      <w:r>
        <w:rPr>
          <w:rFonts w:ascii="Arial" w:cs="Arial" w:eastAsia="Arial" w:hAnsi="Arial"/>
          <w:sz w:val="18"/>
          <w:szCs w:val="18"/>
          <w:b w:val="1"/>
          <w:bCs w:val="1"/>
          <w:color w:val="auto"/>
        </w:rPr>
        <w:t>WARNING: IF THE PREMISES ARE LOCATED IN A STATE OTHER THAN CALIFORNIA, CERTAIN PROVISIONS OF THE LEASE MAY NEED TO BE REVISED TO COMPLY WITH THE LAWS OF THE STATE IN WHICH THE PREMISES ARE LOCATED.</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The parties hereto have executed this Lease at the place and on the dates specified above their respective signatures.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INITIALS</w:t>
            </w:r>
          </w:p>
        </w:tc>
        <w:tc>
          <w:tcPr>
            <w:tcW w:w="3960" w:type="dxa"/>
            <w:vAlign w:val="bottom"/>
          </w:tcPr>
          <w:p>
            <w:pPr>
              <w:ind w:left="1460"/>
              <w:spacing w:after="0"/>
              <w:rPr>
                <w:sz w:val="20"/>
                <w:szCs w:val="20"/>
                <w:color w:val="auto"/>
              </w:rPr>
            </w:pPr>
            <w:r>
              <w:rPr>
                <w:rFonts w:ascii="Arial" w:cs="Arial" w:eastAsia="Arial" w:hAnsi="Arial"/>
                <w:sz w:val="18"/>
                <w:szCs w:val="18"/>
                <w:color w:val="auto"/>
              </w:rPr>
              <w:t>Page 28 of 28</w:t>
            </w:r>
          </w:p>
        </w:tc>
        <w:tc>
          <w:tcPr>
            <w:tcW w:w="3380" w:type="dxa"/>
            <w:vAlign w:val="bottom"/>
            <w:vMerge w:val="restart"/>
          </w:tcPr>
          <w:p>
            <w:pPr>
              <w:jc w:val="right"/>
              <w:spacing w:after="0"/>
              <w:rPr>
                <w:sz w:val="20"/>
                <w:szCs w:val="20"/>
                <w:color w:val="auto"/>
              </w:rPr>
            </w:pPr>
            <w:r>
              <w:rPr>
                <w:rFonts w:ascii="Arial" w:cs="Arial" w:eastAsia="Arial" w:hAnsi="Arial"/>
                <w:sz w:val="18"/>
                <w:szCs w:val="18"/>
                <w:color w:val="auto"/>
              </w:rPr>
              <w:t>INITIALS</w:t>
            </w:r>
          </w:p>
        </w:tc>
        <w:tc>
          <w:tcPr>
            <w:tcW w:w="0" w:type="dxa"/>
            <w:vAlign w:val="bottom"/>
          </w:tcPr>
          <w:p>
            <w:pPr>
              <w:spacing w:after="0"/>
              <w:rPr>
                <w:sz w:val="1"/>
                <w:szCs w:val="1"/>
                <w:color w:val="auto"/>
              </w:rPr>
            </w:pPr>
          </w:p>
        </w:tc>
      </w:tr>
      <w:tr>
        <w:trPr>
          <w:trHeight w:val="94"/>
        </w:trPr>
        <w:tc>
          <w:tcPr>
            <w:tcW w:w="3900" w:type="dxa"/>
            <w:vAlign w:val="bottom"/>
            <w:vMerge w:val="continue"/>
          </w:tcPr>
          <w:p>
            <w:pPr>
              <w:spacing w:after="0"/>
              <w:rPr>
                <w:sz w:val="8"/>
                <w:szCs w:val="8"/>
                <w:color w:val="auto"/>
              </w:rPr>
            </w:pPr>
          </w:p>
        </w:tc>
        <w:tc>
          <w:tcPr>
            <w:tcW w:w="3960" w:type="dxa"/>
            <w:vAlign w:val="bottom"/>
            <w:vMerge w:val="restart"/>
          </w:tcPr>
          <w:p>
            <w:pPr>
              <w:ind w:left="780"/>
              <w:spacing w:after="0"/>
              <w:rPr>
                <w:sz w:val="20"/>
                <w:szCs w:val="20"/>
                <w:color w:val="auto"/>
              </w:rPr>
            </w:pPr>
            <w:r>
              <w:rPr>
                <w:rFonts w:ascii="Arial" w:cs="Arial" w:eastAsia="Arial" w:hAnsi="Arial"/>
                <w:sz w:val="18"/>
                <w:szCs w:val="18"/>
                <w:color w:val="auto"/>
              </w:rPr>
              <w:t>Last Edited 2/7/2018 1:59 PM</w:t>
            </w:r>
          </w:p>
        </w:tc>
        <w:tc>
          <w:tcPr>
            <w:tcW w:w="3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 2017 AIR CRE. All Rights Reserved.</w:t>
            </w:r>
          </w:p>
        </w:tc>
        <w:tc>
          <w:tcPr>
            <w:tcW w:w="3960" w:type="dxa"/>
            <w:vAlign w:val="bottom"/>
            <w:vMerge w:val="continue"/>
          </w:tcPr>
          <w:p>
            <w:pPr>
              <w:spacing w:after="0"/>
              <w:rPr>
                <w:sz w:val="12"/>
                <w:szCs w:val="12"/>
                <w:color w:val="auto"/>
              </w:rPr>
            </w:pPr>
          </w:p>
        </w:tc>
        <w:tc>
          <w:tcPr>
            <w:tcW w:w="3380" w:type="dxa"/>
            <w:vAlign w:val="bottom"/>
            <w:vMerge w:val="restart"/>
          </w:tcPr>
          <w:p>
            <w:pPr>
              <w:jc w:val="right"/>
              <w:spacing w:after="0"/>
              <w:rPr>
                <w:sz w:val="20"/>
                <w:szCs w:val="20"/>
                <w:color w:val="auto"/>
              </w:rPr>
            </w:pPr>
            <w:r>
              <w:rPr>
                <w:rFonts w:ascii="Arial" w:cs="Arial" w:eastAsia="Arial" w:hAnsi="Arial"/>
                <w:sz w:val="18"/>
                <w:szCs w:val="18"/>
                <w:color w:val="auto"/>
              </w:rPr>
              <w:t>STN-27.10, Revised 11-01-2017</w:t>
            </w:r>
          </w:p>
        </w:tc>
        <w:tc>
          <w:tcPr>
            <w:tcW w:w="0" w:type="dxa"/>
            <w:vAlign w:val="bottom"/>
          </w:tcPr>
          <w:p>
            <w:pPr>
              <w:spacing w:after="0"/>
              <w:rPr>
                <w:sz w:val="1"/>
                <w:szCs w:val="1"/>
                <w:color w:val="auto"/>
              </w:rPr>
            </w:pPr>
          </w:p>
        </w:tc>
      </w:tr>
      <w:tr>
        <w:trPr>
          <w:trHeight w:val="94"/>
        </w:trPr>
        <w:tc>
          <w:tcPr>
            <w:tcW w:w="3900" w:type="dxa"/>
            <w:vAlign w:val="bottom"/>
            <w:vMerge w:val="continue"/>
          </w:tcPr>
          <w:p>
            <w:pPr>
              <w:spacing w:after="0"/>
              <w:rPr>
                <w:sz w:val="8"/>
                <w:szCs w:val="8"/>
                <w:color w:val="auto"/>
              </w:rPr>
            </w:pPr>
          </w:p>
        </w:tc>
        <w:tc>
          <w:tcPr>
            <w:tcW w:w="3960" w:type="dxa"/>
            <w:vAlign w:val="bottom"/>
          </w:tcPr>
          <w:p>
            <w:pPr>
              <w:spacing w:after="0"/>
              <w:rPr>
                <w:sz w:val="8"/>
                <w:szCs w:val="8"/>
                <w:color w:val="auto"/>
              </w:rPr>
            </w:pPr>
          </w:p>
        </w:tc>
        <w:tc>
          <w:tcPr>
            <w:tcW w:w="3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3900" w:type="dxa"/>
            <w:vAlign w:val="bottom"/>
            <w:tcBorders>
              <w:bottom w:val="single" w:sz="8" w:color="9A9A9A"/>
            </w:tcBorders>
          </w:tcPr>
          <w:p>
            <w:pPr>
              <w:spacing w:after="0"/>
              <w:rPr>
                <w:sz w:val="13"/>
                <w:szCs w:val="13"/>
                <w:color w:val="auto"/>
              </w:rPr>
            </w:pPr>
          </w:p>
        </w:tc>
        <w:tc>
          <w:tcPr>
            <w:tcW w:w="3960" w:type="dxa"/>
            <w:vAlign w:val="bottom"/>
            <w:tcBorders>
              <w:bottom w:val="single" w:sz="8" w:color="9A9A9A"/>
            </w:tcBorders>
          </w:tcPr>
          <w:p>
            <w:pPr>
              <w:spacing w:after="0"/>
              <w:rPr>
                <w:sz w:val="13"/>
                <w:szCs w:val="13"/>
                <w:color w:val="auto"/>
              </w:rPr>
            </w:pPr>
          </w:p>
        </w:tc>
        <w:tc>
          <w:tcPr>
            <w:tcW w:w="33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47" w:name="page148"/>
    <w:bookmarkEnd w:id="147"/>
    <w:tbl>
      <w:tblPr>
        <w:tblLayout w:type="fixed"/>
        <w:tblInd w:w="20" w:type="dxa"/>
        <w:tblCellMar>
          <w:top w:w="0" w:type="dxa"/>
          <w:left w:w="0" w:type="dxa"/>
          <w:bottom w:w="0" w:type="dxa"/>
          <w:right w:w="0" w:type="dxa"/>
        </w:tblCellMar>
      </w:tblPr>
      <w:tr>
        <w:trPr>
          <w:trHeight w:val="184"/>
        </w:trPr>
        <w:tc>
          <w:tcPr>
            <w:tcW w:w="1260" w:type="dxa"/>
            <w:vAlign w:val="bottom"/>
            <w:gridSpan w:val="9"/>
          </w:tcPr>
          <w:p>
            <w:pPr>
              <w:spacing w:after="0"/>
              <w:rPr>
                <w:sz w:val="20"/>
                <w:szCs w:val="20"/>
                <w:color w:val="auto"/>
              </w:rPr>
            </w:pPr>
            <w:r>
              <w:rPr>
                <w:rFonts w:ascii="Arial" w:cs="Arial" w:eastAsia="Arial" w:hAnsi="Arial"/>
                <w:sz w:val="16"/>
                <w:szCs w:val="16"/>
                <w:color w:val="auto"/>
              </w:rPr>
              <w:t>Executed at:</w:t>
            </w:r>
          </w:p>
        </w:tc>
        <w:tc>
          <w:tcPr>
            <w:tcW w:w="4820" w:type="dxa"/>
            <w:vAlign w:val="bottom"/>
            <w:gridSpan w:val="6"/>
          </w:tcPr>
          <w:p>
            <w:pPr>
              <w:ind w:left="100"/>
              <w:spacing w:after="0"/>
              <w:rPr>
                <w:sz w:val="20"/>
                <w:szCs w:val="20"/>
                <w:color w:val="auto"/>
              </w:rPr>
            </w:pPr>
            <w:r>
              <w:rPr>
                <w:rFonts w:ascii="Arial" w:cs="Arial" w:eastAsia="Arial" w:hAnsi="Arial"/>
                <w:sz w:val="16"/>
                <w:szCs w:val="16"/>
                <w:color w:val="auto"/>
              </w:rPr>
              <w:t>Newport Beach</w:t>
            </w:r>
          </w:p>
        </w:tc>
        <w:tc>
          <w:tcPr>
            <w:tcW w:w="980" w:type="dxa"/>
            <w:vAlign w:val="bottom"/>
            <w:gridSpan w:val="14"/>
          </w:tcPr>
          <w:p>
            <w:pPr>
              <w:spacing w:after="0"/>
              <w:rPr>
                <w:sz w:val="20"/>
                <w:szCs w:val="20"/>
                <w:color w:val="auto"/>
              </w:rPr>
            </w:pPr>
            <w:r>
              <w:rPr>
                <w:rFonts w:ascii="Arial" w:cs="Arial" w:eastAsia="Arial" w:hAnsi="Arial"/>
                <w:sz w:val="16"/>
                <w:szCs w:val="16"/>
                <w:color w:val="auto"/>
              </w:rPr>
              <w:t>Executed</w:t>
            </w:r>
          </w:p>
        </w:tc>
        <w:tc>
          <w:tcPr>
            <w:tcW w:w="4140" w:type="dxa"/>
            <w:vAlign w:val="bottom"/>
            <w:gridSpan w:val="6"/>
          </w:tcPr>
          <w:p>
            <w:pPr>
              <w:jc w:val="right"/>
              <w:ind w:right="3060"/>
              <w:spacing w:after="0"/>
              <w:rPr>
                <w:sz w:val="20"/>
                <w:szCs w:val="20"/>
                <w:color w:val="auto"/>
              </w:rPr>
            </w:pPr>
            <w:r>
              <w:rPr>
                <w:rFonts w:ascii="Arial" w:cs="Arial" w:eastAsia="Arial" w:hAnsi="Arial"/>
                <w:sz w:val="16"/>
                <w:szCs w:val="16"/>
                <w:color w:val="auto"/>
              </w:rPr>
              <w:t>Aliso Viejo, CA</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3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gridSpan w:val="4"/>
          </w:tcPr>
          <w:p>
            <w:pPr>
              <w:spacing w:after="0" w:line="168" w:lineRule="exact"/>
              <w:rPr>
                <w:sz w:val="20"/>
                <w:szCs w:val="20"/>
                <w:color w:val="auto"/>
              </w:rPr>
            </w:pPr>
            <w:r>
              <w:rPr>
                <w:rFonts w:ascii="Arial" w:cs="Arial" w:eastAsia="Arial" w:hAnsi="Arial"/>
                <w:sz w:val="16"/>
                <w:szCs w:val="16"/>
                <w:color w:val="auto"/>
              </w:rPr>
              <w:t>at: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40" w:type="dxa"/>
            <w:vAlign w:val="bottom"/>
            <w:gridSpan w:val="4"/>
          </w:tcPr>
          <w:p>
            <w:pPr>
              <w:spacing w:after="0" w:line="176" w:lineRule="exact"/>
              <w:rPr>
                <w:sz w:val="20"/>
                <w:szCs w:val="20"/>
                <w:color w:val="auto"/>
              </w:rPr>
            </w:pPr>
            <w:r>
              <w:rPr>
                <w:rFonts w:ascii="Arial" w:cs="Arial" w:eastAsia="Arial" w:hAnsi="Arial"/>
                <w:sz w:val="16"/>
                <w:szCs w:val="16"/>
                <w:color w:val="auto"/>
              </w:rPr>
              <w:t>On:</w:t>
            </w:r>
          </w:p>
        </w:tc>
        <w:tc>
          <w:tcPr>
            <w:tcW w:w="5540" w:type="dxa"/>
            <w:vAlign w:val="bottom"/>
            <w:gridSpan w:val="11"/>
          </w:tcPr>
          <w:p>
            <w:pPr>
              <w:spacing w:after="0" w:line="176" w:lineRule="exact"/>
              <w:rPr>
                <w:sz w:val="20"/>
                <w:szCs w:val="20"/>
                <w:color w:val="auto"/>
              </w:rPr>
            </w:pPr>
            <w:r>
              <w:rPr>
                <w:rFonts w:ascii="Arial" w:cs="Arial" w:eastAsia="Arial" w:hAnsi="Arial"/>
                <w:sz w:val="16"/>
                <w:szCs w:val="16"/>
                <w:color w:val="auto"/>
              </w:rPr>
              <w:t>Feb 14, 2018</w:t>
            </w:r>
          </w:p>
        </w:tc>
        <w:tc>
          <w:tcPr>
            <w:tcW w:w="5120" w:type="dxa"/>
            <w:vAlign w:val="bottom"/>
            <w:gridSpan w:val="20"/>
          </w:tcPr>
          <w:p>
            <w:pPr>
              <w:spacing w:after="0" w:line="176" w:lineRule="exact"/>
              <w:rPr>
                <w:sz w:val="20"/>
                <w:szCs w:val="20"/>
                <w:color w:val="auto"/>
              </w:rPr>
            </w:pPr>
            <w:r>
              <w:rPr>
                <w:rFonts w:ascii="Arial" w:cs="Arial" w:eastAsia="Arial" w:hAnsi="Arial"/>
                <w:sz w:val="16"/>
                <w:szCs w:val="16"/>
                <w:color w:val="auto"/>
              </w:rPr>
              <w:t>On:  February 8, 2018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right w:val="single" w:sz="8" w:color="auto"/>
            </w:tcBorders>
            <w:gridSpan w:val="2"/>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7"/>
        </w:trPr>
        <w:tc>
          <w:tcPr>
            <w:tcW w:w="1260" w:type="dxa"/>
            <w:vAlign w:val="bottom"/>
            <w:gridSpan w:val="9"/>
          </w:tcPr>
          <w:p>
            <w:pPr>
              <w:spacing w:after="0"/>
              <w:rPr>
                <w:sz w:val="20"/>
                <w:szCs w:val="20"/>
                <w:color w:val="auto"/>
              </w:rPr>
            </w:pPr>
            <w:r>
              <w:rPr>
                <w:rFonts w:ascii="Arial" w:cs="Arial" w:eastAsia="Arial" w:hAnsi="Arial"/>
                <w:sz w:val="16"/>
                <w:szCs w:val="16"/>
                <w:b w:val="1"/>
                <w:bCs w:val="1"/>
                <w:color w:val="auto"/>
              </w:rPr>
              <w:t>By LESSOR:</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14"/>
          </w:tcPr>
          <w:p>
            <w:pPr>
              <w:spacing w:after="0"/>
              <w:rPr>
                <w:sz w:val="20"/>
                <w:szCs w:val="20"/>
                <w:color w:val="auto"/>
              </w:rPr>
            </w:pPr>
            <w:r>
              <w:rPr>
                <w:rFonts w:ascii="Arial" w:cs="Arial" w:eastAsia="Arial" w:hAnsi="Arial"/>
                <w:sz w:val="16"/>
                <w:szCs w:val="16"/>
                <w:b w:val="1"/>
                <w:bCs w:val="1"/>
                <w:color w:val="auto"/>
              </w:rPr>
              <w:t>By LESSEE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60" w:type="dxa"/>
            <w:vAlign w:val="bottom"/>
            <w:gridSpan w:val="9"/>
          </w:tcPr>
          <w:p>
            <w:pPr>
              <w:spacing w:after="0"/>
              <w:rPr>
                <w:sz w:val="20"/>
                <w:szCs w:val="20"/>
                <w:color w:val="auto"/>
              </w:rPr>
            </w:pPr>
            <w:r>
              <w:rPr>
                <w:rFonts w:ascii="Arial" w:cs="Arial" w:eastAsia="Arial" w:hAnsi="Arial"/>
                <w:sz w:val="16"/>
                <w:szCs w:val="16"/>
                <w:color w:val="auto"/>
                <w:w w:val="99"/>
              </w:rPr>
              <w:t>Clifford D. Downs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120" w:type="dxa"/>
            <w:vAlign w:val="bottom"/>
            <w:gridSpan w:val="20"/>
          </w:tcPr>
          <w:p>
            <w:pPr>
              <w:spacing w:after="0"/>
              <w:rPr>
                <w:sz w:val="20"/>
                <w:szCs w:val="20"/>
                <w:color w:val="auto"/>
              </w:rPr>
            </w:pPr>
            <w:r>
              <w:rPr>
                <w:rFonts w:ascii="Arial" w:cs="Arial" w:eastAsia="Arial" w:hAnsi="Arial"/>
                <w:sz w:val="16"/>
                <w:szCs w:val="16"/>
                <w:color w:val="auto"/>
              </w:rPr>
              <w:t>RxSinght, Inc., a California corporation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40" w:type="dxa"/>
            <w:vAlign w:val="bottom"/>
            <w:gridSpan w:val="4"/>
          </w:tcPr>
          <w:p>
            <w:pPr>
              <w:spacing w:after="0"/>
              <w:rPr>
                <w:sz w:val="20"/>
                <w:szCs w:val="20"/>
                <w:color w:val="auto"/>
              </w:rPr>
            </w:pPr>
            <w:r>
              <w:rPr>
                <w:rFonts w:ascii="Arial" w:cs="Arial" w:eastAsia="Arial" w:hAnsi="Arial"/>
                <w:sz w:val="16"/>
                <w:szCs w:val="16"/>
                <w:color w:val="auto"/>
              </w:rPr>
              <w:t>By:</w:t>
            </w:r>
          </w:p>
        </w:tc>
        <w:tc>
          <w:tcPr>
            <w:tcW w:w="5340" w:type="dxa"/>
            <w:vAlign w:val="bottom"/>
            <w:tcBorders>
              <w:bottom w:val="single" w:sz="8" w:color="auto"/>
            </w:tcBorders>
            <w:gridSpan w:val="10"/>
          </w:tcPr>
          <w:p>
            <w:pPr>
              <w:spacing w:after="0"/>
              <w:rPr>
                <w:sz w:val="20"/>
                <w:szCs w:val="20"/>
                <w:color w:val="auto"/>
              </w:rPr>
            </w:pPr>
            <w:r>
              <w:rPr>
                <w:rFonts w:ascii="Arial" w:cs="Arial" w:eastAsia="Arial" w:hAnsi="Arial"/>
                <w:sz w:val="16"/>
                <w:szCs w:val="16"/>
                <w:color w:val="auto"/>
              </w:rPr>
              <w:t>/s/ Clifford D. Downs , DDS</w:t>
            </w:r>
          </w:p>
        </w:tc>
        <w:tc>
          <w:tcPr>
            <w:tcW w:w="200" w:type="dxa"/>
            <w:vAlign w:val="bottom"/>
          </w:tcPr>
          <w:p>
            <w:pPr>
              <w:spacing w:after="0"/>
              <w:rPr>
                <w:sz w:val="24"/>
                <w:szCs w:val="24"/>
                <w:color w:val="auto"/>
              </w:rPr>
            </w:pPr>
          </w:p>
        </w:tc>
        <w:tc>
          <w:tcPr>
            <w:tcW w:w="420" w:type="dxa"/>
            <w:vAlign w:val="bottom"/>
            <w:gridSpan w:val="4"/>
          </w:tcPr>
          <w:p>
            <w:pPr>
              <w:spacing w:after="0"/>
              <w:rPr>
                <w:sz w:val="20"/>
                <w:szCs w:val="20"/>
                <w:color w:val="auto"/>
              </w:rPr>
            </w:pPr>
            <w:r>
              <w:rPr>
                <w:rFonts w:ascii="Arial" w:cs="Arial" w:eastAsia="Arial" w:hAnsi="Arial"/>
                <w:sz w:val="16"/>
                <w:szCs w:val="16"/>
                <w:color w:val="auto"/>
              </w:rPr>
              <w:t>By:</w:t>
            </w:r>
          </w:p>
        </w:tc>
        <w:tc>
          <w:tcPr>
            <w:tcW w:w="4700" w:type="dxa"/>
            <w:vAlign w:val="bottom"/>
            <w:tcBorders>
              <w:bottom w:val="single" w:sz="8" w:color="auto"/>
            </w:tcBorders>
            <w:gridSpan w:val="16"/>
          </w:tcPr>
          <w:p>
            <w:pPr>
              <w:spacing w:after="0"/>
              <w:rPr>
                <w:sz w:val="20"/>
                <w:szCs w:val="20"/>
                <w:color w:val="auto"/>
              </w:rPr>
            </w:pPr>
            <w:r>
              <w:rPr>
                <w:rFonts w:ascii="Arial" w:cs="Arial" w:eastAsia="Arial" w:hAnsi="Arial"/>
                <w:sz w:val="16"/>
                <w:szCs w:val="16"/>
                <w:color w:val="auto"/>
              </w:rPr>
              <w:t>/s/ Ron Kurtz</w:t>
            </w:r>
          </w:p>
        </w:tc>
        <w:tc>
          <w:tcPr>
            <w:tcW w:w="0" w:type="dxa"/>
            <w:vAlign w:val="bottom"/>
          </w:tcPr>
          <w:p>
            <w:pPr>
              <w:spacing w:after="0"/>
              <w:rPr>
                <w:sz w:val="1"/>
                <w:szCs w:val="1"/>
                <w:color w:val="auto"/>
              </w:rPr>
            </w:pPr>
          </w:p>
        </w:tc>
      </w:tr>
      <w:tr>
        <w:trPr>
          <w:trHeight w:val="317"/>
        </w:trPr>
        <w:tc>
          <w:tcPr>
            <w:tcW w:w="1260" w:type="dxa"/>
            <w:vAlign w:val="bottom"/>
            <w:gridSpan w:val="9"/>
          </w:tcPr>
          <w:p>
            <w:pPr>
              <w:spacing w:after="0"/>
              <w:rPr>
                <w:sz w:val="20"/>
                <w:szCs w:val="20"/>
                <w:color w:val="auto"/>
              </w:rPr>
            </w:pPr>
            <w:r>
              <w:rPr>
                <w:rFonts w:ascii="Arial" w:cs="Arial" w:eastAsia="Arial" w:hAnsi="Arial"/>
                <w:sz w:val="16"/>
                <w:szCs w:val="16"/>
                <w:color w:val="auto"/>
              </w:rPr>
              <w:t>Name Printed:</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14"/>
          </w:tcPr>
          <w:p>
            <w:pPr>
              <w:spacing w:after="0"/>
              <w:rPr>
                <w:sz w:val="20"/>
                <w:szCs w:val="20"/>
                <w:color w:val="auto"/>
              </w:rPr>
            </w:pPr>
            <w:r>
              <w:rPr>
                <w:rFonts w:ascii="Arial" w:cs="Arial" w:eastAsia="Arial" w:hAnsi="Arial"/>
                <w:sz w:val="16"/>
                <w:szCs w:val="16"/>
                <w:color w:val="auto"/>
              </w:rPr>
              <w:t>Name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14"/>
          </w:tcPr>
          <w:p>
            <w:pPr>
              <w:spacing w:after="0" w:line="176" w:lineRule="exact"/>
              <w:rPr>
                <w:sz w:val="20"/>
                <w:szCs w:val="20"/>
                <w:color w:val="auto"/>
              </w:rPr>
            </w:pPr>
            <w:r>
              <w:rPr>
                <w:rFonts w:ascii="Arial" w:cs="Arial" w:eastAsia="Arial" w:hAnsi="Arial"/>
                <w:sz w:val="16"/>
                <w:szCs w:val="16"/>
                <w:color w:val="auto"/>
              </w:rPr>
              <w:t>Printed: Ron</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40" w:type="dxa"/>
            <w:vAlign w:val="bottom"/>
            <w:gridSpan w:val="4"/>
            <w:vMerge w:val="restart"/>
          </w:tcPr>
          <w:p>
            <w:pPr>
              <w:spacing w:after="0"/>
              <w:rPr>
                <w:sz w:val="20"/>
                <w:szCs w:val="20"/>
                <w:color w:val="auto"/>
              </w:rPr>
            </w:pPr>
            <w:r>
              <w:rPr>
                <w:rFonts w:ascii="Arial" w:cs="Arial" w:eastAsia="Arial" w:hAnsi="Arial"/>
                <w:sz w:val="16"/>
                <w:szCs w:val="16"/>
                <w:color w:val="auto"/>
              </w:rPr>
              <w:t>Title:</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gridSpan w:val="4"/>
          </w:tcPr>
          <w:p>
            <w:pPr>
              <w:spacing w:after="0" w:line="155" w:lineRule="exact"/>
              <w:rPr>
                <w:sz w:val="20"/>
                <w:szCs w:val="20"/>
                <w:color w:val="auto"/>
              </w:rPr>
            </w:pPr>
            <w:r>
              <w:rPr>
                <w:rFonts w:ascii="Arial" w:cs="Arial" w:eastAsia="Arial" w:hAnsi="Arial"/>
                <w:sz w:val="16"/>
                <w:szCs w:val="16"/>
                <w:color w:val="auto"/>
              </w:rPr>
              <w:t>Kurtz</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540" w:type="dxa"/>
            <w:vAlign w:val="bottom"/>
            <w:gridSpan w:val="4"/>
            <w:vMerge w:val="continue"/>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top w:val="single" w:sz="8" w:color="auto"/>
            </w:tcBorders>
            <w:gridSpan w:val="3"/>
          </w:tcPr>
          <w:p>
            <w:pPr>
              <w:spacing w:after="0"/>
              <w:rPr>
                <w:sz w:val="20"/>
                <w:szCs w:val="20"/>
                <w:color w:val="auto"/>
              </w:rPr>
            </w:pPr>
            <w:r>
              <w:rPr>
                <w:rFonts w:ascii="Arial" w:cs="Arial" w:eastAsia="Arial" w:hAnsi="Arial"/>
                <w:sz w:val="16"/>
                <w:szCs w:val="16"/>
                <w:color w:val="auto"/>
              </w:rPr>
              <w:t>Title:</w:t>
            </w:r>
          </w:p>
        </w:tc>
        <w:tc>
          <w:tcPr>
            <w:tcW w:w="560" w:type="dxa"/>
            <w:vAlign w:val="bottom"/>
            <w:gridSpan w:val="10"/>
            <w:vMerge w:val="restart"/>
          </w:tcPr>
          <w:p>
            <w:pPr>
              <w:spacing w:after="0"/>
              <w:rPr>
                <w:sz w:val="20"/>
                <w:szCs w:val="20"/>
                <w:color w:val="auto"/>
              </w:rPr>
            </w:pPr>
            <w:r>
              <w:rPr>
                <w:rFonts w:ascii="Arial" w:cs="Arial" w:eastAsia="Arial" w:hAnsi="Arial"/>
                <w:sz w:val="16"/>
                <w:szCs w:val="16"/>
                <w:color w:val="auto"/>
              </w:rPr>
              <w:t>C</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10"/>
            <w:vMerge w:val="continue"/>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gridSpan w:val="5"/>
          </w:tcPr>
          <w:p>
            <w:pPr>
              <w:spacing w:after="0" w:line="155" w:lineRule="exact"/>
              <w:rPr>
                <w:sz w:val="20"/>
                <w:szCs w:val="20"/>
                <w:color w:val="auto"/>
              </w:rPr>
            </w:pPr>
            <w:r>
              <w:rPr>
                <w:rFonts w:ascii="Arial" w:cs="Arial" w:eastAsia="Arial" w:hAnsi="Arial"/>
                <w:sz w:val="16"/>
                <w:szCs w:val="16"/>
                <w:color w:val="auto"/>
              </w:rPr>
              <w:t>E</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gridSpan w:val="2"/>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gridSpan w:val="4"/>
          </w:tcPr>
          <w:p>
            <w:pPr>
              <w:spacing w:after="0" w:line="142" w:lineRule="exact"/>
              <w:rPr>
                <w:sz w:val="20"/>
                <w:szCs w:val="20"/>
                <w:color w:val="auto"/>
              </w:rPr>
            </w:pPr>
            <w:r>
              <w:rPr>
                <w:rFonts w:ascii="Arial" w:cs="Arial" w:eastAsia="Arial" w:hAnsi="Arial"/>
                <w:sz w:val="16"/>
                <w:szCs w:val="16"/>
                <w:color w:val="auto"/>
                <w:w w:val="79"/>
              </w:rPr>
              <w:t>O</w:t>
            </w:r>
          </w:p>
        </w:tc>
        <w:tc>
          <w:tcPr>
            <w:tcW w:w="40" w:type="dxa"/>
            <w:vAlign w:val="bottom"/>
            <w:tcBorders>
              <w:bottom w:val="single" w:sz="8" w:color="auto"/>
            </w:tcBorders>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gridSpan w:val="2"/>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260" w:type="dxa"/>
            <w:vAlign w:val="bottom"/>
            <w:gridSpan w:val="9"/>
          </w:tcPr>
          <w:p>
            <w:pPr>
              <w:spacing w:after="0" w:line="168" w:lineRule="exact"/>
              <w:rPr>
                <w:sz w:val="20"/>
                <w:szCs w:val="20"/>
                <w:color w:val="auto"/>
              </w:rPr>
            </w:pPr>
            <w:r>
              <w:rPr>
                <w:rFonts w:ascii="Arial" w:cs="Arial" w:eastAsia="Arial" w:hAnsi="Arial"/>
                <w:sz w:val="16"/>
                <w:szCs w:val="16"/>
                <w:color w:val="auto"/>
              </w:rPr>
              <w:t>Phone: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gridSpan w:val="4"/>
          </w:tcPr>
          <w:p>
            <w:pPr>
              <w:spacing w:after="0" w:line="168" w:lineRule="exact"/>
              <w:rPr>
                <w:sz w:val="20"/>
                <w:szCs w:val="20"/>
                <w:color w:val="auto"/>
              </w:rPr>
            </w:pPr>
            <w:r>
              <w:rPr>
                <w:rFonts w:ascii="Arial" w:cs="Arial" w:eastAsia="Arial" w:hAnsi="Arial"/>
                <w:sz w:val="16"/>
                <w:szCs w:val="16"/>
                <w:color w:val="auto"/>
                <w:w w:val="82"/>
              </w:rPr>
              <w:t>Phone</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2"/>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gridSpan w:val="2"/>
          </w:tcPr>
          <w:p>
            <w:pPr>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40" w:type="dxa"/>
            <w:vAlign w:val="bottom"/>
            <w:gridSpan w:val="4"/>
          </w:tcPr>
          <w:p>
            <w:pPr>
              <w:spacing w:after="0"/>
              <w:rPr>
                <w:sz w:val="20"/>
                <w:szCs w:val="20"/>
                <w:color w:val="auto"/>
              </w:rPr>
            </w:pPr>
            <w:r>
              <w:rPr>
                <w:rFonts w:ascii="Arial" w:cs="Arial" w:eastAsia="Arial" w:hAnsi="Arial"/>
                <w:sz w:val="16"/>
                <w:szCs w:val="16"/>
                <w:color w:val="auto"/>
              </w:rPr>
              <w:t>Fax:</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4"/>
          </w:tcPr>
          <w:p>
            <w:pPr>
              <w:spacing w:after="0"/>
              <w:rPr>
                <w:sz w:val="20"/>
                <w:szCs w:val="20"/>
                <w:color w:val="auto"/>
              </w:rPr>
            </w:pPr>
            <w:r>
              <w:rPr>
                <w:rFonts w:ascii="Arial" w:cs="Arial" w:eastAsia="Arial" w:hAnsi="Arial"/>
                <w:sz w:val="16"/>
                <w:szCs w:val="16"/>
                <w:color w:val="auto"/>
              </w:rPr>
              <w:t>Fax:</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1260" w:type="dxa"/>
            <w:vAlign w:val="bottom"/>
            <w:gridSpan w:val="9"/>
          </w:tcPr>
          <w:p>
            <w:pPr>
              <w:spacing w:after="0"/>
              <w:rPr>
                <w:sz w:val="20"/>
                <w:szCs w:val="20"/>
                <w:color w:val="auto"/>
              </w:rPr>
            </w:pPr>
            <w:r>
              <w:rPr>
                <w:rFonts w:ascii="Arial" w:cs="Arial" w:eastAsia="Arial" w:hAnsi="Arial"/>
                <w:sz w:val="16"/>
                <w:szCs w:val="16"/>
                <w:color w:val="auto"/>
              </w:rPr>
              <w:t>Email:</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14"/>
          </w:tcPr>
          <w:p>
            <w:pPr>
              <w:spacing w:after="0"/>
              <w:rPr>
                <w:sz w:val="20"/>
                <w:szCs w:val="20"/>
                <w:color w:val="auto"/>
              </w:rPr>
            </w:pPr>
            <w:r>
              <w:rPr>
                <w:rFonts w:ascii="Arial" w:cs="Arial" w:eastAsia="Arial" w:hAnsi="Arial"/>
                <w:sz w:val="16"/>
                <w:szCs w:val="16"/>
                <w:color w:val="auto"/>
              </w:rPr>
              <w:t>Email:</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400" w:type="dxa"/>
            <w:vAlign w:val="bottom"/>
            <w:gridSpan w:val="3"/>
          </w:tcPr>
          <w:p>
            <w:pPr>
              <w:spacing w:after="0"/>
              <w:rPr>
                <w:sz w:val="20"/>
                <w:szCs w:val="20"/>
                <w:color w:val="auto"/>
              </w:rPr>
            </w:pPr>
            <w:r>
              <w:rPr>
                <w:rFonts w:ascii="Arial" w:cs="Arial" w:eastAsia="Arial" w:hAnsi="Arial"/>
                <w:sz w:val="16"/>
                <w:szCs w:val="16"/>
                <w:color w:val="auto"/>
              </w:rPr>
              <w:t>By:</w:t>
            </w: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gridSpan w:val="4"/>
          </w:tcPr>
          <w:p>
            <w:pPr>
              <w:spacing w:after="0"/>
              <w:rPr>
                <w:sz w:val="20"/>
                <w:szCs w:val="20"/>
                <w:color w:val="auto"/>
              </w:rPr>
            </w:pPr>
            <w:r>
              <w:rPr>
                <w:rFonts w:ascii="Arial" w:cs="Arial" w:eastAsia="Arial" w:hAnsi="Arial"/>
                <w:sz w:val="16"/>
                <w:szCs w:val="16"/>
                <w:color w:val="auto"/>
              </w:rPr>
              <w:t>By:</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260" w:type="dxa"/>
            <w:vAlign w:val="bottom"/>
            <w:gridSpan w:val="9"/>
          </w:tcPr>
          <w:p>
            <w:pPr>
              <w:spacing w:after="0"/>
              <w:rPr>
                <w:sz w:val="20"/>
                <w:szCs w:val="20"/>
                <w:color w:val="auto"/>
              </w:rPr>
            </w:pPr>
            <w:r>
              <w:rPr>
                <w:rFonts w:ascii="Arial" w:cs="Arial" w:eastAsia="Arial" w:hAnsi="Arial"/>
                <w:sz w:val="16"/>
                <w:szCs w:val="16"/>
                <w:color w:val="auto"/>
              </w:rPr>
              <w:t>Name Printed:</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14"/>
          </w:tcPr>
          <w:p>
            <w:pPr>
              <w:spacing w:after="0"/>
              <w:rPr>
                <w:sz w:val="20"/>
                <w:szCs w:val="20"/>
                <w:color w:val="auto"/>
              </w:rPr>
            </w:pPr>
            <w:r>
              <w:rPr>
                <w:rFonts w:ascii="Arial" w:cs="Arial" w:eastAsia="Arial" w:hAnsi="Arial"/>
                <w:sz w:val="16"/>
                <w:szCs w:val="16"/>
                <w:color w:val="auto"/>
              </w:rPr>
              <w:t>Name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14"/>
          </w:tcPr>
          <w:p>
            <w:pPr>
              <w:spacing w:after="0"/>
              <w:rPr>
                <w:sz w:val="20"/>
                <w:szCs w:val="20"/>
                <w:color w:val="auto"/>
              </w:rPr>
            </w:pPr>
            <w:r>
              <w:rPr>
                <w:rFonts w:ascii="Arial" w:cs="Arial" w:eastAsia="Arial" w:hAnsi="Arial"/>
                <w:sz w:val="16"/>
                <w:szCs w:val="16"/>
                <w:color w:val="auto"/>
              </w:rPr>
              <w:t>Printed: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40" w:type="dxa"/>
            <w:vAlign w:val="bottom"/>
            <w:gridSpan w:val="4"/>
          </w:tcPr>
          <w:p>
            <w:pPr>
              <w:spacing w:after="0"/>
              <w:rPr>
                <w:sz w:val="20"/>
                <w:szCs w:val="20"/>
                <w:color w:val="auto"/>
              </w:rPr>
            </w:pPr>
            <w:r>
              <w:rPr>
                <w:rFonts w:ascii="Arial" w:cs="Arial" w:eastAsia="Arial" w:hAnsi="Arial"/>
                <w:sz w:val="16"/>
                <w:szCs w:val="16"/>
                <w:color w:val="auto"/>
              </w:rPr>
              <w:t>Title:</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4"/>
          </w:tcPr>
          <w:p>
            <w:pPr>
              <w:spacing w:after="0"/>
              <w:rPr>
                <w:sz w:val="20"/>
                <w:szCs w:val="20"/>
                <w:color w:val="auto"/>
              </w:rPr>
            </w:pPr>
            <w:r>
              <w:rPr>
                <w:rFonts w:ascii="Arial" w:cs="Arial" w:eastAsia="Arial" w:hAnsi="Arial"/>
                <w:sz w:val="16"/>
                <w:szCs w:val="16"/>
                <w:color w:val="auto"/>
              </w:rPr>
              <w:t>Title:</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5"/>
        </w:trPr>
        <w:tc>
          <w:tcPr>
            <w:tcW w:w="1260" w:type="dxa"/>
            <w:vAlign w:val="bottom"/>
            <w:gridSpan w:val="9"/>
          </w:tcPr>
          <w:p>
            <w:pPr>
              <w:spacing w:after="0"/>
              <w:rPr>
                <w:sz w:val="20"/>
                <w:szCs w:val="20"/>
                <w:color w:val="auto"/>
              </w:rPr>
            </w:pPr>
            <w:r>
              <w:rPr>
                <w:rFonts w:ascii="Arial" w:cs="Arial" w:eastAsia="Arial" w:hAnsi="Arial"/>
                <w:sz w:val="16"/>
                <w:szCs w:val="16"/>
                <w:color w:val="auto"/>
              </w:rPr>
              <w:t>Phone:</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14"/>
          </w:tcPr>
          <w:p>
            <w:pPr>
              <w:spacing w:after="0"/>
              <w:rPr>
                <w:sz w:val="20"/>
                <w:szCs w:val="20"/>
                <w:color w:val="auto"/>
              </w:rPr>
            </w:pPr>
            <w:r>
              <w:rPr>
                <w:rFonts w:ascii="Arial" w:cs="Arial" w:eastAsia="Arial" w:hAnsi="Arial"/>
                <w:sz w:val="16"/>
                <w:szCs w:val="16"/>
                <w:color w:val="auto"/>
              </w:rPr>
              <w:t>Phone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gridSpan w:val="2"/>
          </w:tcPr>
          <w:p>
            <w:pPr>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40" w:type="dxa"/>
            <w:vAlign w:val="bottom"/>
            <w:gridSpan w:val="4"/>
          </w:tcPr>
          <w:p>
            <w:pPr>
              <w:spacing w:after="0"/>
              <w:rPr>
                <w:sz w:val="20"/>
                <w:szCs w:val="20"/>
                <w:color w:val="auto"/>
              </w:rPr>
            </w:pPr>
            <w:r>
              <w:rPr>
                <w:rFonts w:ascii="Arial" w:cs="Arial" w:eastAsia="Arial" w:hAnsi="Arial"/>
                <w:sz w:val="16"/>
                <w:szCs w:val="16"/>
                <w:color w:val="auto"/>
              </w:rPr>
              <w:t>Fax:</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4"/>
          </w:tcPr>
          <w:p>
            <w:pPr>
              <w:spacing w:after="0"/>
              <w:rPr>
                <w:sz w:val="20"/>
                <w:szCs w:val="20"/>
                <w:color w:val="auto"/>
              </w:rPr>
            </w:pPr>
            <w:r>
              <w:rPr>
                <w:rFonts w:ascii="Arial" w:cs="Arial" w:eastAsia="Arial" w:hAnsi="Arial"/>
                <w:sz w:val="16"/>
                <w:szCs w:val="16"/>
                <w:color w:val="auto"/>
              </w:rPr>
              <w:t>Fax:</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1260" w:type="dxa"/>
            <w:vAlign w:val="bottom"/>
            <w:gridSpan w:val="9"/>
          </w:tcPr>
          <w:p>
            <w:pPr>
              <w:spacing w:after="0"/>
              <w:rPr>
                <w:sz w:val="20"/>
                <w:szCs w:val="20"/>
                <w:color w:val="auto"/>
              </w:rPr>
            </w:pPr>
            <w:r>
              <w:rPr>
                <w:rFonts w:ascii="Arial" w:cs="Arial" w:eastAsia="Arial" w:hAnsi="Arial"/>
                <w:sz w:val="16"/>
                <w:szCs w:val="16"/>
                <w:color w:val="auto"/>
              </w:rPr>
              <w:t>Email:</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14"/>
          </w:tcPr>
          <w:p>
            <w:pPr>
              <w:spacing w:after="0"/>
              <w:rPr>
                <w:sz w:val="20"/>
                <w:szCs w:val="20"/>
                <w:color w:val="auto"/>
              </w:rPr>
            </w:pPr>
            <w:r>
              <w:rPr>
                <w:rFonts w:ascii="Arial" w:cs="Arial" w:eastAsia="Arial" w:hAnsi="Arial"/>
                <w:sz w:val="16"/>
                <w:szCs w:val="16"/>
                <w:color w:val="auto"/>
              </w:rPr>
              <w:t>Email:</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1260" w:type="dxa"/>
            <w:vAlign w:val="bottom"/>
            <w:gridSpan w:val="9"/>
          </w:tcPr>
          <w:p>
            <w:pPr>
              <w:spacing w:after="0"/>
              <w:rPr>
                <w:sz w:val="20"/>
                <w:szCs w:val="20"/>
                <w:color w:val="auto"/>
              </w:rPr>
            </w:pPr>
            <w:r>
              <w:rPr>
                <w:rFonts w:ascii="Arial" w:cs="Arial" w:eastAsia="Arial" w:hAnsi="Arial"/>
                <w:sz w:val="16"/>
                <w:szCs w:val="16"/>
                <w:color w:val="auto"/>
              </w:rPr>
              <w:t>Address: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14"/>
          </w:tcPr>
          <w:p>
            <w:pPr>
              <w:spacing w:after="0"/>
              <w:rPr>
                <w:sz w:val="20"/>
                <w:szCs w:val="20"/>
                <w:color w:val="auto"/>
              </w:rPr>
            </w:pPr>
            <w:r>
              <w:rPr>
                <w:rFonts w:ascii="Arial" w:cs="Arial" w:eastAsia="Arial" w:hAnsi="Arial"/>
                <w:sz w:val="16"/>
                <w:szCs w:val="16"/>
                <w:color w:val="auto"/>
              </w:rPr>
              <w:t>Addres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gridSpan w:val="4"/>
          </w:tcPr>
          <w:p>
            <w:pPr>
              <w:spacing w:after="0"/>
              <w:rPr>
                <w:sz w:val="20"/>
                <w:szCs w:val="20"/>
                <w:color w:val="auto"/>
              </w:rPr>
            </w:pPr>
            <w:r>
              <w:rPr>
                <w:rFonts w:ascii="Arial" w:cs="Arial" w:eastAsia="Arial" w:hAnsi="Arial"/>
                <w:sz w:val="16"/>
                <w:szCs w:val="16"/>
                <w:color w:val="auto"/>
              </w:rPr>
              <w:t>s:</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260" w:type="dxa"/>
            <w:vAlign w:val="bottom"/>
            <w:gridSpan w:val="9"/>
          </w:tcPr>
          <w:p>
            <w:pPr>
              <w:spacing w:after="0"/>
              <w:rPr>
                <w:sz w:val="20"/>
                <w:szCs w:val="20"/>
                <w:color w:val="auto"/>
              </w:rPr>
            </w:pPr>
            <w:r>
              <w:rPr>
                <w:rFonts w:ascii="Arial" w:cs="Arial" w:eastAsia="Arial" w:hAnsi="Arial"/>
                <w:sz w:val="16"/>
                <w:szCs w:val="16"/>
                <w:color w:val="auto"/>
              </w:rPr>
              <w:t>Federal ID No.:</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120" w:type="dxa"/>
            <w:vAlign w:val="bottom"/>
            <w:gridSpan w:val="20"/>
          </w:tcPr>
          <w:p>
            <w:pPr>
              <w:spacing w:after="0"/>
              <w:rPr>
                <w:sz w:val="20"/>
                <w:szCs w:val="20"/>
                <w:color w:val="auto"/>
              </w:rPr>
            </w:pPr>
            <w:r>
              <w:rPr>
                <w:rFonts w:ascii="Arial" w:cs="Arial" w:eastAsia="Arial" w:hAnsi="Arial"/>
                <w:sz w:val="16"/>
                <w:szCs w:val="16"/>
                <w:color w:val="auto"/>
              </w:rPr>
              <w:t>Federal ID No.:</w:t>
            </w:r>
          </w:p>
        </w:tc>
        <w:tc>
          <w:tcPr>
            <w:tcW w:w="0" w:type="dxa"/>
            <w:vAlign w:val="bottom"/>
          </w:tcPr>
          <w:p>
            <w:pPr>
              <w:spacing w:after="0"/>
              <w:rPr>
                <w:sz w:val="1"/>
                <w:szCs w:val="1"/>
                <w:color w:val="auto"/>
              </w:rPr>
            </w:pPr>
          </w:p>
        </w:tc>
      </w:tr>
      <w:tr>
        <w:trPr>
          <w:trHeight w:val="508"/>
        </w:trPr>
        <w:tc>
          <w:tcPr>
            <w:tcW w:w="1260" w:type="dxa"/>
            <w:vAlign w:val="bottom"/>
            <w:gridSpan w:val="9"/>
          </w:tcPr>
          <w:p>
            <w:pPr>
              <w:spacing w:after="0"/>
              <w:rPr>
                <w:sz w:val="20"/>
                <w:szCs w:val="20"/>
                <w:color w:val="auto"/>
              </w:rPr>
            </w:pPr>
            <w:r>
              <w:rPr>
                <w:rFonts w:ascii="Arial" w:cs="Arial" w:eastAsia="Arial" w:hAnsi="Arial"/>
                <w:sz w:val="16"/>
                <w:szCs w:val="16"/>
                <w:b w:val="1"/>
                <w:bCs w:val="1"/>
                <w:color w:val="auto"/>
              </w:rPr>
              <w:t>BROKER</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14"/>
          </w:tcPr>
          <w:p>
            <w:pPr>
              <w:spacing w:after="0"/>
              <w:rPr>
                <w:sz w:val="20"/>
                <w:szCs w:val="20"/>
                <w:color w:val="auto"/>
              </w:rPr>
            </w:pPr>
            <w:r>
              <w:rPr>
                <w:rFonts w:ascii="Arial" w:cs="Arial" w:eastAsia="Arial" w:hAnsi="Arial"/>
                <w:sz w:val="16"/>
                <w:szCs w:val="16"/>
                <w:b w:val="1"/>
                <w:bCs w:val="1"/>
                <w:color w:val="auto"/>
              </w:rPr>
              <w:t>BROKER</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080" w:type="dxa"/>
            <w:vAlign w:val="bottom"/>
            <w:gridSpan w:val="15"/>
          </w:tcPr>
          <w:p>
            <w:pPr>
              <w:spacing w:after="0"/>
              <w:rPr>
                <w:sz w:val="20"/>
                <w:szCs w:val="20"/>
                <w:color w:val="auto"/>
              </w:rPr>
            </w:pPr>
            <w:r>
              <w:rPr>
                <w:rFonts w:ascii="Arial" w:cs="Arial" w:eastAsia="Arial" w:hAnsi="Arial"/>
                <w:sz w:val="16"/>
                <w:szCs w:val="16"/>
                <w:color w:val="auto"/>
              </w:rPr>
              <w:t>Pacific Realty Consultants</w:t>
            </w:r>
          </w:p>
        </w:tc>
        <w:tc>
          <w:tcPr>
            <w:tcW w:w="5120" w:type="dxa"/>
            <w:vAlign w:val="bottom"/>
            <w:gridSpan w:val="20"/>
          </w:tcPr>
          <w:p>
            <w:pPr>
              <w:spacing w:after="0"/>
              <w:rPr>
                <w:sz w:val="20"/>
                <w:szCs w:val="20"/>
                <w:color w:val="auto"/>
              </w:rPr>
            </w:pPr>
            <w:r>
              <w:rPr>
                <w:rFonts w:ascii="Arial" w:cs="Arial" w:eastAsia="Arial" w:hAnsi="Arial"/>
                <w:sz w:val="16"/>
                <w:szCs w:val="16"/>
                <w:color w:val="auto"/>
              </w:rPr>
              <w:t>Lee &amp; Associates, Inc. - Irvine</w:t>
            </w:r>
          </w:p>
        </w:tc>
        <w:tc>
          <w:tcPr>
            <w:tcW w:w="0" w:type="dxa"/>
            <w:vAlign w:val="bottom"/>
          </w:tcPr>
          <w:p>
            <w:pPr>
              <w:spacing w:after="0"/>
              <w:rPr>
                <w:sz w:val="1"/>
                <w:szCs w:val="1"/>
                <w:color w:val="auto"/>
              </w:rPr>
            </w:pPr>
          </w:p>
        </w:tc>
      </w:tr>
      <w:tr>
        <w:trPr>
          <w:trHeight w:val="20"/>
        </w:trPr>
        <w:tc>
          <w:tcPr>
            <w:tcW w:w="36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540" w:type="dxa"/>
            <w:vAlign w:val="bottom"/>
            <w:gridSpan w:val="4"/>
          </w:tcPr>
          <w:p>
            <w:pPr>
              <w:spacing w:after="0"/>
              <w:rPr>
                <w:sz w:val="20"/>
                <w:szCs w:val="20"/>
                <w:color w:val="auto"/>
              </w:rPr>
            </w:pPr>
            <w:r>
              <w:rPr>
                <w:rFonts w:ascii="Arial" w:cs="Arial" w:eastAsia="Arial" w:hAnsi="Arial"/>
                <w:sz w:val="16"/>
                <w:szCs w:val="16"/>
                <w:color w:val="auto"/>
              </w:rPr>
              <w:t>Attn:</w:t>
            </w:r>
          </w:p>
        </w:tc>
        <w:tc>
          <w:tcPr>
            <w:tcW w:w="980" w:type="dxa"/>
            <w:vAlign w:val="bottom"/>
            <w:gridSpan w:val="7"/>
          </w:tcPr>
          <w:p>
            <w:pPr>
              <w:spacing w:after="0"/>
              <w:rPr>
                <w:sz w:val="20"/>
                <w:szCs w:val="20"/>
                <w:color w:val="auto"/>
              </w:rPr>
            </w:pPr>
            <w:r>
              <w:rPr>
                <w:rFonts w:ascii="Arial" w:cs="Arial" w:eastAsia="Arial" w:hAnsi="Arial"/>
                <w:sz w:val="16"/>
                <w:szCs w:val="16"/>
                <w:color w:val="auto"/>
                <w:w w:val="99"/>
              </w:rPr>
              <w:t>David Massie</w:t>
            </w:r>
          </w:p>
        </w:tc>
        <w:tc>
          <w:tcPr>
            <w:tcW w:w="360" w:type="dxa"/>
            <w:vAlign w:val="bottom"/>
          </w:tcPr>
          <w:p>
            <w:pPr>
              <w:spacing w:after="0"/>
              <w:rPr>
                <w:sz w:val="24"/>
                <w:szCs w:val="24"/>
                <w:color w:val="auto"/>
              </w:rPr>
            </w:pPr>
          </w:p>
        </w:tc>
        <w:tc>
          <w:tcPr>
            <w:tcW w:w="4200" w:type="dxa"/>
            <w:vAlign w:val="bottom"/>
            <w:gridSpan w:val="3"/>
          </w:tcPr>
          <w:p>
            <w:pPr>
              <w:spacing w:after="0"/>
              <w:rPr>
                <w:sz w:val="24"/>
                <w:szCs w:val="24"/>
                <w:color w:val="auto"/>
              </w:rPr>
            </w:pPr>
          </w:p>
        </w:tc>
        <w:tc>
          <w:tcPr>
            <w:tcW w:w="420" w:type="dxa"/>
            <w:vAlign w:val="bottom"/>
            <w:gridSpan w:val="4"/>
          </w:tcPr>
          <w:p>
            <w:pPr>
              <w:spacing w:after="0"/>
              <w:rPr>
                <w:sz w:val="20"/>
                <w:szCs w:val="20"/>
                <w:color w:val="auto"/>
              </w:rPr>
            </w:pPr>
            <w:r>
              <w:rPr>
                <w:rFonts w:ascii="Arial" w:cs="Arial" w:eastAsia="Arial" w:hAnsi="Arial"/>
                <w:sz w:val="16"/>
                <w:szCs w:val="16"/>
                <w:color w:val="auto"/>
              </w:rPr>
              <w:t>Attn:</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0" w:type="dxa"/>
            <w:vAlign w:val="bottom"/>
            <w:gridSpan w:val="13"/>
          </w:tcPr>
          <w:p>
            <w:pPr>
              <w:spacing w:after="0"/>
              <w:rPr>
                <w:sz w:val="20"/>
                <w:szCs w:val="20"/>
                <w:color w:val="auto"/>
              </w:rPr>
            </w:pPr>
            <w:r>
              <w:rPr>
                <w:rFonts w:ascii="Arial" w:cs="Arial" w:eastAsia="Arial" w:hAnsi="Arial"/>
                <w:sz w:val="16"/>
                <w:szCs w:val="16"/>
                <w:color w:val="auto"/>
              </w:rPr>
              <w:t>Guy LaFerrara</w:t>
            </w: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80" w:type="dxa"/>
            <w:vAlign w:val="bottom"/>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40" w:type="dxa"/>
            <w:vAlign w:val="bottom"/>
            <w:gridSpan w:val="4"/>
          </w:tcPr>
          <w:p>
            <w:pPr>
              <w:spacing w:after="0"/>
              <w:rPr>
                <w:sz w:val="20"/>
                <w:szCs w:val="20"/>
                <w:color w:val="auto"/>
              </w:rPr>
            </w:pPr>
            <w:r>
              <w:rPr>
                <w:rFonts w:ascii="Arial" w:cs="Arial" w:eastAsia="Arial" w:hAnsi="Arial"/>
                <w:sz w:val="16"/>
                <w:szCs w:val="16"/>
                <w:color w:val="auto"/>
              </w:rPr>
              <w:t>Title:</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gridSpan w:val="4"/>
          </w:tcPr>
          <w:p>
            <w:pPr>
              <w:spacing w:after="0"/>
              <w:rPr>
                <w:sz w:val="20"/>
                <w:szCs w:val="20"/>
                <w:color w:val="auto"/>
              </w:rPr>
            </w:pPr>
            <w:r>
              <w:rPr>
                <w:rFonts w:ascii="Arial" w:cs="Arial" w:eastAsia="Arial" w:hAnsi="Arial"/>
                <w:sz w:val="16"/>
                <w:szCs w:val="16"/>
                <w:color w:val="auto"/>
              </w:rPr>
              <w:t>Title:</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tcBorders>
              <w:bottom w:val="single" w:sz="8" w:color="auto"/>
            </w:tcBorders>
            <w:gridSpan w:val="11"/>
          </w:tcPr>
          <w:p>
            <w:pPr>
              <w:jc w:val="right"/>
              <w:spacing w:after="0"/>
              <w:rPr>
                <w:sz w:val="20"/>
                <w:szCs w:val="20"/>
                <w:color w:val="auto"/>
              </w:rPr>
            </w:pPr>
            <w:r>
              <w:rPr>
                <w:rFonts w:ascii="Arial" w:cs="Arial" w:eastAsia="Arial" w:hAnsi="Arial"/>
                <w:sz w:val="16"/>
                <w:szCs w:val="16"/>
                <w:color w:val="auto"/>
                <w:w w:val="98"/>
              </w:rPr>
              <w:t>Senior Vice President</w:t>
            </w:r>
          </w:p>
        </w:tc>
        <w:tc>
          <w:tcPr>
            <w:tcW w:w="30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260" w:type="dxa"/>
            <w:vAlign w:val="bottom"/>
            <w:gridSpan w:val="9"/>
          </w:tcPr>
          <w:p>
            <w:pPr>
              <w:spacing w:after="0"/>
              <w:rPr>
                <w:sz w:val="20"/>
                <w:szCs w:val="20"/>
                <w:color w:val="auto"/>
              </w:rPr>
            </w:pPr>
            <w:r>
              <w:rPr>
                <w:rFonts w:ascii="Arial" w:cs="Arial" w:eastAsia="Arial" w:hAnsi="Arial"/>
                <w:sz w:val="16"/>
                <w:szCs w:val="16"/>
                <w:color w:val="auto"/>
              </w:rPr>
              <w:t>Address:P.</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14"/>
          </w:tcPr>
          <w:p>
            <w:pPr>
              <w:spacing w:after="0"/>
              <w:rPr>
                <w:sz w:val="20"/>
                <w:szCs w:val="20"/>
                <w:color w:val="auto"/>
              </w:rPr>
            </w:pPr>
            <w:r>
              <w:rPr>
                <w:rFonts w:ascii="Arial" w:cs="Arial" w:eastAsia="Arial" w:hAnsi="Arial"/>
                <w:sz w:val="16"/>
                <w:szCs w:val="16"/>
                <w:color w:val="auto"/>
              </w:rPr>
              <w:t>Addres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660" w:type="dxa"/>
            <w:vAlign w:val="bottom"/>
            <w:gridSpan w:val="6"/>
          </w:tcPr>
          <w:p>
            <w:pPr>
              <w:spacing w:after="0" w:line="155" w:lineRule="exact"/>
              <w:rPr>
                <w:sz w:val="20"/>
                <w:szCs w:val="20"/>
                <w:color w:val="auto"/>
              </w:rPr>
            </w:pPr>
            <w:r>
              <w:rPr>
                <w:rFonts w:ascii="Arial" w:cs="Arial" w:eastAsia="Arial" w:hAnsi="Arial"/>
                <w:sz w:val="16"/>
                <w:szCs w:val="16"/>
                <w:color w:val="auto"/>
              </w:rPr>
              <w:t>O. Box</w:t>
            </w: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14"/>
          </w:tcPr>
          <w:p>
            <w:pPr>
              <w:spacing w:after="0" w:line="155" w:lineRule="exact"/>
              <w:rPr>
                <w:sz w:val="20"/>
                <w:szCs w:val="20"/>
                <w:color w:val="auto"/>
              </w:rPr>
            </w:pPr>
            <w:r>
              <w:rPr>
                <w:rFonts w:ascii="Arial" w:cs="Arial" w:eastAsia="Arial" w:hAnsi="Arial"/>
                <w:sz w:val="16"/>
                <w:szCs w:val="16"/>
                <w:color w:val="auto"/>
              </w:rPr>
              <w:t>s: 9838</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gridSpan w:val="4"/>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00" w:type="dxa"/>
            <w:vAlign w:val="bottom"/>
            <w:gridSpan w:val="2"/>
            <w:vMerge w:val="restart"/>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continue"/>
          </w:tcPr>
          <w:p>
            <w:pPr>
              <w:spacing w:after="0"/>
              <w:rPr>
                <w:sz w:val="13"/>
                <w:szCs w:val="13"/>
                <w:color w:val="auto"/>
              </w:rPr>
            </w:pPr>
          </w:p>
        </w:tc>
        <w:tc>
          <w:tcPr>
            <w:tcW w:w="520" w:type="dxa"/>
            <w:vAlign w:val="bottom"/>
            <w:gridSpan w:val="3"/>
          </w:tcPr>
          <w:p>
            <w:pPr>
              <w:spacing w:after="0" w:line="155" w:lineRule="exact"/>
              <w:rPr>
                <w:sz w:val="20"/>
                <w:szCs w:val="20"/>
                <w:color w:val="auto"/>
              </w:rPr>
            </w:pPr>
            <w:r>
              <w:rPr>
                <w:rFonts w:ascii="Arial" w:cs="Arial" w:eastAsia="Arial" w:hAnsi="Arial"/>
                <w:sz w:val="16"/>
                <w:szCs w:val="16"/>
                <w:color w:val="auto"/>
              </w:rPr>
              <w:t>2881,</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11"/>
          </w:tcPr>
          <w:p>
            <w:pPr>
              <w:spacing w:after="0" w:line="155" w:lineRule="exact"/>
              <w:rPr>
                <w:sz w:val="20"/>
                <w:szCs w:val="20"/>
                <w:color w:val="auto"/>
              </w:rPr>
            </w:pPr>
            <w:r>
              <w:rPr>
                <w:rFonts w:ascii="Arial" w:cs="Arial" w:eastAsia="Arial" w:hAnsi="Arial"/>
                <w:sz w:val="16"/>
                <w:szCs w:val="16"/>
                <w:color w:val="auto"/>
              </w:rPr>
              <w:t>Resear</w:t>
            </w:r>
          </w:p>
        </w:tc>
        <w:tc>
          <w:tcPr>
            <w:tcW w:w="80" w:type="dxa"/>
            <w:vAlign w:val="bottom"/>
            <w:vMerge w:val="continue"/>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40" w:type="dxa"/>
            <w:vAlign w:val="bottom"/>
            <w:tcBorders>
              <w:top w:val="single" w:sz="8" w:color="auto"/>
              <w:bottom w:val="single" w:sz="8" w:color="auto"/>
            </w:tcBorders>
            <w:gridSpan w:val="4"/>
          </w:tcPr>
          <w:p>
            <w:pPr>
              <w:spacing w:after="0" w:line="142" w:lineRule="exact"/>
              <w:rPr>
                <w:sz w:val="20"/>
                <w:szCs w:val="20"/>
                <w:color w:val="auto"/>
              </w:rPr>
            </w:pPr>
            <w:r>
              <w:rPr>
                <w:rFonts w:ascii="Arial" w:cs="Arial" w:eastAsia="Arial" w:hAnsi="Arial"/>
                <w:sz w:val="16"/>
                <w:szCs w:val="16"/>
                <w:color w:val="auto"/>
              </w:rPr>
              <w:t>Costa</w:t>
            </w:r>
          </w:p>
        </w:tc>
        <w:tc>
          <w:tcPr>
            <w:tcW w:w="720" w:type="dxa"/>
            <w:vAlign w:val="bottom"/>
            <w:gridSpan w:val="5"/>
            <w:vMerge w:val="restart"/>
          </w:tcPr>
          <w:p>
            <w:pPr>
              <w:spacing w:after="0"/>
              <w:rPr>
                <w:sz w:val="20"/>
                <w:szCs w:val="20"/>
                <w:color w:val="auto"/>
              </w:rPr>
            </w:pPr>
            <w:r>
              <w:rPr>
                <w:rFonts w:ascii="Arial" w:cs="Arial" w:eastAsia="Arial" w:hAnsi="Arial"/>
                <w:sz w:val="16"/>
                <w:szCs w:val="16"/>
                <w:color w:val="auto"/>
              </w:rPr>
              <w:t>CA</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6"/>
                <w:szCs w:val="16"/>
                <w:color w:val="auto"/>
              </w:rPr>
              <w:t>ch</w:t>
            </w: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40" w:type="dxa"/>
            <w:vAlign w:val="bottom"/>
            <w:gridSpan w:val="4"/>
          </w:tcPr>
          <w:p>
            <w:pPr>
              <w:spacing w:after="0" w:line="155" w:lineRule="exact"/>
              <w:rPr>
                <w:sz w:val="20"/>
                <w:szCs w:val="20"/>
                <w:color w:val="auto"/>
              </w:rPr>
            </w:pPr>
            <w:r>
              <w:rPr>
                <w:rFonts w:ascii="Arial" w:cs="Arial" w:eastAsia="Arial" w:hAnsi="Arial"/>
                <w:sz w:val="16"/>
                <w:szCs w:val="16"/>
                <w:color w:val="auto"/>
              </w:rPr>
              <w:t>Mesa,</w:t>
            </w:r>
          </w:p>
        </w:tc>
        <w:tc>
          <w:tcPr>
            <w:tcW w:w="720" w:type="dxa"/>
            <w:vAlign w:val="bottom"/>
            <w:gridSpan w:val="5"/>
            <w:vMerge w:val="continue"/>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13"/>
          </w:tcPr>
          <w:p>
            <w:pPr>
              <w:spacing w:after="0" w:line="155" w:lineRule="exact"/>
              <w:rPr>
                <w:sz w:val="20"/>
                <w:szCs w:val="20"/>
                <w:color w:val="auto"/>
              </w:rPr>
            </w:pPr>
            <w:r>
              <w:rPr>
                <w:rFonts w:ascii="Arial" w:cs="Arial" w:eastAsia="Arial" w:hAnsi="Arial"/>
                <w:sz w:val="16"/>
                <w:szCs w:val="16"/>
                <w:color w:val="auto"/>
              </w:rPr>
              <w:t>Drive,</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40" w:type="dxa"/>
            <w:vAlign w:val="bottom"/>
            <w:tcBorders>
              <w:top w:val="single" w:sz="8" w:color="auto"/>
            </w:tcBorders>
            <w:gridSpan w:val="4"/>
          </w:tcPr>
          <w:p>
            <w:pPr>
              <w:spacing w:after="0" w:line="142" w:lineRule="exact"/>
              <w:rPr>
                <w:sz w:val="20"/>
                <w:szCs w:val="20"/>
                <w:color w:val="auto"/>
              </w:rPr>
            </w:pPr>
            <w:r>
              <w:rPr>
                <w:rFonts w:ascii="Arial" w:cs="Arial" w:eastAsia="Arial" w:hAnsi="Arial"/>
                <w:sz w:val="16"/>
                <w:szCs w:val="16"/>
                <w:color w:val="auto"/>
              </w:rPr>
              <w:t>92628</w:t>
            </w: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Borders>
              <w:top w:val="single" w:sz="8" w:color="auto"/>
            </w:tcBorders>
            <w:gridSpan w:val="6"/>
          </w:tcPr>
          <w:p>
            <w:pPr>
              <w:spacing w:after="0" w:line="142" w:lineRule="exact"/>
              <w:rPr>
                <w:sz w:val="20"/>
                <w:szCs w:val="20"/>
                <w:color w:val="auto"/>
              </w:rPr>
            </w:pPr>
            <w:r>
              <w:rPr>
                <w:rFonts w:ascii="Arial" w:cs="Arial" w:eastAsia="Arial" w:hAnsi="Arial"/>
                <w:sz w:val="16"/>
                <w:szCs w:val="16"/>
                <w:color w:val="auto"/>
              </w:rPr>
              <w:t>Irvine,</w:t>
            </w:r>
          </w:p>
        </w:tc>
        <w:tc>
          <w:tcPr>
            <w:tcW w:w="160" w:type="dxa"/>
            <w:vAlign w:val="bottom"/>
            <w:gridSpan w:val="5"/>
          </w:tcPr>
          <w:p>
            <w:pPr>
              <w:spacing w:after="0"/>
              <w:rPr>
                <w:sz w:val="12"/>
                <w:szCs w:val="12"/>
                <w:color w:val="auto"/>
              </w:rPr>
            </w:pPr>
          </w:p>
        </w:tc>
        <w:tc>
          <w:tcPr>
            <w:tcW w:w="300" w:type="dxa"/>
            <w:vAlign w:val="bottom"/>
            <w:gridSpan w:val="2"/>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6"/>
                <w:szCs w:val="16"/>
                <w:color w:val="auto"/>
              </w:rPr>
              <w:t>CA</w:t>
            </w: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60" w:type="dxa"/>
            <w:vAlign w:val="bottom"/>
            <w:gridSpan w:val="9"/>
            <w:vMerge w:val="restart"/>
          </w:tcPr>
          <w:p>
            <w:pPr>
              <w:spacing w:after="0"/>
              <w:rPr>
                <w:sz w:val="20"/>
                <w:szCs w:val="20"/>
                <w:color w:val="auto"/>
              </w:rPr>
            </w:pPr>
            <w:r>
              <w:rPr>
                <w:rFonts w:ascii="Arial" w:cs="Arial" w:eastAsia="Arial" w:hAnsi="Arial"/>
                <w:sz w:val="16"/>
                <w:szCs w:val="16"/>
                <w:color w:val="auto"/>
              </w:rPr>
              <w:t>Phone:9</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Borders>
              <w:bottom w:val="single" w:sz="8" w:color="auto"/>
            </w:tcBorders>
            <w:gridSpan w:val="6"/>
          </w:tcPr>
          <w:p>
            <w:pPr>
              <w:spacing w:after="0" w:line="155" w:lineRule="exact"/>
              <w:rPr>
                <w:sz w:val="20"/>
                <w:szCs w:val="20"/>
                <w:color w:val="auto"/>
              </w:rPr>
            </w:pPr>
            <w:r>
              <w:rPr>
                <w:rFonts w:ascii="Arial" w:cs="Arial" w:eastAsia="Arial" w:hAnsi="Arial"/>
                <w:sz w:val="16"/>
                <w:szCs w:val="16"/>
                <w:color w:val="auto"/>
                <w:w w:val="98"/>
              </w:rPr>
              <w:t>92618</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60" w:type="dxa"/>
            <w:vAlign w:val="bottom"/>
            <w:gridSpan w:val="9"/>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gridSpan w:val="6"/>
          </w:tcPr>
          <w:p>
            <w:pPr>
              <w:spacing w:after="0" w:line="169" w:lineRule="exact"/>
              <w:rPr>
                <w:sz w:val="20"/>
                <w:szCs w:val="20"/>
                <w:color w:val="auto"/>
              </w:rPr>
            </w:pPr>
            <w:r>
              <w:rPr>
                <w:rFonts w:ascii="Arial" w:cs="Arial" w:eastAsia="Arial" w:hAnsi="Arial"/>
                <w:sz w:val="16"/>
                <w:szCs w:val="16"/>
                <w:color w:val="auto"/>
                <w:w w:val="95"/>
              </w:rPr>
              <w:t>Phone</w:t>
            </w:r>
          </w:p>
        </w:tc>
        <w:tc>
          <w:tcPr>
            <w:tcW w:w="220" w:type="dxa"/>
            <w:vAlign w:val="bottom"/>
            <w:gridSpan w:val="6"/>
          </w:tcPr>
          <w:p>
            <w:pPr>
              <w:spacing w:after="0"/>
              <w:rPr>
                <w:sz w:val="14"/>
                <w:szCs w:val="14"/>
                <w:color w:val="auto"/>
              </w:rPr>
            </w:pPr>
          </w:p>
        </w:tc>
        <w:tc>
          <w:tcPr>
            <w:tcW w:w="300" w:type="dxa"/>
            <w:vAlign w:val="bottom"/>
            <w:gridSpan w:val="2"/>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40" w:type="dxa"/>
            <w:vAlign w:val="bottom"/>
            <w:gridSpan w:val="4"/>
          </w:tcPr>
          <w:p>
            <w:pPr>
              <w:spacing w:after="0" w:line="155" w:lineRule="exact"/>
              <w:rPr>
                <w:sz w:val="20"/>
                <w:szCs w:val="20"/>
                <w:color w:val="auto"/>
              </w:rPr>
            </w:pPr>
            <w:r>
              <w:rPr>
                <w:rFonts w:ascii="Arial" w:cs="Arial" w:eastAsia="Arial" w:hAnsi="Arial"/>
                <w:sz w:val="16"/>
                <w:szCs w:val="16"/>
                <w:color w:val="auto"/>
              </w:rPr>
              <w:t>49-702</w:t>
            </w:r>
          </w:p>
        </w:tc>
        <w:tc>
          <w:tcPr>
            <w:tcW w:w="60" w:type="dxa"/>
            <w:vAlign w:val="bottom"/>
            <w:tcBorders>
              <w:top w:val="single" w:sz="8" w:color="auto"/>
            </w:tcBorders>
          </w:tcPr>
          <w:p>
            <w:pPr>
              <w:ind w:left="20"/>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gridSpan w:val="4"/>
          </w:tcPr>
          <w:p>
            <w:pPr>
              <w:spacing w:after="0" w:line="155" w:lineRule="exact"/>
              <w:rPr>
                <w:sz w:val="20"/>
                <w:szCs w:val="20"/>
                <w:color w:val="auto"/>
              </w:rPr>
            </w:pPr>
            <w:r>
              <w:rPr>
                <w:rFonts w:ascii="Arial" w:cs="Arial" w:eastAsia="Arial" w:hAnsi="Arial"/>
                <w:sz w:val="16"/>
                <w:szCs w:val="16"/>
                <w:color w:val="auto"/>
                <w:w w:val="92"/>
              </w:rPr>
              <w:t>: 949-</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continue"/>
          </w:tcPr>
          <w:p>
            <w:pPr>
              <w:spacing w:after="0"/>
              <w:rPr>
                <w:sz w:val="13"/>
                <w:szCs w:val="13"/>
                <w:color w:val="auto"/>
              </w:rPr>
            </w:pPr>
          </w:p>
        </w:tc>
        <w:tc>
          <w:tcPr>
            <w:tcW w:w="380" w:type="dxa"/>
            <w:vAlign w:val="bottom"/>
            <w:gridSpan w:val="2"/>
          </w:tcPr>
          <w:p>
            <w:pPr>
              <w:spacing w:after="0" w:line="155" w:lineRule="exact"/>
              <w:rPr>
                <w:sz w:val="20"/>
                <w:szCs w:val="20"/>
                <w:color w:val="auto"/>
              </w:rPr>
            </w:pPr>
            <w:r>
              <w:rPr>
                <w:rFonts w:ascii="Arial" w:cs="Arial" w:eastAsia="Arial" w:hAnsi="Arial"/>
                <w:sz w:val="16"/>
                <w:szCs w:val="16"/>
                <w:color w:val="auto"/>
              </w:rPr>
              <w:t>4334</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gridSpan w:val="3"/>
          </w:tcPr>
          <w:p>
            <w:pPr>
              <w:spacing w:after="0" w:line="155" w:lineRule="exact"/>
              <w:rPr>
                <w:sz w:val="20"/>
                <w:szCs w:val="20"/>
                <w:color w:val="auto"/>
              </w:rPr>
            </w:pPr>
            <w:r>
              <w:rPr>
                <w:rFonts w:ascii="Arial" w:cs="Arial" w:eastAsia="Arial" w:hAnsi="Arial"/>
                <w:sz w:val="16"/>
                <w:szCs w:val="16"/>
                <w:color w:val="auto"/>
                <w:w w:val="87"/>
              </w:rPr>
              <w:t>727-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40" w:type="dxa"/>
            <w:vAlign w:val="bottom"/>
            <w:gridSpan w:val="4"/>
            <w:vMerge w:val="restart"/>
          </w:tcPr>
          <w:p>
            <w:pPr>
              <w:spacing w:after="0"/>
              <w:rPr>
                <w:sz w:val="20"/>
                <w:szCs w:val="20"/>
                <w:color w:val="auto"/>
              </w:rPr>
            </w:pPr>
            <w:r>
              <w:rPr>
                <w:rFonts w:ascii="Arial" w:cs="Arial" w:eastAsia="Arial" w:hAnsi="Arial"/>
                <w:sz w:val="16"/>
                <w:szCs w:val="16"/>
                <w:color w:val="auto"/>
              </w:rPr>
              <w:t>Fax:</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6"/>
                <w:szCs w:val="16"/>
                <w:color w:val="auto"/>
                <w:w w:val="72"/>
              </w:rPr>
              <w:t>1200</w:t>
            </w:r>
          </w:p>
        </w:tc>
        <w:tc>
          <w:tcPr>
            <w:tcW w:w="1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4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gridSpan w:val="3"/>
          </w:tcPr>
          <w:p>
            <w:pPr>
              <w:spacing w:after="0" w:line="169" w:lineRule="exact"/>
              <w:rPr>
                <w:sz w:val="20"/>
                <w:szCs w:val="20"/>
                <w:color w:val="auto"/>
              </w:rPr>
            </w:pPr>
            <w:r>
              <w:rPr>
                <w:rFonts w:ascii="Arial" w:cs="Arial" w:eastAsia="Arial" w:hAnsi="Arial"/>
                <w:sz w:val="16"/>
                <w:szCs w:val="16"/>
                <w:color w:val="auto"/>
                <w:w w:val="89"/>
              </w:rPr>
              <w:t>Fax:</w:t>
            </w:r>
          </w:p>
        </w:tc>
        <w:tc>
          <w:tcPr>
            <w:tcW w:w="1100" w:type="dxa"/>
            <w:vAlign w:val="bottom"/>
            <w:gridSpan w:val="12"/>
          </w:tcPr>
          <w:p>
            <w:pPr>
              <w:ind w:left="100"/>
              <w:spacing w:after="0" w:line="169" w:lineRule="exact"/>
              <w:rPr>
                <w:sz w:val="20"/>
                <w:szCs w:val="20"/>
                <w:color w:val="auto"/>
              </w:rPr>
            </w:pPr>
            <w:r>
              <w:rPr>
                <w:rFonts w:ascii="Arial" w:cs="Arial" w:eastAsia="Arial" w:hAnsi="Arial"/>
                <w:sz w:val="16"/>
                <w:szCs w:val="16"/>
                <w:color w:val="auto"/>
                <w:w w:val="96"/>
              </w:rPr>
              <w:t>949-727-1299</w:t>
            </w:r>
          </w:p>
        </w:tc>
        <w:tc>
          <w:tcPr>
            <w:tcW w:w="37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0" w:type="dxa"/>
            <w:vAlign w:val="bottom"/>
            <w:gridSpan w:val="6"/>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240" w:type="dxa"/>
            <w:vAlign w:val="bottom"/>
            <w:gridSpan w:val="7"/>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1260" w:type="dxa"/>
            <w:vAlign w:val="bottom"/>
            <w:gridSpan w:val="9"/>
          </w:tcPr>
          <w:p>
            <w:pPr>
              <w:spacing w:after="0"/>
              <w:rPr>
                <w:sz w:val="20"/>
                <w:szCs w:val="20"/>
                <w:color w:val="auto"/>
              </w:rPr>
            </w:pPr>
            <w:r>
              <w:rPr>
                <w:rFonts w:ascii="Arial" w:cs="Arial" w:eastAsia="Arial" w:hAnsi="Arial"/>
                <w:sz w:val="16"/>
                <w:szCs w:val="16"/>
                <w:color w:val="auto"/>
              </w:rPr>
              <w:t>Email:</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14"/>
          </w:tcPr>
          <w:p>
            <w:pPr>
              <w:spacing w:after="0"/>
              <w:rPr>
                <w:sz w:val="20"/>
                <w:szCs w:val="20"/>
                <w:color w:val="auto"/>
              </w:rPr>
            </w:pPr>
            <w:r>
              <w:rPr>
                <w:rFonts w:ascii="Arial" w:cs="Arial" w:eastAsia="Arial" w:hAnsi="Arial"/>
                <w:sz w:val="16"/>
                <w:szCs w:val="16"/>
                <w:color w:val="auto"/>
              </w:rPr>
              <w:t>Email:</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260" w:type="dxa"/>
            <w:vAlign w:val="bottom"/>
            <w:gridSpan w:val="9"/>
          </w:tcPr>
          <w:p>
            <w:pPr>
              <w:spacing w:after="0"/>
              <w:rPr>
                <w:sz w:val="20"/>
                <w:szCs w:val="20"/>
                <w:color w:val="auto"/>
              </w:rPr>
            </w:pPr>
            <w:r>
              <w:rPr>
                <w:rFonts w:ascii="Arial" w:cs="Arial" w:eastAsia="Arial" w:hAnsi="Arial"/>
                <w:sz w:val="16"/>
                <w:szCs w:val="16"/>
                <w:color w:val="auto"/>
              </w:rPr>
              <w:t>Federal ID No.:</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120" w:type="dxa"/>
            <w:vAlign w:val="bottom"/>
            <w:gridSpan w:val="20"/>
          </w:tcPr>
          <w:p>
            <w:pPr>
              <w:spacing w:after="0"/>
              <w:rPr>
                <w:sz w:val="20"/>
                <w:szCs w:val="20"/>
                <w:color w:val="auto"/>
              </w:rPr>
            </w:pPr>
            <w:r>
              <w:rPr>
                <w:rFonts w:ascii="Arial" w:cs="Arial" w:eastAsia="Arial" w:hAnsi="Arial"/>
                <w:sz w:val="16"/>
                <w:szCs w:val="16"/>
                <w:color w:val="auto"/>
              </w:rPr>
              <w:t>Federal ID No.:</w:t>
            </w:r>
          </w:p>
        </w:tc>
        <w:tc>
          <w:tcPr>
            <w:tcW w:w="0" w:type="dxa"/>
            <w:vAlign w:val="bottom"/>
          </w:tcPr>
          <w:p>
            <w:pPr>
              <w:spacing w:after="0"/>
              <w:rPr>
                <w:sz w:val="1"/>
                <w:szCs w:val="1"/>
                <w:color w:val="auto"/>
              </w:rPr>
            </w:pPr>
          </w:p>
        </w:tc>
      </w:tr>
      <w:tr>
        <w:trPr>
          <w:trHeight w:val="325"/>
        </w:trPr>
        <w:tc>
          <w:tcPr>
            <w:tcW w:w="6080" w:type="dxa"/>
            <w:vAlign w:val="bottom"/>
            <w:gridSpan w:val="15"/>
          </w:tcPr>
          <w:p>
            <w:pPr>
              <w:spacing w:after="0"/>
              <w:rPr>
                <w:sz w:val="20"/>
                <w:szCs w:val="20"/>
                <w:color w:val="auto"/>
              </w:rPr>
            </w:pPr>
            <w:r>
              <w:rPr>
                <w:rFonts w:ascii="Arial" w:cs="Arial" w:eastAsia="Arial" w:hAnsi="Arial"/>
                <w:sz w:val="16"/>
                <w:szCs w:val="16"/>
                <w:color w:val="auto"/>
              </w:rPr>
              <w:t>Broker/Agent BRE License#:</w:t>
            </w:r>
          </w:p>
        </w:tc>
        <w:tc>
          <w:tcPr>
            <w:tcW w:w="5120" w:type="dxa"/>
            <w:vAlign w:val="bottom"/>
            <w:gridSpan w:val="20"/>
          </w:tcPr>
          <w:p>
            <w:pPr>
              <w:spacing w:after="0"/>
              <w:rPr>
                <w:sz w:val="20"/>
                <w:szCs w:val="20"/>
                <w:color w:val="auto"/>
              </w:rPr>
            </w:pPr>
            <w:r>
              <w:rPr>
                <w:rFonts w:ascii="Arial" w:cs="Arial" w:eastAsia="Arial" w:hAnsi="Arial"/>
                <w:sz w:val="16"/>
                <w:szCs w:val="16"/>
                <w:color w:val="auto"/>
              </w:rPr>
              <w:t>Broker/Agent BRE</w:t>
            </w:r>
          </w:p>
        </w:tc>
        <w:tc>
          <w:tcPr>
            <w:tcW w:w="0" w:type="dxa"/>
            <w:vAlign w:val="bottom"/>
          </w:tcPr>
          <w:p>
            <w:pPr>
              <w:spacing w:after="0"/>
              <w:rPr>
                <w:sz w:val="1"/>
                <w:szCs w:val="1"/>
                <w:color w:val="auto"/>
              </w:rPr>
            </w:pPr>
          </w:p>
        </w:tc>
      </w:tr>
      <w:tr>
        <w:trPr>
          <w:trHeight w:val="176"/>
        </w:trPr>
        <w:tc>
          <w:tcPr>
            <w:tcW w:w="660" w:type="dxa"/>
            <w:vAlign w:val="bottom"/>
            <w:gridSpan w:val="6"/>
          </w:tcPr>
          <w:p>
            <w:pPr>
              <w:spacing w:after="0" w:line="176" w:lineRule="exact"/>
              <w:rPr>
                <w:sz w:val="20"/>
                <w:szCs w:val="20"/>
                <w:color w:val="auto"/>
              </w:rPr>
            </w:pPr>
            <w:r>
              <w:rPr>
                <w:rFonts w:ascii="Arial" w:cs="Arial" w:eastAsia="Arial" w:hAnsi="Arial"/>
                <w:sz w:val="16"/>
                <w:szCs w:val="16"/>
                <w:color w:val="auto"/>
                <w:w w:val="87"/>
              </w:rPr>
              <w:t>00950939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120" w:type="dxa"/>
            <w:vAlign w:val="bottom"/>
            <w:gridSpan w:val="20"/>
          </w:tcPr>
          <w:p>
            <w:pPr>
              <w:spacing w:after="0" w:line="176" w:lineRule="exact"/>
              <w:rPr>
                <w:sz w:val="20"/>
                <w:szCs w:val="20"/>
                <w:color w:val="auto"/>
              </w:rPr>
            </w:pPr>
            <w:r>
              <w:rPr>
                <w:rFonts w:ascii="Arial" w:cs="Arial" w:eastAsia="Arial" w:hAnsi="Arial"/>
                <w:sz w:val="16"/>
                <w:szCs w:val="16"/>
                <w:color w:val="auto"/>
              </w:rPr>
              <w:t>License#:01012355</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AIR CRE. 500 North Brand Blvd, Suite 900, Glendale, CA 91203, Tel 213-687-8777, Email [***]</w:t>
      </w:r>
    </w:p>
    <w:p>
      <w:pPr>
        <w:spacing w:after="0" w:line="27"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NOTICE: No part of these works maybe reproduced in any form without permission in writing.</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INITIALS</w:t>
            </w:r>
          </w:p>
        </w:tc>
        <w:tc>
          <w:tcPr>
            <w:tcW w:w="3960" w:type="dxa"/>
            <w:vAlign w:val="bottom"/>
          </w:tcPr>
          <w:p>
            <w:pPr>
              <w:ind w:left="1460"/>
              <w:spacing w:after="0"/>
              <w:rPr>
                <w:sz w:val="20"/>
                <w:szCs w:val="20"/>
                <w:color w:val="auto"/>
              </w:rPr>
            </w:pPr>
            <w:r>
              <w:rPr>
                <w:rFonts w:ascii="Arial" w:cs="Arial" w:eastAsia="Arial" w:hAnsi="Arial"/>
                <w:sz w:val="18"/>
                <w:szCs w:val="18"/>
                <w:color w:val="auto"/>
              </w:rPr>
              <w:t>Page 29 of 28</w:t>
            </w:r>
          </w:p>
        </w:tc>
        <w:tc>
          <w:tcPr>
            <w:tcW w:w="3380" w:type="dxa"/>
            <w:vAlign w:val="bottom"/>
            <w:vMerge w:val="restart"/>
          </w:tcPr>
          <w:p>
            <w:pPr>
              <w:jc w:val="right"/>
              <w:spacing w:after="0"/>
              <w:rPr>
                <w:sz w:val="20"/>
                <w:szCs w:val="20"/>
                <w:color w:val="auto"/>
              </w:rPr>
            </w:pPr>
            <w:r>
              <w:rPr>
                <w:rFonts w:ascii="Arial" w:cs="Arial" w:eastAsia="Arial" w:hAnsi="Arial"/>
                <w:sz w:val="18"/>
                <w:szCs w:val="18"/>
                <w:color w:val="auto"/>
              </w:rPr>
              <w:t>INITIALS</w:t>
            </w:r>
          </w:p>
        </w:tc>
        <w:tc>
          <w:tcPr>
            <w:tcW w:w="0" w:type="dxa"/>
            <w:vAlign w:val="bottom"/>
          </w:tcPr>
          <w:p>
            <w:pPr>
              <w:spacing w:after="0"/>
              <w:rPr>
                <w:sz w:val="1"/>
                <w:szCs w:val="1"/>
                <w:color w:val="auto"/>
              </w:rPr>
            </w:pPr>
          </w:p>
        </w:tc>
      </w:tr>
      <w:tr>
        <w:trPr>
          <w:trHeight w:val="94"/>
        </w:trPr>
        <w:tc>
          <w:tcPr>
            <w:tcW w:w="3900" w:type="dxa"/>
            <w:vAlign w:val="bottom"/>
            <w:vMerge w:val="continue"/>
          </w:tcPr>
          <w:p>
            <w:pPr>
              <w:spacing w:after="0"/>
              <w:rPr>
                <w:sz w:val="8"/>
                <w:szCs w:val="8"/>
                <w:color w:val="auto"/>
              </w:rPr>
            </w:pPr>
          </w:p>
        </w:tc>
        <w:tc>
          <w:tcPr>
            <w:tcW w:w="3960" w:type="dxa"/>
            <w:vAlign w:val="bottom"/>
            <w:vMerge w:val="restart"/>
          </w:tcPr>
          <w:p>
            <w:pPr>
              <w:ind w:left="780"/>
              <w:spacing w:after="0"/>
              <w:rPr>
                <w:sz w:val="20"/>
                <w:szCs w:val="20"/>
                <w:color w:val="auto"/>
              </w:rPr>
            </w:pPr>
            <w:r>
              <w:rPr>
                <w:rFonts w:ascii="Arial" w:cs="Arial" w:eastAsia="Arial" w:hAnsi="Arial"/>
                <w:sz w:val="18"/>
                <w:szCs w:val="18"/>
                <w:color w:val="auto"/>
              </w:rPr>
              <w:t>Last Edited 2/7/2018 1:59 PM</w:t>
            </w:r>
          </w:p>
        </w:tc>
        <w:tc>
          <w:tcPr>
            <w:tcW w:w="3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 2017 AIR CRE. All Rights Reserved.</w:t>
            </w:r>
          </w:p>
        </w:tc>
        <w:tc>
          <w:tcPr>
            <w:tcW w:w="3960" w:type="dxa"/>
            <w:vAlign w:val="bottom"/>
            <w:vMerge w:val="continue"/>
          </w:tcPr>
          <w:p>
            <w:pPr>
              <w:spacing w:after="0"/>
              <w:rPr>
                <w:sz w:val="12"/>
                <w:szCs w:val="12"/>
                <w:color w:val="auto"/>
              </w:rPr>
            </w:pPr>
          </w:p>
        </w:tc>
        <w:tc>
          <w:tcPr>
            <w:tcW w:w="3380" w:type="dxa"/>
            <w:vAlign w:val="bottom"/>
            <w:vMerge w:val="restart"/>
          </w:tcPr>
          <w:p>
            <w:pPr>
              <w:jc w:val="right"/>
              <w:spacing w:after="0"/>
              <w:rPr>
                <w:sz w:val="20"/>
                <w:szCs w:val="20"/>
                <w:color w:val="auto"/>
              </w:rPr>
            </w:pPr>
            <w:r>
              <w:rPr>
                <w:rFonts w:ascii="Arial" w:cs="Arial" w:eastAsia="Arial" w:hAnsi="Arial"/>
                <w:sz w:val="18"/>
                <w:szCs w:val="18"/>
                <w:color w:val="auto"/>
              </w:rPr>
              <w:t>STN-27.10, Revised 11-01-2017</w:t>
            </w:r>
          </w:p>
        </w:tc>
        <w:tc>
          <w:tcPr>
            <w:tcW w:w="0" w:type="dxa"/>
            <w:vAlign w:val="bottom"/>
          </w:tcPr>
          <w:p>
            <w:pPr>
              <w:spacing w:after="0"/>
              <w:rPr>
                <w:sz w:val="1"/>
                <w:szCs w:val="1"/>
                <w:color w:val="auto"/>
              </w:rPr>
            </w:pPr>
          </w:p>
        </w:tc>
      </w:tr>
      <w:tr>
        <w:trPr>
          <w:trHeight w:val="95"/>
        </w:trPr>
        <w:tc>
          <w:tcPr>
            <w:tcW w:w="3900" w:type="dxa"/>
            <w:vAlign w:val="bottom"/>
            <w:vMerge w:val="continue"/>
          </w:tcPr>
          <w:p>
            <w:pPr>
              <w:spacing w:after="0"/>
              <w:rPr>
                <w:sz w:val="8"/>
                <w:szCs w:val="8"/>
                <w:color w:val="auto"/>
              </w:rPr>
            </w:pPr>
          </w:p>
        </w:tc>
        <w:tc>
          <w:tcPr>
            <w:tcW w:w="3960" w:type="dxa"/>
            <w:vAlign w:val="bottom"/>
          </w:tcPr>
          <w:p>
            <w:pPr>
              <w:spacing w:after="0"/>
              <w:rPr>
                <w:sz w:val="8"/>
                <w:szCs w:val="8"/>
                <w:color w:val="auto"/>
              </w:rPr>
            </w:pPr>
          </w:p>
        </w:tc>
        <w:tc>
          <w:tcPr>
            <w:tcW w:w="3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3900" w:type="dxa"/>
            <w:vAlign w:val="bottom"/>
            <w:tcBorders>
              <w:bottom w:val="single" w:sz="8" w:color="9A9A9A"/>
            </w:tcBorders>
          </w:tcPr>
          <w:p>
            <w:pPr>
              <w:spacing w:after="0"/>
              <w:rPr>
                <w:sz w:val="12"/>
                <w:szCs w:val="12"/>
                <w:color w:val="auto"/>
              </w:rPr>
            </w:pPr>
          </w:p>
        </w:tc>
        <w:tc>
          <w:tcPr>
            <w:tcW w:w="3960" w:type="dxa"/>
            <w:vAlign w:val="bottom"/>
            <w:tcBorders>
              <w:bottom w:val="single" w:sz="8" w:color="9A9A9A"/>
            </w:tcBorders>
          </w:tcPr>
          <w:p>
            <w:pPr>
              <w:spacing w:after="0"/>
              <w:rPr>
                <w:sz w:val="12"/>
                <w:szCs w:val="12"/>
                <w:color w:val="auto"/>
              </w:rPr>
            </w:pPr>
          </w:p>
        </w:tc>
        <w:tc>
          <w:tcPr>
            <w:tcW w:w="33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162" w:gutter="0" w:footer="0" w:header="0"/>
        </w:sectPr>
      </w:pPr>
    </w:p>
    <w:bookmarkStart w:id="148" w:name="page149"/>
    <w:bookmarkEnd w:id="148"/>
    <w:p>
      <w:pPr>
        <w:ind w:left="4920"/>
        <w:spacing w:after="0"/>
        <w:rPr>
          <w:sz w:val="20"/>
          <w:szCs w:val="20"/>
          <w:color w:val="auto"/>
        </w:rPr>
      </w:pPr>
      <w:r>
        <w:rPr>
          <w:rFonts w:ascii="Arial" w:cs="Arial" w:eastAsia="Arial" w:hAnsi="Arial"/>
          <w:sz w:val="18"/>
          <w:szCs w:val="18"/>
          <w:b w:val="1"/>
          <w:bCs w:val="1"/>
          <w:color w:val="auto"/>
        </w:rPr>
        <w:t>ADDENDUM TO</w:t>
      </w:r>
    </w:p>
    <w:p>
      <w:pPr>
        <w:spacing w:after="0" w:line="23"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STANDARD INDUSTRIAL/COMMERCIAL SINGLE-TENANT LEASE - NET</w:t>
      </w:r>
    </w:p>
    <w:p>
      <w:pPr>
        <w:jc w:val="center"/>
        <w:ind w:right="40"/>
        <w:spacing w:after="0" w:line="234" w:lineRule="auto"/>
        <w:rPr>
          <w:sz w:val="20"/>
          <w:szCs w:val="20"/>
          <w:color w:val="auto"/>
        </w:rPr>
      </w:pPr>
      <w:r>
        <w:rPr>
          <w:rFonts w:ascii="Arial" w:cs="Arial" w:eastAsia="Arial" w:hAnsi="Arial"/>
          <w:sz w:val="18"/>
          <w:szCs w:val="18"/>
          <w:b w:val="1"/>
          <w:bCs w:val="1"/>
          <w:color w:val="auto"/>
        </w:rPr>
        <w:t>DATED JANUARY 10, 2018</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by and between</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CLIFFORD D. DOWNS (LESSOR)</w:t>
      </w:r>
    </w:p>
    <w:p>
      <w:pPr>
        <w:jc w:val="center"/>
        <w:ind w:right="40"/>
        <w:spacing w:after="0" w:line="234" w:lineRule="auto"/>
        <w:rPr>
          <w:sz w:val="20"/>
          <w:szCs w:val="20"/>
          <w:color w:val="auto"/>
        </w:rPr>
      </w:pPr>
      <w:r>
        <w:rPr>
          <w:rFonts w:ascii="Arial" w:cs="Arial" w:eastAsia="Arial" w:hAnsi="Arial"/>
          <w:sz w:val="18"/>
          <w:szCs w:val="18"/>
          <w:b w:val="1"/>
          <w:bCs w:val="1"/>
          <w:color w:val="auto"/>
        </w:rPr>
        <w:t>and</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RxSIGHT, INC., A CALIFORNIA CORPORATION (LESSEE)</w:t>
      </w:r>
    </w:p>
    <w:p>
      <w:pPr>
        <w:spacing w:after="0" w:line="207"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8"/>
          <w:szCs w:val="18"/>
          <w:color w:val="auto"/>
        </w:rPr>
        <w:t>This Addendum (“</w:t>
      </w:r>
      <w:r>
        <w:rPr>
          <w:rFonts w:ascii="Arial" w:cs="Arial" w:eastAsia="Arial" w:hAnsi="Arial"/>
          <w:sz w:val="18"/>
          <w:szCs w:val="18"/>
          <w:b w:val="1"/>
          <w:bCs w:val="1"/>
          <w:color w:val="auto"/>
        </w:rPr>
        <w:t>Addendum</w:t>
      </w:r>
      <w:r>
        <w:rPr>
          <w:rFonts w:ascii="Arial" w:cs="Arial" w:eastAsia="Arial" w:hAnsi="Arial"/>
          <w:sz w:val="18"/>
          <w:szCs w:val="18"/>
          <w:color w:val="auto"/>
        </w:rPr>
        <w:t>”) to Standard Industrial/Commercial Single-Tenant Lease – Net dated as of January 10, 2018, amends, modified, supplements and supersedes that certain Standard Industrial/Commercial Single-Tenant Lease — Net of even date herewith (the “</w:t>
      </w:r>
      <w:r>
        <w:rPr>
          <w:rFonts w:ascii="Arial" w:cs="Arial" w:eastAsia="Arial" w:hAnsi="Arial"/>
          <w:sz w:val="18"/>
          <w:szCs w:val="18"/>
          <w:b w:val="1"/>
          <w:bCs w:val="1"/>
          <w:color w:val="auto"/>
        </w:rPr>
        <w:t>Contract</w:t>
      </w:r>
      <w:r>
        <w:rPr>
          <w:rFonts w:ascii="Arial" w:cs="Arial" w:eastAsia="Arial" w:hAnsi="Arial"/>
          <w:sz w:val="18"/>
          <w:szCs w:val="18"/>
          <w:color w:val="auto"/>
        </w:rPr>
        <w:t>”) by and between CLIFFORD D. DOWNS (“</w:t>
      </w:r>
      <w:r>
        <w:rPr>
          <w:rFonts w:ascii="Arial" w:cs="Arial" w:eastAsia="Arial" w:hAnsi="Arial"/>
          <w:sz w:val="18"/>
          <w:szCs w:val="18"/>
          <w:b w:val="1"/>
          <w:bCs w:val="1"/>
          <w:color w:val="auto"/>
        </w:rPr>
        <w:t>Lessor</w:t>
      </w:r>
      <w:r>
        <w:rPr>
          <w:rFonts w:ascii="Arial" w:cs="Arial" w:eastAsia="Arial" w:hAnsi="Arial"/>
          <w:sz w:val="18"/>
          <w:szCs w:val="18"/>
          <w:color w:val="auto"/>
        </w:rPr>
        <w:t>”) and RxSIGHT, INC., A CALIFORNIA CORPORATION (“</w:t>
      </w:r>
      <w:r>
        <w:rPr>
          <w:rFonts w:ascii="Arial" w:cs="Arial" w:eastAsia="Arial" w:hAnsi="Arial"/>
          <w:sz w:val="18"/>
          <w:szCs w:val="18"/>
          <w:b w:val="1"/>
          <w:bCs w:val="1"/>
          <w:color w:val="auto"/>
        </w:rPr>
        <w:t>Lessee</w:t>
      </w:r>
      <w:r>
        <w:rPr>
          <w:rFonts w:ascii="Arial" w:cs="Arial" w:eastAsia="Arial" w:hAnsi="Arial"/>
          <w:sz w:val="18"/>
          <w:szCs w:val="18"/>
          <w:color w:val="auto"/>
        </w:rPr>
        <w:t>”) for the Premises located at 5 Columbia, Aliso Viejo, California 92656. This Addendum and the Contract are hereinafter collectively referred to as the “</w:t>
      </w:r>
      <w:r>
        <w:rPr>
          <w:rFonts w:ascii="Arial" w:cs="Arial" w:eastAsia="Arial" w:hAnsi="Arial"/>
          <w:sz w:val="18"/>
          <w:szCs w:val="18"/>
          <w:b w:val="1"/>
          <w:bCs w:val="1"/>
          <w:color w:val="auto"/>
        </w:rPr>
        <w:t>Lease</w:t>
      </w:r>
      <w:r>
        <w:rPr>
          <w:rFonts w:ascii="Arial" w:cs="Arial" w:eastAsia="Arial" w:hAnsi="Arial"/>
          <w:sz w:val="18"/>
          <w:szCs w:val="18"/>
          <w:color w:val="auto"/>
        </w:rPr>
        <w:t>.” Capitalized terms not otherwise defined herein shall have the meanings ascribed to such terms in the Contract.</w:t>
      </w:r>
    </w:p>
    <w:p>
      <w:pPr>
        <w:spacing w:after="0" w:line="56" w:lineRule="exact"/>
        <w:rPr>
          <w:sz w:val="20"/>
          <w:szCs w:val="20"/>
          <w:color w:val="auto"/>
        </w:rPr>
      </w:pPr>
    </w:p>
    <w:p>
      <w:pPr>
        <w:ind w:left="520"/>
        <w:spacing w:after="0"/>
        <w:tabs>
          <w:tab w:leader="none" w:pos="9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u w:val="single" w:color="auto"/>
          <w:color w:val="auto"/>
        </w:rPr>
        <w:t>Monthly Rent</w:t>
      </w:r>
      <w:r>
        <w:rPr>
          <w:rFonts w:ascii="Arial" w:cs="Arial" w:eastAsia="Arial" w:hAnsi="Arial"/>
          <w:sz w:val="17"/>
          <w:szCs w:val="17"/>
          <w:color w:val="auto"/>
        </w:rPr>
        <w:t>. The monthly base rent shall be as follows:</w:t>
      </w:r>
    </w:p>
    <w:p>
      <w:pPr>
        <w:spacing w:after="0" w:line="207" w:lineRule="exact"/>
        <w:rPr>
          <w:sz w:val="20"/>
          <w:szCs w:val="20"/>
          <w:color w:val="auto"/>
        </w:rPr>
      </w:pPr>
    </w:p>
    <w:tbl>
      <w:tblPr>
        <w:tblLayout w:type="fixed"/>
        <w:tblInd w:w="2330" w:type="dxa"/>
        <w:tblCellMar>
          <w:top w:w="0" w:type="dxa"/>
          <w:left w:w="0" w:type="dxa"/>
          <w:bottom w:w="0" w:type="dxa"/>
          <w:right w:w="0" w:type="dxa"/>
        </w:tblCellMar>
      </w:tblPr>
      <w:tr>
        <w:trPr>
          <w:trHeight w:val="223"/>
        </w:trPr>
        <w:tc>
          <w:tcPr>
            <w:tcW w:w="2900" w:type="dxa"/>
            <w:vAlign w:val="bottom"/>
            <w:tcBorders>
              <w:top w:val="single" w:sz="8" w:color="auto"/>
              <w:left w:val="single" w:sz="8" w:color="auto"/>
              <w:bottom w:val="single" w:sz="8" w:color="auto"/>
              <w:right w:val="single" w:sz="8" w:color="auto"/>
            </w:tcBorders>
          </w:tcPr>
          <w:p>
            <w:pPr>
              <w:ind w:left="1200"/>
              <w:spacing w:after="0"/>
              <w:rPr>
                <w:sz w:val="20"/>
                <w:szCs w:val="20"/>
                <w:color w:val="auto"/>
              </w:rPr>
            </w:pPr>
            <w:r>
              <w:rPr>
                <w:rFonts w:ascii="Arial" w:cs="Arial" w:eastAsia="Arial" w:hAnsi="Arial"/>
                <w:sz w:val="14"/>
                <w:szCs w:val="14"/>
                <w:b w:val="1"/>
                <w:bCs w:val="1"/>
                <w:color w:val="auto"/>
              </w:rPr>
              <w:t>Months</w:t>
            </w:r>
          </w:p>
        </w:tc>
        <w:tc>
          <w:tcPr>
            <w:tcW w:w="3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Monthly Rental Rate</w:t>
            </w:r>
          </w:p>
        </w:tc>
      </w:tr>
      <w:tr>
        <w:trPr>
          <w:trHeight w:val="193"/>
        </w:trPr>
        <w:tc>
          <w:tcPr>
            <w:tcW w:w="290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9"/>
              </w:rPr>
              <w:t>01</w:t>
            </w:r>
          </w:p>
        </w:tc>
        <w:tc>
          <w:tcPr>
            <w:tcW w:w="37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rPr>
              <w:t>$ 22,238.00 per month</w:t>
            </w:r>
          </w:p>
        </w:tc>
      </w:tr>
      <w:tr>
        <w:trPr>
          <w:trHeight w:val="210"/>
        </w:trPr>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02-09</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$ 11,119.20 per month</w:t>
            </w:r>
          </w:p>
        </w:tc>
      </w:tr>
      <w:tr>
        <w:trPr>
          <w:trHeight w:val="209"/>
        </w:trPr>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10-12</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$ 22,238.00 per month</w:t>
            </w:r>
          </w:p>
        </w:tc>
      </w:tr>
      <w:tr>
        <w:trPr>
          <w:trHeight w:val="209"/>
        </w:trPr>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13-24</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$ 22,966.56 per month</w:t>
            </w:r>
          </w:p>
        </w:tc>
      </w:tr>
      <w:tr>
        <w:trPr>
          <w:trHeight w:val="210"/>
        </w:trPr>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25-36</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$ 23,714.40 per month</w:t>
            </w:r>
          </w:p>
        </w:tc>
      </w:tr>
      <w:tr>
        <w:trPr>
          <w:trHeight w:val="209"/>
        </w:trPr>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37-48</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$ 24,481.20 per month</w:t>
            </w:r>
          </w:p>
        </w:tc>
      </w:tr>
      <w:tr>
        <w:trPr>
          <w:trHeight w:val="210"/>
        </w:trPr>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49-60</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$ 25,269.12 per month</w:t>
            </w:r>
          </w:p>
        </w:tc>
      </w:tr>
    </w:tbl>
    <w:p>
      <w:pPr>
        <w:spacing w:after="0" w:line="197" w:lineRule="exact"/>
        <w:rPr>
          <w:sz w:val="20"/>
          <w:szCs w:val="20"/>
          <w:color w:val="auto"/>
        </w:rPr>
      </w:pPr>
    </w:p>
    <w:p>
      <w:pPr>
        <w:ind w:firstLine="1546"/>
        <w:spacing w:after="0" w:line="271" w:lineRule="auto"/>
        <w:rPr>
          <w:sz w:val="20"/>
          <w:szCs w:val="20"/>
          <w:color w:val="auto"/>
        </w:rPr>
      </w:pPr>
      <w:r>
        <w:rPr>
          <w:rFonts w:ascii="Arial" w:cs="Arial" w:eastAsia="Arial" w:hAnsi="Arial"/>
          <w:sz w:val="18"/>
          <w:szCs w:val="18"/>
          <w:color w:val="auto"/>
        </w:rPr>
        <w:t>In addition to the base rent, Lessee shall be responsible for it’s the triple net (NNN) expenses currently totaling $1,720.51 per month for Property taxes and Association and any other related expenses per the Lease Agreement.</w:t>
      </w:r>
    </w:p>
    <w:p>
      <w:pPr>
        <w:spacing w:after="0" w:line="46" w:lineRule="exact"/>
        <w:rPr>
          <w:sz w:val="20"/>
          <w:szCs w:val="20"/>
          <w:color w:val="auto"/>
        </w:rPr>
      </w:pPr>
    </w:p>
    <w:p>
      <w:pPr>
        <w:jc w:val="both"/>
        <w:ind w:firstLine="517"/>
        <w:spacing w:after="0" w:line="261" w:lineRule="auto"/>
        <w:tabs>
          <w:tab w:leader="none" w:pos="949"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Condition of Premises</w:t>
      </w:r>
      <w:r>
        <w:rPr>
          <w:rFonts w:ascii="Arial" w:cs="Arial" w:eastAsia="Arial" w:hAnsi="Arial"/>
          <w:sz w:val="18"/>
          <w:szCs w:val="18"/>
          <w:color w:val="auto"/>
        </w:rPr>
        <w:t>. Condition of the Premises is “As Is” with the 10 day inspection period and Lessee responsible for all improvements, permits, approvals, and any ADA requirements. As far as the Lessor knows, all systems are working but will not warranty anything beyond an “as is condition”.</w:t>
      </w:r>
    </w:p>
    <w:p>
      <w:pPr>
        <w:spacing w:after="0" w:line="53" w:lineRule="exact"/>
        <w:rPr>
          <w:rFonts w:ascii="Arial" w:cs="Arial" w:eastAsia="Arial" w:hAnsi="Arial"/>
          <w:sz w:val="18"/>
          <w:szCs w:val="18"/>
          <w:color w:val="auto"/>
        </w:rPr>
      </w:pPr>
    </w:p>
    <w:p>
      <w:pPr>
        <w:jc w:val="both"/>
        <w:ind w:firstLine="517"/>
        <w:spacing w:after="0" w:line="251" w:lineRule="auto"/>
        <w:tabs>
          <w:tab w:leader="none" w:pos="909"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Lessee Specific Improvements</w:t>
      </w:r>
      <w:r>
        <w:rPr>
          <w:rFonts w:ascii="Arial" w:cs="Arial" w:eastAsia="Arial" w:hAnsi="Arial"/>
          <w:sz w:val="18"/>
          <w:szCs w:val="18"/>
          <w:color w:val="auto"/>
        </w:rPr>
        <w:t>. Lessee shall lease the building in its “As-ls” condition. Lessee at Lessee’s expense may buildout and/or modify some existing improvements including adding bathrooms, and upgrading the power with Lessor’s prior approval. Lessee shall provide a preliminary plan and proposed facility modifications letter (see attached Exhibit “B”) for Lessor’s review. The request by Lessee to build out improvements shall not be unreasonably withheld by Lessor. All work shall be completed by a licensed and insured contractor as well as properly permitted by all city and local government agencies</w:t>
      </w:r>
    </w:p>
    <w:p>
      <w:pPr>
        <w:spacing w:after="0" w:line="65" w:lineRule="exact"/>
        <w:rPr>
          <w:rFonts w:ascii="Arial" w:cs="Arial" w:eastAsia="Arial" w:hAnsi="Arial"/>
          <w:sz w:val="18"/>
          <w:szCs w:val="18"/>
          <w:color w:val="auto"/>
        </w:rPr>
      </w:pPr>
    </w:p>
    <w:p>
      <w:pPr>
        <w:ind w:left="920" w:hanging="403"/>
        <w:spacing w:after="0"/>
        <w:tabs>
          <w:tab w:leader="none" w:pos="92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Option to Extend</w:t>
      </w:r>
      <w:r>
        <w:rPr>
          <w:rFonts w:ascii="Arial" w:cs="Arial" w:eastAsia="Arial" w:hAnsi="Arial"/>
          <w:sz w:val="18"/>
          <w:szCs w:val="18"/>
          <w:color w:val="auto"/>
        </w:rPr>
        <w:t>: Attached.</w:t>
      </w:r>
    </w:p>
    <w:p>
      <w:pPr>
        <w:spacing w:after="0" w:line="103" w:lineRule="exact"/>
        <w:rPr>
          <w:rFonts w:ascii="Arial" w:cs="Arial" w:eastAsia="Arial" w:hAnsi="Arial"/>
          <w:sz w:val="18"/>
          <w:szCs w:val="18"/>
          <w:color w:val="auto"/>
        </w:rPr>
      </w:pPr>
    </w:p>
    <w:p>
      <w:pPr>
        <w:ind w:left="920" w:hanging="403"/>
        <w:spacing w:after="0"/>
        <w:tabs>
          <w:tab w:leader="none" w:pos="92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Arbitration Agreement</w:t>
      </w:r>
      <w:r>
        <w:rPr>
          <w:rFonts w:ascii="Arial" w:cs="Arial" w:eastAsia="Arial" w:hAnsi="Arial"/>
          <w:sz w:val="18"/>
          <w:szCs w:val="18"/>
          <w:color w:val="auto"/>
        </w:rPr>
        <w:t>. Attached.</w:t>
      </w:r>
    </w:p>
    <w:p>
      <w:pPr>
        <w:spacing w:after="0" w:line="117" w:lineRule="exact"/>
        <w:rPr>
          <w:rFonts w:ascii="Arial" w:cs="Arial" w:eastAsia="Arial" w:hAnsi="Arial"/>
          <w:sz w:val="18"/>
          <w:szCs w:val="18"/>
          <w:color w:val="auto"/>
        </w:rPr>
      </w:pPr>
    </w:p>
    <w:p>
      <w:pPr>
        <w:ind w:firstLine="517"/>
        <w:spacing w:after="0" w:line="271" w:lineRule="auto"/>
        <w:tabs>
          <w:tab w:leader="none" w:pos="922"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Lessee’s Property</w:t>
      </w:r>
      <w:r>
        <w:rPr>
          <w:rFonts w:ascii="Arial" w:cs="Arial" w:eastAsia="Arial" w:hAnsi="Arial"/>
          <w:sz w:val="18"/>
          <w:szCs w:val="18"/>
          <w:color w:val="auto"/>
        </w:rPr>
        <w:t>. Per Paragraph 74 of this lease, below are the items that shall remain as the possessions of the Lessee and removed upon lease expiration and Lessee vacancy:</w:t>
      </w:r>
    </w:p>
    <w:p>
      <w:pPr>
        <w:spacing w:after="0" w:line="154"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Security System</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IT Servers and Equipment</w:t>
      </w:r>
    </w:p>
    <w:p>
      <w:pPr>
        <w:spacing w:after="0" w:line="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Appliances</w:t>
      </w:r>
    </w:p>
    <w:p>
      <w:pPr>
        <w:ind w:left="1480"/>
        <w:spacing w:after="0"/>
        <w:rPr>
          <w:sz w:val="20"/>
          <w:szCs w:val="20"/>
          <w:color w:val="auto"/>
        </w:rPr>
      </w:pPr>
      <w:r>
        <w:rPr>
          <w:rFonts w:ascii="Arial" w:cs="Arial" w:eastAsia="Arial" w:hAnsi="Arial"/>
          <w:sz w:val="18"/>
          <w:szCs w:val="18"/>
          <w:color w:val="auto"/>
        </w:rPr>
        <w:t>Compressor</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60" w:type="dxa"/>
            <w:vAlign w:val="bottom"/>
          </w:tcPr>
          <w:p>
            <w:pPr>
              <w:ind w:left="20"/>
              <w:spacing w:after="0"/>
              <w:rPr>
                <w:sz w:val="20"/>
                <w:szCs w:val="20"/>
                <w:color w:val="auto"/>
              </w:rPr>
            </w:pPr>
            <w:r>
              <w:rPr>
                <w:rFonts w:ascii="Arial" w:cs="Arial" w:eastAsia="Arial" w:hAnsi="Arial"/>
                <w:sz w:val="16"/>
                <w:szCs w:val="16"/>
                <w:b w:val="1"/>
                <w:bCs w:val="1"/>
                <w:color w:val="auto"/>
              </w:rPr>
              <w:t>AGREED &amp; ACCEPTED:</w:t>
            </w:r>
          </w:p>
        </w:tc>
        <w:tc>
          <w:tcPr>
            <w:tcW w:w="256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86"/>
        </w:trPr>
        <w:tc>
          <w:tcPr>
            <w:tcW w:w="3760" w:type="dxa"/>
            <w:vAlign w:val="bottom"/>
          </w:tcPr>
          <w:p>
            <w:pPr>
              <w:ind w:left="20"/>
              <w:spacing w:after="0"/>
              <w:rPr>
                <w:sz w:val="20"/>
                <w:szCs w:val="20"/>
                <w:color w:val="auto"/>
              </w:rPr>
            </w:pPr>
            <w:r>
              <w:rPr>
                <w:rFonts w:ascii="Arial" w:cs="Arial" w:eastAsia="Arial" w:hAnsi="Arial"/>
                <w:sz w:val="16"/>
                <w:szCs w:val="16"/>
                <w:b w:val="1"/>
                <w:bCs w:val="1"/>
                <w:color w:val="auto"/>
              </w:rPr>
              <w:t>LESSOR:</w:t>
            </w:r>
          </w:p>
        </w:tc>
        <w:tc>
          <w:tcPr>
            <w:tcW w:w="7460" w:type="dxa"/>
            <w:vAlign w:val="bottom"/>
            <w:gridSpan w:val="2"/>
          </w:tcPr>
          <w:p>
            <w:pPr>
              <w:ind w:left="1900"/>
              <w:spacing w:after="0"/>
              <w:rPr>
                <w:sz w:val="20"/>
                <w:szCs w:val="20"/>
                <w:color w:val="auto"/>
              </w:rPr>
            </w:pPr>
            <w:r>
              <w:rPr>
                <w:rFonts w:ascii="Arial" w:cs="Arial" w:eastAsia="Arial" w:hAnsi="Arial"/>
                <w:sz w:val="16"/>
                <w:szCs w:val="16"/>
                <w:b w:val="1"/>
                <w:bCs w:val="1"/>
                <w:color w:val="auto"/>
              </w:rPr>
              <w:t>CLIFFORD D. DOWNS</w:t>
            </w:r>
          </w:p>
        </w:tc>
        <w:tc>
          <w:tcPr>
            <w:tcW w:w="20" w:type="dxa"/>
            <w:vAlign w:val="bottom"/>
          </w:tcPr>
          <w:p>
            <w:pPr>
              <w:spacing w:after="0"/>
              <w:rPr>
                <w:sz w:val="24"/>
                <w:szCs w:val="24"/>
                <w:color w:val="auto"/>
              </w:rPr>
            </w:pPr>
          </w:p>
        </w:tc>
      </w:tr>
      <w:tr>
        <w:trPr>
          <w:trHeight w:val="466"/>
        </w:trPr>
        <w:tc>
          <w:tcPr>
            <w:tcW w:w="3760" w:type="dxa"/>
            <w:vAlign w:val="bottom"/>
          </w:tcPr>
          <w:p>
            <w:pPr>
              <w:spacing w:after="0"/>
              <w:rPr>
                <w:sz w:val="24"/>
                <w:szCs w:val="24"/>
                <w:color w:val="auto"/>
              </w:rPr>
            </w:pPr>
          </w:p>
        </w:tc>
        <w:tc>
          <w:tcPr>
            <w:tcW w:w="2560" w:type="dxa"/>
            <w:vAlign w:val="bottom"/>
          </w:tcPr>
          <w:p>
            <w:pPr>
              <w:ind w:left="1900"/>
              <w:spacing w:after="0"/>
              <w:rPr>
                <w:sz w:val="20"/>
                <w:szCs w:val="20"/>
                <w:color w:val="auto"/>
              </w:rPr>
            </w:pPr>
            <w:r>
              <w:rPr>
                <w:rFonts w:ascii="Arial" w:cs="Arial" w:eastAsia="Arial" w:hAnsi="Arial"/>
                <w:sz w:val="16"/>
                <w:szCs w:val="16"/>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Clifford D. Downs, DDS</w:t>
            </w:r>
          </w:p>
        </w:tc>
        <w:tc>
          <w:tcPr>
            <w:tcW w:w="20" w:type="dxa"/>
            <w:vAlign w:val="bottom"/>
          </w:tcPr>
          <w:p>
            <w:pPr>
              <w:spacing w:after="0"/>
              <w:rPr>
                <w:sz w:val="24"/>
                <w:szCs w:val="24"/>
                <w:color w:val="auto"/>
              </w:rPr>
            </w:pPr>
          </w:p>
        </w:tc>
      </w:tr>
      <w:tr>
        <w:trPr>
          <w:trHeight w:val="370"/>
        </w:trPr>
        <w:tc>
          <w:tcPr>
            <w:tcW w:w="3760" w:type="dxa"/>
            <w:vAlign w:val="bottom"/>
          </w:tcPr>
          <w:p>
            <w:pPr>
              <w:spacing w:after="0"/>
              <w:rPr>
                <w:sz w:val="24"/>
                <w:szCs w:val="24"/>
                <w:color w:val="auto"/>
              </w:rPr>
            </w:pPr>
          </w:p>
        </w:tc>
        <w:tc>
          <w:tcPr>
            <w:tcW w:w="2560" w:type="dxa"/>
            <w:vAlign w:val="bottom"/>
          </w:tcPr>
          <w:p>
            <w:pPr>
              <w:ind w:left="1900"/>
              <w:spacing w:after="0"/>
              <w:rPr>
                <w:sz w:val="20"/>
                <w:szCs w:val="20"/>
                <w:color w:val="auto"/>
              </w:rPr>
            </w:pPr>
            <w:r>
              <w:rPr>
                <w:rFonts w:ascii="Arial" w:cs="Arial" w:eastAsia="Arial" w:hAnsi="Arial"/>
                <w:sz w:val="16"/>
                <w:szCs w:val="16"/>
                <w:color w:val="auto"/>
              </w:rPr>
              <w:t>Name:</w:t>
            </w:r>
          </w:p>
        </w:tc>
        <w:tc>
          <w:tcPr>
            <w:tcW w:w="4900" w:type="dxa"/>
            <w:vAlign w:val="bottom"/>
          </w:tcPr>
          <w:p>
            <w:pPr>
              <w:spacing w:after="0"/>
              <w:rPr>
                <w:sz w:val="20"/>
                <w:szCs w:val="20"/>
                <w:color w:val="auto"/>
              </w:rPr>
            </w:pPr>
            <w:r>
              <w:rPr>
                <w:rFonts w:ascii="Arial" w:cs="Arial" w:eastAsia="Arial" w:hAnsi="Arial"/>
                <w:sz w:val="16"/>
                <w:szCs w:val="16"/>
                <w:color w:val="auto"/>
              </w:rPr>
              <w:t>Clifford D. Downs, DDS</w:t>
            </w:r>
          </w:p>
        </w:tc>
        <w:tc>
          <w:tcPr>
            <w:tcW w:w="20" w:type="dxa"/>
            <w:vAlign w:val="bottom"/>
          </w:tcPr>
          <w:p>
            <w:pPr>
              <w:spacing w:after="0"/>
              <w:rPr>
                <w:sz w:val="24"/>
                <w:szCs w:val="24"/>
                <w:color w:val="auto"/>
              </w:rPr>
            </w:pPr>
          </w:p>
        </w:tc>
      </w:tr>
      <w:tr>
        <w:trPr>
          <w:trHeight w:val="364"/>
        </w:trPr>
        <w:tc>
          <w:tcPr>
            <w:tcW w:w="3760" w:type="dxa"/>
            <w:vAlign w:val="bottom"/>
          </w:tcPr>
          <w:p>
            <w:pPr>
              <w:spacing w:after="0"/>
              <w:rPr>
                <w:sz w:val="24"/>
                <w:szCs w:val="24"/>
                <w:color w:val="auto"/>
              </w:rPr>
            </w:pPr>
          </w:p>
        </w:tc>
        <w:tc>
          <w:tcPr>
            <w:tcW w:w="2560" w:type="dxa"/>
            <w:vAlign w:val="bottom"/>
          </w:tcPr>
          <w:p>
            <w:pPr>
              <w:ind w:left="1900"/>
              <w:spacing w:after="0"/>
              <w:rPr>
                <w:sz w:val="20"/>
                <w:szCs w:val="20"/>
                <w:color w:val="auto"/>
              </w:rPr>
            </w:pPr>
            <w:r>
              <w:rPr>
                <w:rFonts w:ascii="Arial" w:cs="Arial" w:eastAsia="Arial" w:hAnsi="Arial"/>
                <w:sz w:val="16"/>
                <w:szCs w:val="16"/>
                <w:color w:val="auto"/>
              </w:rPr>
              <w:t>Title:</w:t>
            </w:r>
          </w:p>
        </w:tc>
        <w:tc>
          <w:tcPr>
            <w:tcW w:w="4900" w:type="dxa"/>
            <w:vAlign w:val="bottom"/>
          </w:tcPr>
          <w:p>
            <w:pPr>
              <w:spacing w:after="0"/>
              <w:rPr>
                <w:sz w:val="20"/>
                <w:szCs w:val="20"/>
                <w:color w:val="auto"/>
              </w:rPr>
            </w:pPr>
            <w:r>
              <w:rPr>
                <w:rFonts w:ascii="Arial" w:cs="Arial" w:eastAsia="Arial" w:hAnsi="Arial"/>
                <w:sz w:val="16"/>
                <w:szCs w:val="16"/>
                <w:color w:val="auto"/>
              </w:rPr>
              <w:t>Owner</w:t>
            </w:r>
          </w:p>
        </w:tc>
        <w:tc>
          <w:tcPr>
            <w:tcW w:w="20" w:type="dxa"/>
            <w:vAlign w:val="bottom"/>
          </w:tcPr>
          <w:p>
            <w:pPr>
              <w:spacing w:after="0"/>
              <w:rPr>
                <w:sz w:val="24"/>
                <w:szCs w:val="24"/>
                <w:color w:val="auto"/>
              </w:rPr>
            </w:pPr>
          </w:p>
        </w:tc>
      </w:tr>
      <w:tr>
        <w:trPr>
          <w:trHeight w:val="494"/>
        </w:trPr>
        <w:tc>
          <w:tcPr>
            <w:tcW w:w="3760" w:type="dxa"/>
            <w:vAlign w:val="bottom"/>
          </w:tcPr>
          <w:p>
            <w:pPr>
              <w:ind w:left="20"/>
              <w:spacing w:after="0"/>
              <w:rPr>
                <w:sz w:val="20"/>
                <w:szCs w:val="20"/>
                <w:color w:val="auto"/>
              </w:rPr>
            </w:pPr>
            <w:r>
              <w:rPr>
                <w:rFonts w:ascii="Arial" w:cs="Arial" w:eastAsia="Arial" w:hAnsi="Arial"/>
                <w:sz w:val="16"/>
                <w:szCs w:val="16"/>
                <w:b w:val="1"/>
                <w:bCs w:val="1"/>
                <w:color w:val="auto"/>
              </w:rPr>
              <w:t>LESSEE:</w:t>
            </w:r>
          </w:p>
        </w:tc>
        <w:tc>
          <w:tcPr>
            <w:tcW w:w="7460" w:type="dxa"/>
            <w:vAlign w:val="bottom"/>
            <w:gridSpan w:val="2"/>
          </w:tcPr>
          <w:p>
            <w:pPr>
              <w:ind w:left="1900"/>
              <w:spacing w:after="0"/>
              <w:rPr>
                <w:sz w:val="20"/>
                <w:szCs w:val="20"/>
                <w:color w:val="auto"/>
              </w:rPr>
            </w:pPr>
            <w:r>
              <w:rPr>
                <w:rFonts w:ascii="Arial" w:cs="Arial" w:eastAsia="Arial" w:hAnsi="Arial"/>
                <w:sz w:val="16"/>
                <w:szCs w:val="16"/>
                <w:b w:val="1"/>
                <w:bCs w:val="1"/>
                <w:color w:val="auto"/>
              </w:rPr>
              <w:t>RxSIGHT, INC., a California corporation</w:t>
            </w:r>
          </w:p>
        </w:tc>
        <w:tc>
          <w:tcPr>
            <w:tcW w:w="20" w:type="dxa"/>
            <w:vAlign w:val="bottom"/>
          </w:tcPr>
          <w:p>
            <w:pPr>
              <w:spacing w:after="0"/>
              <w:rPr>
                <w:sz w:val="24"/>
                <w:szCs w:val="24"/>
                <w:color w:val="auto"/>
              </w:rPr>
            </w:pPr>
          </w:p>
        </w:tc>
      </w:tr>
      <w:tr>
        <w:trPr>
          <w:trHeight w:val="453"/>
        </w:trPr>
        <w:tc>
          <w:tcPr>
            <w:tcW w:w="3760" w:type="dxa"/>
            <w:vAlign w:val="bottom"/>
          </w:tcPr>
          <w:p>
            <w:pPr>
              <w:spacing w:after="0"/>
              <w:rPr>
                <w:sz w:val="24"/>
                <w:szCs w:val="24"/>
                <w:color w:val="auto"/>
              </w:rPr>
            </w:pPr>
          </w:p>
        </w:tc>
        <w:tc>
          <w:tcPr>
            <w:tcW w:w="2560" w:type="dxa"/>
            <w:vAlign w:val="bottom"/>
          </w:tcPr>
          <w:p>
            <w:pPr>
              <w:ind w:left="1900"/>
              <w:spacing w:after="0"/>
              <w:rPr>
                <w:sz w:val="20"/>
                <w:szCs w:val="20"/>
                <w:color w:val="auto"/>
              </w:rPr>
            </w:pPr>
            <w:r>
              <w:rPr>
                <w:rFonts w:ascii="Arial" w:cs="Arial" w:eastAsia="Arial" w:hAnsi="Arial"/>
                <w:sz w:val="16"/>
                <w:szCs w:val="16"/>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Ron Kurtz</w:t>
            </w:r>
          </w:p>
        </w:tc>
        <w:tc>
          <w:tcPr>
            <w:tcW w:w="20" w:type="dxa"/>
            <w:vAlign w:val="bottom"/>
          </w:tcPr>
          <w:p>
            <w:pPr>
              <w:spacing w:after="0"/>
              <w:rPr>
                <w:sz w:val="24"/>
                <w:szCs w:val="24"/>
                <w:color w:val="auto"/>
              </w:rPr>
            </w:pPr>
          </w:p>
        </w:tc>
      </w:tr>
      <w:tr>
        <w:trPr>
          <w:trHeight w:val="370"/>
        </w:trPr>
        <w:tc>
          <w:tcPr>
            <w:tcW w:w="3760" w:type="dxa"/>
            <w:vAlign w:val="bottom"/>
          </w:tcPr>
          <w:p>
            <w:pPr>
              <w:spacing w:after="0"/>
              <w:rPr>
                <w:sz w:val="24"/>
                <w:szCs w:val="24"/>
                <w:color w:val="auto"/>
              </w:rPr>
            </w:pPr>
          </w:p>
        </w:tc>
        <w:tc>
          <w:tcPr>
            <w:tcW w:w="2560" w:type="dxa"/>
            <w:vAlign w:val="bottom"/>
          </w:tcPr>
          <w:p>
            <w:pPr>
              <w:ind w:left="1900"/>
              <w:spacing w:after="0"/>
              <w:rPr>
                <w:sz w:val="20"/>
                <w:szCs w:val="20"/>
                <w:color w:val="auto"/>
              </w:rPr>
            </w:pPr>
            <w:r>
              <w:rPr>
                <w:rFonts w:ascii="Arial" w:cs="Arial" w:eastAsia="Arial" w:hAnsi="Arial"/>
                <w:sz w:val="16"/>
                <w:szCs w:val="16"/>
                <w:color w:val="auto"/>
              </w:rPr>
              <w:t>Name:</w:t>
            </w:r>
          </w:p>
        </w:tc>
        <w:tc>
          <w:tcPr>
            <w:tcW w:w="4900" w:type="dxa"/>
            <w:vAlign w:val="bottom"/>
          </w:tcPr>
          <w:p>
            <w:pPr>
              <w:spacing w:after="0"/>
              <w:rPr>
                <w:sz w:val="20"/>
                <w:szCs w:val="20"/>
                <w:color w:val="auto"/>
              </w:rPr>
            </w:pPr>
            <w:r>
              <w:rPr>
                <w:rFonts w:ascii="Arial" w:cs="Arial" w:eastAsia="Arial" w:hAnsi="Arial"/>
                <w:sz w:val="16"/>
                <w:szCs w:val="16"/>
                <w:color w:val="auto"/>
              </w:rPr>
              <w:t>Ron Kurtz</w:t>
            </w:r>
          </w:p>
        </w:tc>
        <w:tc>
          <w:tcPr>
            <w:tcW w:w="20" w:type="dxa"/>
            <w:vAlign w:val="bottom"/>
          </w:tcPr>
          <w:p>
            <w:pPr>
              <w:spacing w:after="0"/>
              <w:rPr>
                <w:sz w:val="24"/>
                <w:szCs w:val="24"/>
                <w:color w:val="auto"/>
              </w:rPr>
            </w:pPr>
          </w:p>
        </w:tc>
      </w:tr>
      <w:tr>
        <w:trPr>
          <w:trHeight w:val="365"/>
        </w:trPr>
        <w:tc>
          <w:tcPr>
            <w:tcW w:w="3760" w:type="dxa"/>
            <w:vAlign w:val="bottom"/>
          </w:tcPr>
          <w:p>
            <w:pPr>
              <w:spacing w:after="0"/>
              <w:rPr>
                <w:sz w:val="24"/>
                <w:szCs w:val="24"/>
                <w:color w:val="auto"/>
              </w:rPr>
            </w:pPr>
          </w:p>
        </w:tc>
        <w:tc>
          <w:tcPr>
            <w:tcW w:w="2560" w:type="dxa"/>
            <w:vAlign w:val="bottom"/>
          </w:tcPr>
          <w:p>
            <w:pPr>
              <w:ind w:left="1900"/>
              <w:spacing w:after="0"/>
              <w:rPr>
                <w:sz w:val="20"/>
                <w:szCs w:val="20"/>
                <w:color w:val="auto"/>
              </w:rPr>
            </w:pPr>
            <w:r>
              <w:rPr>
                <w:rFonts w:ascii="Arial" w:cs="Arial" w:eastAsia="Arial" w:hAnsi="Arial"/>
                <w:sz w:val="16"/>
                <w:szCs w:val="16"/>
                <w:color w:val="auto"/>
              </w:rPr>
              <w:t>Title:</w:t>
            </w:r>
          </w:p>
        </w:tc>
        <w:tc>
          <w:tcPr>
            <w:tcW w:w="4900" w:type="dxa"/>
            <w:vAlign w:val="bottom"/>
          </w:tcPr>
          <w:p>
            <w:pPr>
              <w:spacing w:after="0"/>
              <w:rPr>
                <w:sz w:val="20"/>
                <w:szCs w:val="20"/>
                <w:color w:val="auto"/>
              </w:rPr>
            </w:pPr>
            <w:r>
              <w:rPr>
                <w:rFonts w:ascii="Arial" w:cs="Arial" w:eastAsia="Arial" w:hAnsi="Arial"/>
                <w:sz w:val="16"/>
                <w:szCs w:val="16"/>
                <w:color w:val="auto"/>
              </w:rPr>
              <w:t>President &amp; CEO</w:t>
            </w:r>
          </w:p>
        </w:tc>
        <w:tc>
          <w:tcPr>
            <w:tcW w:w="20" w:type="dxa"/>
            <w:vAlign w:val="bottom"/>
          </w:tcPr>
          <w:p>
            <w:pPr>
              <w:spacing w:after="0"/>
              <w:rPr>
                <w:sz w:val="24"/>
                <w:szCs w:val="24"/>
                <w:color w:val="auto"/>
              </w:rPr>
            </w:pPr>
          </w:p>
        </w:tc>
      </w:tr>
      <w:tr>
        <w:trPr>
          <w:trHeight w:val="508"/>
        </w:trPr>
        <w:tc>
          <w:tcPr>
            <w:tcW w:w="376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9" w:name="page150"/>
    <w:bookmarkEnd w:id="149"/>
    <w:p>
      <w:pPr>
        <w:jc w:val="center"/>
        <w:ind w:right="40"/>
        <w:spacing w:after="0"/>
        <w:rPr>
          <w:sz w:val="20"/>
          <w:szCs w:val="20"/>
          <w:color w:val="auto"/>
        </w:rPr>
      </w:pPr>
      <w:r>
        <w:rPr>
          <w:rFonts w:ascii="Arial" w:cs="Arial" w:eastAsia="Arial" w:hAnsi="Arial"/>
          <w:sz w:val="18"/>
          <w:szCs w:val="18"/>
          <w:b w:val="1"/>
          <w:bCs w:val="1"/>
          <w:color w:val="auto"/>
        </w:rPr>
        <w:t>OPTION(S) TO EXTEND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STANDARD LEASE ADDENDUM</w:t>
      </w:r>
    </w:p>
    <w:p>
      <w:pPr>
        <w:sectPr>
          <w:pgSz w:w="11900" w:h="16838" w:orient="portrait"/>
          <w:cols w:equalWidth="0" w:num="1">
            <w:col w:w="11240"/>
          </w:cols>
          <w:pgMar w:left="320" w:top="742" w:right="339" w:bottom="1440" w:gutter="0" w:footer="0" w:header="0"/>
        </w:sectPr>
      </w:pPr>
    </w:p>
    <w:p>
      <w:pPr>
        <w:spacing w:after="0" w:line="20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Dated:</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January 20, 2018</w:t>
      </w:r>
    </w:p>
    <w:p>
      <w:pPr>
        <w:spacing w:after="0" w:line="209" w:lineRule="exact"/>
        <w:rPr>
          <w:sz w:val="20"/>
          <w:szCs w:val="20"/>
          <w:color w:val="auto"/>
        </w:rPr>
      </w:pPr>
    </w:p>
    <w:p>
      <w:pPr>
        <w:sectPr>
          <w:pgSz w:w="11900" w:h="16838" w:orient="portrait"/>
          <w:cols w:equalWidth="0" w:num="2">
            <w:col w:w="1800" w:space="720"/>
            <w:col w:w="8720"/>
          </w:cols>
          <w:pgMar w:left="320" w:top="742" w:right="339" w:bottom="1440" w:gutter="0" w:footer="0" w:header="0"/>
          <w:type w:val="continuous"/>
        </w:sectPr>
      </w:pPr>
    </w:p>
    <w:p>
      <w:pPr>
        <w:ind w:left="580"/>
        <w:spacing w:after="0"/>
        <w:rPr>
          <w:sz w:val="20"/>
          <w:szCs w:val="20"/>
          <w:color w:val="auto"/>
        </w:rPr>
      </w:pPr>
      <w:r>
        <w:rPr>
          <w:rFonts w:ascii="Arial" w:cs="Arial" w:eastAsia="Arial" w:hAnsi="Arial"/>
          <w:sz w:val="18"/>
          <w:szCs w:val="18"/>
          <w:b w:val="1"/>
          <w:bCs w:val="1"/>
          <w:color w:val="auto"/>
        </w:rPr>
        <w:t>By and Between</w:t>
      </w:r>
    </w:p>
    <w:p>
      <w:pPr>
        <w:sectPr>
          <w:pgSz w:w="11900" w:h="16838" w:orient="portrait"/>
          <w:cols w:equalWidth="0" w:num="1">
            <w:col w:w="11240"/>
          </w:cols>
          <w:pgMar w:left="320" w:top="742" w:right="339" w:bottom="1440" w:gutter="0" w:footer="0" w:header="0"/>
          <w:type w:val="continuous"/>
        </w:sectPr>
      </w:pPr>
    </w:p>
    <w:p>
      <w:pPr>
        <w:spacing w:after="0" w:line="198"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Lessor:</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Clifford D. Downs</w:t>
      </w:r>
    </w:p>
    <w:p>
      <w:pPr>
        <w:spacing w:after="0" w:line="209" w:lineRule="exact"/>
        <w:rPr>
          <w:sz w:val="20"/>
          <w:szCs w:val="20"/>
          <w:color w:val="auto"/>
        </w:rPr>
      </w:pPr>
    </w:p>
    <w:p>
      <w:pPr>
        <w:sectPr>
          <w:pgSz w:w="11900" w:h="16838" w:orient="portrait"/>
          <w:cols w:equalWidth="0" w:num="2">
            <w:col w:w="1800" w:space="720"/>
            <w:col w:w="8720"/>
          </w:cols>
          <w:pgMar w:left="320" w:top="742" w:right="339" w:bottom="1440" w:gutter="0" w:footer="0" w:header="0"/>
          <w:type w:val="continuous"/>
        </w:sectPr>
      </w:pPr>
    </w:p>
    <w:p>
      <w:pPr>
        <w:ind w:left="580"/>
        <w:spacing w:after="0"/>
        <w:rPr>
          <w:sz w:val="20"/>
          <w:szCs w:val="20"/>
          <w:color w:val="auto"/>
        </w:rPr>
      </w:pPr>
      <w:r>
        <w:rPr>
          <w:rFonts w:ascii="Arial" w:cs="Arial" w:eastAsia="Arial" w:hAnsi="Arial"/>
          <w:sz w:val="18"/>
          <w:szCs w:val="18"/>
          <w:b w:val="1"/>
          <w:bCs w:val="1"/>
          <w:color w:val="auto"/>
        </w:rPr>
        <w:t>Lessee: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RxSight, Inc., a California corporation</w:t>
      </w:r>
    </w:p>
    <w:p>
      <w:pPr>
        <w:spacing w:after="0" w:line="209" w:lineRule="exact"/>
        <w:rPr>
          <w:sz w:val="20"/>
          <w:szCs w:val="20"/>
          <w:color w:val="auto"/>
        </w:rPr>
      </w:pPr>
    </w:p>
    <w:p>
      <w:pPr>
        <w:sectPr>
          <w:pgSz w:w="11900" w:h="16838" w:orient="portrait"/>
          <w:cols w:equalWidth="0" w:num="2">
            <w:col w:w="1800" w:space="720"/>
            <w:col w:w="8720"/>
          </w:cols>
          <w:pgMar w:left="320" w:top="742" w:right="339" w:bottom="1440" w:gutter="0" w:footer="0" w:header="0"/>
          <w:type w:val="continuous"/>
        </w:sectPr>
      </w:pPr>
    </w:p>
    <w:p>
      <w:pPr>
        <w:ind w:left="580"/>
        <w:spacing w:after="0"/>
        <w:rPr>
          <w:sz w:val="20"/>
          <w:szCs w:val="20"/>
          <w:color w:val="auto"/>
        </w:rPr>
      </w:pPr>
      <w:r>
        <w:rPr>
          <w:rFonts w:ascii="Arial" w:cs="Arial" w:eastAsia="Arial" w:hAnsi="Arial"/>
          <w:sz w:val="18"/>
          <w:szCs w:val="18"/>
          <w:b w:val="1"/>
          <w:bCs w:val="1"/>
          <w:color w:val="auto"/>
        </w:rPr>
        <w:t>Property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5 Columbia, Aliso Viejo, CA 92656</w:t>
      </w:r>
    </w:p>
    <w:p>
      <w:pPr>
        <w:spacing w:after="0" w:line="209" w:lineRule="exact"/>
        <w:rPr>
          <w:sz w:val="20"/>
          <w:szCs w:val="20"/>
          <w:color w:val="auto"/>
        </w:rPr>
      </w:pPr>
    </w:p>
    <w:p>
      <w:pPr>
        <w:sectPr>
          <w:pgSz w:w="11900" w:h="16838" w:orient="portrait"/>
          <w:cols w:equalWidth="0" w:num="2">
            <w:col w:w="2160" w:space="360"/>
            <w:col w:w="8720"/>
          </w:cols>
          <w:pgMar w:left="320" w:top="742" w:right="339" w:bottom="1440" w:gutter="0" w:footer="0" w:header="0"/>
          <w:type w:val="continuous"/>
        </w:sectPr>
      </w:pPr>
    </w:p>
    <w:p>
      <w:pPr>
        <w:ind w:left="2520"/>
        <w:spacing w:after="0"/>
        <w:rPr>
          <w:sz w:val="20"/>
          <w:szCs w:val="20"/>
          <w:color w:val="auto"/>
        </w:rPr>
      </w:pPr>
      <w:r>
        <w:rPr>
          <w:rFonts w:ascii="Arial" w:cs="Arial" w:eastAsia="Arial" w:hAnsi="Arial"/>
          <w:sz w:val="17"/>
          <w:szCs w:val="17"/>
          <w:color w:val="auto"/>
        </w:rPr>
        <w:t>(street address, city, state, zip)</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Paragraph: 58</w:t>
      </w:r>
    </w:p>
    <w:p>
      <w:pPr>
        <w:sectPr>
          <w:pgSz w:w="11900" w:h="16838" w:orient="portrait"/>
          <w:cols w:equalWidth="0" w:num="1">
            <w:col w:w="11240"/>
          </w:cols>
          <w:pgMar w:left="320" w:top="742" w:right="339" w:bottom="1440" w:gutter="0" w:footer="0" w:header="0"/>
          <w:type w:val="continuous"/>
        </w:sect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OPTION(S) TO EXTEND:</w:t>
      </w:r>
    </w:p>
    <w:p>
      <w:pPr>
        <w:spacing w:after="0" w:line="117"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Lessor hereby grants to Lessee the option to extend the term of this Lease for two (2) additional sixty (60) month period(s) commencing when the prior term expires upon each and all of the following terms and conditions:</w:t>
      </w:r>
    </w:p>
    <w:p>
      <w:pPr>
        <w:spacing w:after="0" w:line="154" w:lineRule="exact"/>
        <w:rPr>
          <w:sz w:val="20"/>
          <w:szCs w:val="20"/>
          <w:color w:val="auto"/>
        </w:rPr>
      </w:pPr>
    </w:p>
    <w:p>
      <w:pPr>
        <w:ind w:right="20" w:firstLine="517"/>
        <w:spacing w:after="0" w:line="252" w:lineRule="auto"/>
        <w:tabs>
          <w:tab w:leader="none" w:pos="719"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 order to exercise an option to extend, Lessee must give written notice of such election to Lessor and Lessor must receive the same at least six (6) but not more than nine (9) months prior to the date that the option period would commence, time being of the essence. If proper notification of the exercise of an option is not given and/or received, such option shall automatically expire. Options (if there are more than one) may only be exercised consecutively.</w:t>
      </w:r>
    </w:p>
    <w:p>
      <w:pPr>
        <w:spacing w:after="0" w:line="170" w:lineRule="exact"/>
        <w:rPr>
          <w:rFonts w:ascii="Arial" w:cs="Arial" w:eastAsia="Arial" w:hAnsi="Arial"/>
          <w:sz w:val="18"/>
          <w:szCs w:val="18"/>
          <w:color w:val="auto"/>
        </w:rPr>
      </w:pPr>
    </w:p>
    <w:p>
      <w:pPr>
        <w:ind w:right="20" w:firstLine="517"/>
        <w:spacing w:after="0" w:line="287" w:lineRule="auto"/>
        <w:tabs>
          <w:tab w:leader="none" w:pos="759"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provisions of paragraph 39, including those relating to Lessee’s Default set forth in paragraph 39.4 of this Lease, are conditions of this Option.</w:t>
      </w:r>
    </w:p>
    <w:p>
      <w:pPr>
        <w:spacing w:after="0" w:line="139" w:lineRule="exact"/>
        <w:rPr>
          <w:rFonts w:ascii="Arial" w:cs="Arial" w:eastAsia="Arial" w:hAnsi="Arial"/>
          <w:sz w:val="18"/>
          <w:szCs w:val="18"/>
          <w:color w:val="auto"/>
        </w:rPr>
      </w:pPr>
    </w:p>
    <w:p>
      <w:pPr>
        <w:ind w:firstLine="517"/>
        <w:spacing w:after="0" w:line="271" w:lineRule="auto"/>
        <w:tabs>
          <w:tab w:leader="none" w:pos="799" w:val="left"/>
        </w:tabs>
        <w:numPr>
          <w:ilvl w:val="0"/>
          <w:numId w:val="146"/>
        </w:numPr>
        <w:rPr>
          <w:rFonts w:ascii="Arial" w:cs="Arial" w:eastAsia="Arial" w:hAnsi="Arial"/>
          <w:sz w:val="18"/>
          <w:szCs w:val="18"/>
          <w:color w:val="auto"/>
        </w:rPr>
      </w:pPr>
      <w:r>
        <w:rPr>
          <w:rFonts w:ascii="Arial" w:cs="Arial" w:eastAsia="Arial" w:hAnsi="Arial"/>
          <w:sz w:val="18"/>
          <w:szCs w:val="18"/>
          <w:color w:val="auto"/>
        </w:rPr>
        <w:t>Except for the provisions of this Lease granting an option or options to extend the term, all of the terms and conditions of this Lease except where specifically modified by this option shall apply.</w:t>
      </w:r>
    </w:p>
    <w:p>
      <w:pPr>
        <w:spacing w:after="0" w:line="167" w:lineRule="exact"/>
        <w:rPr>
          <w:rFonts w:ascii="Arial" w:cs="Arial" w:eastAsia="Arial" w:hAnsi="Arial"/>
          <w:sz w:val="18"/>
          <w:szCs w:val="18"/>
          <w:color w:val="auto"/>
        </w:rPr>
      </w:pPr>
    </w:p>
    <w:p>
      <w:pPr>
        <w:ind w:right="60" w:firstLine="517"/>
        <w:spacing w:after="0" w:line="271" w:lineRule="auto"/>
        <w:tabs>
          <w:tab w:leader="none" w:pos="809"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This Option is personal to the original Lessee, and cannot be assigned or exercised by anyone other than said original Lessee and only while the original Lessee is in full possession of the Premises and without the intention of thereafter assigning or subletting.</w:t>
      </w:r>
    </w:p>
    <w:p>
      <w:pPr>
        <w:spacing w:after="0" w:line="153" w:lineRule="exact"/>
        <w:rPr>
          <w:rFonts w:ascii="Arial" w:cs="Arial" w:eastAsia="Arial" w:hAnsi="Arial"/>
          <w:sz w:val="18"/>
          <w:szCs w:val="18"/>
          <w:color w:val="auto"/>
        </w:rPr>
      </w:pPr>
    </w:p>
    <w:p>
      <w:pPr>
        <w:ind w:left="780" w:hanging="263"/>
        <w:spacing w:after="0"/>
        <w:tabs>
          <w:tab w:leader="none" w:pos="7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monthly rent for each month of the option period shall be calculated as follows, using the method(s) indicated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(Check Method(s) to be Used and Fill in Appropriately)</w:t>
      </w:r>
    </w:p>
    <w:p>
      <w:pPr>
        <w:spacing w:after="0" w:line="374" w:lineRule="exact"/>
        <w:rPr>
          <w:sz w:val="20"/>
          <w:szCs w:val="20"/>
          <w:color w:val="auto"/>
        </w:rPr>
      </w:pPr>
    </w:p>
    <w:p>
      <w:pPr>
        <w:ind w:left="480" w:hanging="459"/>
        <w:spacing w:after="0"/>
        <w:tabs>
          <w:tab w:leader="none" w:pos="480" w:val="left"/>
        </w:tabs>
        <w:numPr>
          <w:ilvl w:val="0"/>
          <w:numId w:val="147"/>
        </w:numPr>
        <w:rPr>
          <w:rFonts w:ascii="MS PGothic" w:cs="MS PGothic" w:eastAsia="MS PGothic" w:hAnsi="MS PGothic"/>
          <w:sz w:val="18"/>
          <w:szCs w:val="18"/>
          <w:color w:val="auto"/>
        </w:rPr>
      </w:pPr>
      <w:r>
        <w:rPr>
          <w:rFonts w:ascii="Arial" w:cs="Arial" w:eastAsia="Arial" w:hAnsi="Arial"/>
          <w:sz w:val="18"/>
          <w:szCs w:val="18"/>
          <w:b w:val="1"/>
          <w:bCs w:val="1"/>
          <w:color w:val="auto"/>
        </w:rPr>
        <w:t>I. Cost of Living Adjustment(s) (COLA)</w:t>
      </w:r>
    </w:p>
    <w:p>
      <w:pPr>
        <w:spacing w:after="0" w:line="117" w:lineRule="exact"/>
        <w:rPr>
          <w:sz w:val="20"/>
          <w:szCs w:val="20"/>
          <w:color w:val="auto"/>
        </w:rPr>
      </w:pPr>
    </w:p>
    <w:p>
      <w:pPr>
        <w:ind w:left="520"/>
        <w:spacing w:after="0"/>
        <w:tabs>
          <w:tab w:leader="none" w:pos="3740" w:val="left"/>
        </w:tabs>
        <w:rPr>
          <w:sz w:val="20"/>
          <w:szCs w:val="20"/>
          <w:color w:val="auto"/>
        </w:rPr>
      </w:pPr>
      <w:r>
        <w:rPr>
          <w:rFonts w:ascii="Arial" w:cs="Arial" w:eastAsia="Arial" w:hAnsi="Arial"/>
          <w:sz w:val="18"/>
          <w:szCs w:val="18"/>
          <w:color w:val="auto"/>
        </w:rPr>
        <w:t>a. On (Fill in COLA Dates):</w:t>
      </w:r>
      <w:r>
        <w:rPr>
          <w:sz w:val="20"/>
          <w:szCs w:val="20"/>
          <w:color w:val="auto"/>
        </w:rPr>
        <w:tab/>
      </w:r>
      <w:r>
        <w:rPr>
          <w:rFonts w:ascii="Arial" w:cs="Arial" w:eastAsia="Arial" w:hAnsi="Arial"/>
          <w:sz w:val="17"/>
          <w:szCs w:val="17"/>
          <w:color w:val="auto"/>
        </w:rPr>
        <w:t>the Base Rent shall be adjusted by the change, if any, from the Base Month specified below,</w:t>
      </w:r>
    </w:p>
    <w:p>
      <w:pPr>
        <w:spacing w:after="0" w:line="5"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 the Consumer Price Index of the Bureau of Labor Statistics of the U.S. Department of Labor for (select one): </w:t>
      </w:r>
      <w:r>
        <w:rPr>
          <w:rFonts w:ascii="MS PGothic" w:cs="MS PGothic" w:eastAsia="MS PGothic" w:hAnsi="MS PGothic"/>
          <w:sz w:val="18"/>
          <w:szCs w:val="18"/>
          <w:color w:val="auto"/>
        </w:rPr>
        <w:t>☐</w:t>
      </w:r>
      <w:r>
        <w:rPr>
          <w:rFonts w:ascii="Arial" w:cs="Arial" w:eastAsia="Arial" w:hAnsi="Arial"/>
          <w:sz w:val="18"/>
          <w:szCs w:val="18"/>
          <w:color w:val="auto"/>
        </w:rPr>
        <w:t xml:space="preserve"> CPI W (Urban Wage</w:t>
      </w:r>
    </w:p>
    <w:p>
      <w:pPr>
        <w:ind w:right="40"/>
        <w:spacing w:after="0" w:line="214" w:lineRule="exact"/>
        <w:rPr>
          <w:sz w:val="20"/>
          <w:szCs w:val="20"/>
          <w:color w:val="auto"/>
        </w:rPr>
      </w:pPr>
      <w:r>
        <w:rPr>
          <w:rFonts w:ascii="Arial" w:cs="Arial" w:eastAsia="Arial" w:hAnsi="Arial"/>
          <w:sz w:val="18"/>
          <w:szCs w:val="18"/>
          <w:color w:val="auto"/>
        </w:rPr>
        <w:t xml:space="preserve">Earners and Clerical Workers) or </w:t>
      </w:r>
      <w:r>
        <w:rPr>
          <w:rFonts w:ascii="MS PGothic" w:cs="MS PGothic" w:eastAsia="MS PGothic" w:hAnsi="MS PGothic"/>
          <w:sz w:val="18"/>
          <w:szCs w:val="18"/>
          <w:color w:val="auto"/>
        </w:rPr>
        <w:t>☐</w:t>
      </w:r>
      <w:r>
        <w:rPr>
          <w:rFonts w:ascii="Arial" w:cs="Arial" w:eastAsia="Arial" w:hAnsi="Arial"/>
          <w:sz w:val="18"/>
          <w:szCs w:val="18"/>
          <w:color w:val="auto"/>
        </w:rPr>
        <w:t xml:space="preserve"> CPI U (All Urban Consumers), for (Fill in Urban Area): . All Items (1982-1984 = 100), herein referred to as “CPI”.</w:t>
      </w:r>
    </w:p>
    <w:p>
      <w:pPr>
        <w:spacing w:after="0" w:line="195" w:lineRule="exact"/>
        <w:rPr>
          <w:sz w:val="20"/>
          <w:szCs w:val="20"/>
          <w:color w:val="auto"/>
        </w:rPr>
      </w:pPr>
    </w:p>
    <w:p>
      <w:pPr>
        <w:ind w:firstLine="509"/>
        <w:spacing w:after="0" w:line="210" w:lineRule="exact"/>
        <w:rPr>
          <w:sz w:val="20"/>
          <w:szCs w:val="20"/>
          <w:color w:val="auto"/>
        </w:rPr>
      </w:pPr>
      <w:r>
        <w:rPr>
          <w:rFonts w:ascii="Arial" w:cs="Arial" w:eastAsia="Arial" w:hAnsi="Arial"/>
          <w:sz w:val="17"/>
          <w:szCs w:val="17"/>
          <w:color w:val="auto"/>
        </w:rPr>
        <w:t xml:space="preserve">b. The monthly Base Rent payable in accordance with paragraph A.I.a. of this Addendum shall be calculated as follows: the Base Rent set forth in paragraph 1.5 of the attached Lease, shall be multiplied by a fraction the numerator of which shall be the CPI of the calendar month 2 months prior to the month(s) specified in paragraph A.I.a. above during which the adjustment is to take effect, and the denominator of which shall be the CPI of the calendar month which is 2 months prior to (select one): </w:t>
      </w:r>
      <w:r>
        <w:rPr>
          <w:rFonts w:ascii="MS PGothic" w:cs="MS PGothic" w:eastAsia="MS PGothic" w:hAnsi="MS PGothic"/>
          <w:sz w:val="17"/>
          <w:szCs w:val="17"/>
          <w:color w:val="auto"/>
        </w:rPr>
        <w:t>☐</w:t>
      </w:r>
      <w:r>
        <w:rPr>
          <w:rFonts w:ascii="Arial" w:cs="Arial" w:eastAsia="Arial" w:hAnsi="Arial"/>
          <w:sz w:val="17"/>
          <w:szCs w:val="17"/>
          <w:color w:val="auto"/>
        </w:rPr>
        <w:t xml:space="preserve"> the first month of the term of this Lease as set forth</w:t>
      </w:r>
    </w:p>
    <w:p>
      <w:pPr>
        <w:ind w:right="40"/>
        <w:spacing w:after="0" w:line="214" w:lineRule="exact"/>
        <w:rPr>
          <w:sz w:val="20"/>
          <w:szCs w:val="20"/>
          <w:color w:val="auto"/>
        </w:rPr>
      </w:pPr>
      <w:r>
        <w:rPr>
          <w:rFonts w:ascii="Arial" w:cs="Arial" w:eastAsia="Arial" w:hAnsi="Arial"/>
          <w:sz w:val="18"/>
          <w:szCs w:val="18"/>
          <w:color w:val="auto"/>
        </w:rPr>
        <w:t xml:space="preserve">in paragraph 1.3 (“Base Month”) or </w:t>
      </w:r>
      <w:r>
        <w:rPr>
          <w:rFonts w:ascii="MS PGothic" w:cs="MS PGothic" w:eastAsia="MS PGothic" w:hAnsi="MS PGothic"/>
          <w:sz w:val="18"/>
          <w:szCs w:val="18"/>
          <w:color w:val="auto"/>
        </w:rPr>
        <w:t>☐</w:t>
      </w:r>
      <w:r>
        <w:rPr>
          <w:rFonts w:ascii="Arial" w:cs="Arial" w:eastAsia="Arial" w:hAnsi="Arial"/>
          <w:sz w:val="18"/>
          <w:szCs w:val="18"/>
          <w:color w:val="auto"/>
        </w:rPr>
        <w:t xml:space="preserve"> (Fill in Other “Base Month”): . The sum so calculated shall constitute the new monthly Base Rent hereunder, but in no event, shall any such new monthly Base Rent be less than the Base Rent payable for the month immediately preceding the rent adjustment.</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tcPr>
          <w:p>
            <w:pPr>
              <w:ind w:left="20"/>
              <w:spacing w:after="0"/>
              <w:rPr>
                <w:sz w:val="20"/>
                <w:szCs w:val="20"/>
                <w:color w:val="auto"/>
              </w:rPr>
            </w:pPr>
            <w:r>
              <w:rPr>
                <w:rFonts w:ascii="Arial" w:cs="Arial" w:eastAsia="Arial" w:hAnsi="Arial"/>
                <w:sz w:val="18"/>
                <w:szCs w:val="18"/>
                <w:color w:val="auto"/>
              </w:rPr>
              <w:t>INITIALS</w:t>
            </w:r>
          </w:p>
        </w:tc>
        <w:tc>
          <w:tcPr>
            <w:tcW w:w="3320" w:type="dxa"/>
            <w:vAlign w:val="bottom"/>
          </w:tcPr>
          <w:p>
            <w:pPr>
              <w:ind w:left="1240"/>
              <w:spacing w:after="0"/>
              <w:rPr>
                <w:sz w:val="20"/>
                <w:szCs w:val="20"/>
                <w:color w:val="auto"/>
              </w:rPr>
            </w:pPr>
            <w:r>
              <w:rPr>
                <w:rFonts w:ascii="Arial" w:cs="Arial" w:eastAsia="Arial" w:hAnsi="Arial"/>
                <w:sz w:val="18"/>
                <w:szCs w:val="18"/>
                <w:color w:val="auto"/>
              </w:rPr>
              <w:t>Page 1 of 3</w:t>
            </w:r>
          </w:p>
        </w:tc>
        <w:tc>
          <w:tcPr>
            <w:tcW w:w="3560" w:type="dxa"/>
            <w:vAlign w:val="bottom"/>
          </w:tcPr>
          <w:p>
            <w:pPr>
              <w:jc w:val="right"/>
              <w:spacing w:after="0"/>
              <w:rPr>
                <w:sz w:val="20"/>
                <w:szCs w:val="20"/>
                <w:color w:val="auto"/>
              </w:rPr>
            </w:pPr>
            <w:r>
              <w:rPr>
                <w:rFonts w:ascii="Arial" w:cs="Arial" w:eastAsia="Arial" w:hAnsi="Arial"/>
                <w:sz w:val="18"/>
                <w:szCs w:val="18"/>
                <w:color w:val="auto"/>
              </w:rPr>
              <w:t>INITIALS</w:t>
            </w:r>
          </w:p>
        </w:tc>
      </w:tr>
      <w:tr>
        <w:trPr>
          <w:trHeight w:val="239"/>
        </w:trPr>
        <w:tc>
          <w:tcPr>
            <w:tcW w:w="4360" w:type="dxa"/>
            <w:vAlign w:val="bottom"/>
          </w:tcPr>
          <w:p>
            <w:pPr>
              <w:ind w:left="20"/>
              <w:spacing w:after="0"/>
              <w:rPr>
                <w:sz w:val="20"/>
                <w:szCs w:val="20"/>
                <w:color w:val="auto"/>
              </w:rPr>
            </w:pPr>
            <w:r>
              <w:rPr>
                <w:rFonts w:ascii="Arial" w:cs="Arial" w:eastAsia="Arial" w:hAnsi="Arial"/>
                <w:sz w:val="18"/>
                <w:szCs w:val="18"/>
                <w:color w:val="auto"/>
              </w:rPr>
              <w:t>© 2017 AIR CRE. All Rights Reserved.</w:t>
            </w:r>
          </w:p>
        </w:tc>
        <w:tc>
          <w:tcPr>
            <w:tcW w:w="3320" w:type="dxa"/>
            <w:vAlign w:val="bottom"/>
          </w:tcPr>
          <w:p>
            <w:pPr>
              <w:spacing w:after="0"/>
              <w:rPr>
                <w:sz w:val="20"/>
                <w:szCs w:val="20"/>
                <w:color w:val="auto"/>
              </w:rPr>
            </w:pPr>
          </w:p>
        </w:tc>
        <w:tc>
          <w:tcPr>
            <w:tcW w:w="3560" w:type="dxa"/>
            <w:vAlign w:val="bottom"/>
          </w:tcPr>
          <w:p>
            <w:pPr>
              <w:jc w:val="right"/>
              <w:spacing w:after="0"/>
              <w:rPr>
                <w:sz w:val="20"/>
                <w:szCs w:val="20"/>
                <w:color w:val="auto"/>
              </w:rPr>
            </w:pPr>
            <w:r>
              <w:rPr>
                <w:rFonts w:ascii="Arial" w:cs="Arial" w:eastAsia="Arial" w:hAnsi="Arial"/>
                <w:sz w:val="18"/>
                <w:szCs w:val="18"/>
                <w:color w:val="auto"/>
              </w:rPr>
              <w:t>OE-6.00, Revised 01-03-2017</w:t>
            </w:r>
          </w:p>
        </w:tc>
      </w:tr>
      <w:tr>
        <w:trPr>
          <w:trHeight w:val="151"/>
        </w:trPr>
        <w:tc>
          <w:tcPr>
            <w:tcW w:w="4360" w:type="dxa"/>
            <w:vAlign w:val="bottom"/>
            <w:tcBorders>
              <w:bottom w:val="single" w:sz="8" w:color="9A9A9A"/>
            </w:tcBorders>
          </w:tcPr>
          <w:p>
            <w:pPr>
              <w:spacing w:after="0"/>
              <w:rPr>
                <w:sz w:val="13"/>
                <w:szCs w:val="13"/>
                <w:color w:val="auto"/>
              </w:rPr>
            </w:pPr>
          </w:p>
        </w:tc>
        <w:tc>
          <w:tcPr>
            <w:tcW w:w="3320" w:type="dxa"/>
            <w:vAlign w:val="bottom"/>
            <w:tcBorders>
              <w:bottom w:val="single" w:sz="8" w:color="9A9A9A"/>
            </w:tcBorders>
          </w:tcPr>
          <w:p>
            <w:pPr>
              <w:spacing w:after="0"/>
              <w:rPr>
                <w:sz w:val="13"/>
                <w:szCs w:val="13"/>
                <w:color w:val="auto"/>
              </w:rPr>
            </w:pPr>
          </w:p>
        </w:tc>
        <w:tc>
          <w:tcPr>
            <w:tcW w:w="356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type w:val="continuous"/>
        </w:sectPr>
      </w:pPr>
    </w:p>
    <w:bookmarkStart w:id="150" w:name="page151"/>
    <w:bookmarkEnd w:id="150"/>
    <w:p>
      <w:pPr>
        <w:ind w:firstLine="509"/>
        <w:spacing w:after="0" w:line="251" w:lineRule="auto"/>
        <w:rPr>
          <w:sz w:val="20"/>
          <w:szCs w:val="20"/>
          <w:color w:val="auto"/>
        </w:rPr>
      </w:pPr>
      <w:r>
        <w:rPr>
          <w:rFonts w:ascii="Arial" w:cs="Arial" w:eastAsia="Arial" w:hAnsi="Arial"/>
          <w:sz w:val="18"/>
          <w:szCs w:val="18"/>
          <w:color w:val="auto"/>
        </w:rPr>
        <w:t>c. In the event the compilation and/or publication of the CPI shall be transferred to any other governmental department or bureau or agency or shall be discontinued, then the index most nearly the same as the CPI shall be used to make such calculation. In the event that the Parties cannot agree on such alternative index, then the matter shall be submitted for decision to the American Arbitration Association in accordance with the then rules of said Association and the decision of the arbitrators shall be binding upon the parties. The cost of said Arbitration shall be paid equally by the Parties.</w:t>
      </w:r>
    </w:p>
    <w:p>
      <w:pPr>
        <w:spacing w:after="0" w:line="335" w:lineRule="exact"/>
        <w:rPr>
          <w:sz w:val="20"/>
          <w:szCs w:val="20"/>
          <w:color w:val="auto"/>
        </w:rPr>
      </w:pPr>
    </w:p>
    <w:p>
      <w:pPr>
        <w:ind w:left="480" w:hanging="459"/>
        <w:spacing w:after="0"/>
        <w:tabs>
          <w:tab w:leader="none" w:pos="480" w:val="left"/>
        </w:tabs>
        <w:numPr>
          <w:ilvl w:val="0"/>
          <w:numId w:val="148"/>
        </w:numPr>
        <w:rPr>
          <w:rFonts w:ascii="MS PGothic" w:cs="MS PGothic" w:eastAsia="MS PGothic" w:hAnsi="MS PGothic"/>
          <w:sz w:val="18"/>
          <w:szCs w:val="18"/>
          <w:color w:val="auto"/>
        </w:rPr>
      </w:pPr>
      <w:r>
        <w:rPr>
          <w:rFonts w:ascii="Arial" w:cs="Arial" w:eastAsia="Arial" w:hAnsi="Arial"/>
          <w:sz w:val="18"/>
          <w:szCs w:val="18"/>
          <w:b w:val="1"/>
          <w:bCs w:val="1"/>
          <w:color w:val="auto"/>
        </w:rPr>
        <w:t>II. Market Rental Value Adjustment(s) (MRV)</w:t>
      </w:r>
    </w:p>
    <w:p>
      <w:pPr>
        <w:spacing w:after="0" w:line="117" w:lineRule="exact"/>
        <w:rPr>
          <w:rFonts w:ascii="MS PGothic" w:cs="MS PGothic" w:eastAsia="MS PGothic" w:hAnsi="MS PGothic"/>
          <w:sz w:val="18"/>
          <w:szCs w:val="18"/>
          <w:color w:val="auto"/>
        </w:rPr>
      </w:pPr>
    </w:p>
    <w:p>
      <w:pPr>
        <w:ind w:right="20" w:firstLine="517"/>
        <w:spacing w:after="0" w:line="271" w:lineRule="auto"/>
        <w:tabs>
          <w:tab w:leader="none" w:pos="709" w:val="left"/>
        </w:tabs>
        <w:numPr>
          <w:ilvl w:val="1"/>
          <w:numId w:val="148"/>
        </w:numPr>
        <w:rPr>
          <w:rFonts w:ascii="Arial" w:cs="Arial" w:eastAsia="Arial" w:hAnsi="Arial"/>
          <w:sz w:val="18"/>
          <w:szCs w:val="18"/>
          <w:color w:val="auto"/>
        </w:rPr>
      </w:pPr>
      <w:r>
        <w:rPr>
          <w:rFonts w:ascii="Arial" w:cs="Arial" w:eastAsia="Arial" w:hAnsi="Arial"/>
          <w:sz w:val="18"/>
          <w:szCs w:val="18"/>
          <w:color w:val="auto"/>
        </w:rPr>
        <w:t>On (Fill in MRV Adjustment Date(s)) March 1, 2023 and March 1, 2028 the Base Rent shall be adjusted to the “Market Rental Value” of the property as follows:</w:t>
      </w:r>
    </w:p>
    <w:p>
      <w:pPr>
        <w:spacing w:after="0" w:line="153" w:lineRule="exact"/>
        <w:rPr>
          <w:rFonts w:ascii="Arial" w:cs="Arial" w:eastAsia="Arial" w:hAnsi="Arial"/>
          <w:sz w:val="18"/>
          <w:szCs w:val="18"/>
          <w:color w:val="auto"/>
        </w:rPr>
      </w:pPr>
    </w:p>
    <w:p>
      <w:pPr>
        <w:ind w:right="200" w:firstLine="1154"/>
        <w:spacing w:after="0" w:line="271" w:lineRule="auto"/>
        <w:tabs>
          <w:tab w:leader="none" w:pos="1356" w:val="left"/>
        </w:tabs>
        <w:numPr>
          <w:ilvl w:val="2"/>
          <w:numId w:val="148"/>
        </w:numPr>
        <w:rPr>
          <w:rFonts w:ascii="Arial" w:cs="Arial" w:eastAsia="Arial" w:hAnsi="Arial"/>
          <w:sz w:val="18"/>
          <w:szCs w:val="18"/>
          <w:color w:val="auto"/>
        </w:rPr>
      </w:pPr>
      <w:r>
        <w:rPr>
          <w:rFonts w:ascii="Arial" w:cs="Arial" w:eastAsia="Arial" w:hAnsi="Arial"/>
          <w:sz w:val="18"/>
          <w:szCs w:val="18"/>
          <w:color w:val="auto"/>
        </w:rPr>
        <w:t>Four months prior to each Market Rental Value Adjustment Date described above, the Parties shall attempt to agree upon what the new MRV will be on the adjustment date. If agreement cannot be reached, within thirty days, then:</w:t>
      </w:r>
    </w:p>
    <w:p>
      <w:pPr>
        <w:spacing w:after="0" w:line="167" w:lineRule="exact"/>
        <w:rPr>
          <w:rFonts w:ascii="Arial" w:cs="Arial" w:eastAsia="Arial" w:hAnsi="Arial"/>
          <w:sz w:val="18"/>
          <w:szCs w:val="18"/>
          <w:color w:val="auto"/>
        </w:rPr>
      </w:pPr>
    </w:p>
    <w:p>
      <w:pPr>
        <w:ind w:right="260" w:firstLine="1663"/>
        <w:spacing w:after="0" w:line="271" w:lineRule="auto"/>
        <w:tabs>
          <w:tab w:leader="none" w:pos="1925" w:val="left"/>
        </w:tabs>
        <w:numPr>
          <w:ilvl w:val="3"/>
          <w:numId w:val="148"/>
        </w:numPr>
        <w:rPr>
          <w:rFonts w:ascii="Arial" w:cs="Arial" w:eastAsia="Arial" w:hAnsi="Arial"/>
          <w:sz w:val="18"/>
          <w:szCs w:val="18"/>
          <w:color w:val="auto"/>
        </w:rPr>
      </w:pPr>
      <w:r>
        <w:rPr>
          <w:rFonts w:ascii="Arial" w:cs="Arial" w:eastAsia="Arial" w:hAnsi="Arial"/>
          <w:sz w:val="18"/>
          <w:szCs w:val="18"/>
          <w:color w:val="auto"/>
        </w:rPr>
        <w:t>Lessor and Lessee shall immediately appoint a mutually acceptable appraiser or broker to establish the new MRV within the next 30 days. Any associated costs will be split equally between the Parties, or</w:t>
      </w:r>
    </w:p>
    <w:p>
      <w:pPr>
        <w:spacing w:after="0" w:line="153" w:lineRule="exact"/>
        <w:rPr>
          <w:rFonts w:ascii="Arial" w:cs="Arial" w:eastAsia="Arial" w:hAnsi="Arial"/>
          <w:sz w:val="18"/>
          <w:szCs w:val="18"/>
          <w:color w:val="auto"/>
        </w:rPr>
      </w:pPr>
    </w:p>
    <w:p>
      <w:pPr>
        <w:ind w:right="460" w:firstLine="1663"/>
        <w:spacing w:after="0" w:line="287" w:lineRule="auto"/>
        <w:tabs>
          <w:tab w:leader="none" w:pos="1925" w:val="left"/>
        </w:tabs>
        <w:numPr>
          <w:ilvl w:val="3"/>
          <w:numId w:val="148"/>
        </w:numPr>
        <w:rPr>
          <w:rFonts w:ascii="Arial" w:cs="Arial" w:eastAsia="Arial" w:hAnsi="Arial"/>
          <w:sz w:val="18"/>
          <w:szCs w:val="18"/>
          <w:color w:val="auto"/>
        </w:rPr>
      </w:pPr>
      <w:r>
        <w:rPr>
          <w:rFonts w:ascii="Arial" w:cs="Arial" w:eastAsia="Arial" w:hAnsi="Arial"/>
          <w:sz w:val="18"/>
          <w:szCs w:val="18"/>
          <w:color w:val="auto"/>
        </w:rPr>
        <w:t>Both Lessor and Lessee shall each immediately make a reasonable determination of the MRV and submit such determination, in writing, to arbitration in accordance with the following provisions:</w:t>
      </w:r>
    </w:p>
    <w:p>
      <w:pPr>
        <w:spacing w:after="0" w:line="111" w:lineRule="exact"/>
        <w:rPr>
          <w:rFonts w:ascii="Arial" w:cs="Arial" w:eastAsia="Arial" w:hAnsi="Arial"/>
          <w:sz w:val="18"/>
          <w:szCs w:val="18"/>
          <w:color w:val="auto"/>
        </w:rPr>
      </w:pPr>
    </w:p>
    <w:p>
      <w:pPr>
        <w:ind w:right="100" w:firstLine="2299"/>
        <w:spacing w:after="0" w:line="222" w:lineRule="exact"/>
        <w:tabs>
          <w:tab w:leader="none" w:pos="2501" w:val="left"/>
        </w:tabs>
        <w:numPr>
          <w:ilvl w:val="4"/>
          <w:numId w:val="148"/>
        </w:numPr>
        <w:rPr>
          <w:rFonts w:ascii="Arial" w:cs="Arial" w:eastAsia="Arial" w:hAnsi="Arial"/>
          <w:sz w:val="18"/>
          <w:szCs w:val="18"/>
          <w:color w:val="auto"/>
        </w:rPr>
      </w:pPr>
      <w:r>
        <w:rPr>
          <w:rFonts w:ascii="Arial" w:cs="Arial" w:eastAsia="Arial" w:hAnsi="Arial"/>
          <w:sz w:val="18"/>
          <w:szCs w:val="18"/>
          <w:color w:val="auto"/>
        </w:rPr>
        <w:t xml:space="preserve">Within 15 days thereafter, Lessor and Lessee shall each select an independent third party </w:t>
      </w:r>
      <w:r>
        <w:rPr>
          <w:rFonts w:ascii="MS PGothic" w:cs="MS PGothic" w:eastAsia="MS PGothic" w:hAnsi="MS PGothic"/>
          <w:sz w:val="18"/>
          <w:szCs w:val="18"/>
          <w:color w:val="auto"/>
        </w:rPr>
        <w:t>☐</w:t>
      </w:r>
      <w:r>
        <w:rPr>
          <w:rFonts w:ascii="Arial" w:cs="Arial" w:eastAsia="Arial" w:hAnsi="Arial"/>
          <w:sz w:val="18"/>
          <w:szCs w:val="18"/>
          <w:color w:val="auto"/>
        </w:rPr>
        <w:t xml:space="preserve"> appraiser or </w:t>
      </w:r>
      <w:r>
        <w:rPr>
          <w:rFonts w:ascii="MS PGothic" w:cs="MS PGothic" w:eastAsia="MS PGothic" w:hAnsi="MS PGothic"/>
          <w:sz w:val="18"/>
          <w:szCs w:val="18"/>
          <w:color w:val="auto"/>
        </w:rPr>
        <w:t>☒</w:t>
      </w:r>
      <w:r>
        <w:rPr>
          <w:rFonts w:ascii="Arial" w:cs="Arial" w:eastAsia="Arial" w:hAnsi="Arial"/>
          <w:sz w:val="18"/>
          <w:szCs w:val="18"/>
          <w:color w:val="auto"/>
        </w:rPr>
        <w:t xml:space="preserve"> broker (“Consultant” - check one) of their choice to act as an arbitrator (Note: the parties may not select either of the Brokers that was involved in negotiating the Lease). The two arbitrators so appointed shall immediately select a third mutually acceptable Consultant to act as a third arbitrator.</w:t>
      </w:r>
    </w:p>
    <w:p>
      <w:pPr>
        <w:spacing w:after="0" w:line="181" w:lineRule="exact"/>
        <w:rPr>
          <w:rFonts w:ascii="Arial" w:cs="Arial" w:eastAsia="Arial" w:hAnsi="Arial"/>
          <w:sz w:val="18"/>
          <w:szCs w:val="18"/>
          <w:color w:val="auto"/>
        </w:rPr>
      </w:pPr>
    </w:p>
    <w:p>
      <w:pPr>
        <w:ind w:right="20" w:firstLine="2299"/>
        <w:spacing w:after="0" w:line="252" w:lineRule="auto"/>
        <w:tabs>
          <w:tab w:leader="none" w:pos="2541" w:val="left"/>
        </w:tabs>
        <w:numPr>
          <w:ilvl w:val="4"/>
          <w:numId w:val="148"/>
        </w:numPr>
        <w:rPr>
          <w:rFonts w:ascii="Arial" w:cs="Arial" w:eastAsia="Arial" w:hAnsi="Arial"/>
          <w:sz w:val="18"/>
          <w:szCs w:val="18"/>
          <w:color w:val="auto"/>
        </w:rPr>
      </w:pPr>
      <w:r>
        <w:rPr>
          <w:rFonts w:ascii="Arial" w:cs="Arial" w:eastAsia="Arial" w:hAnsi="Arial"/>
          <w:sz w:val="18"/>
          <w:szCs w:val="18"/>
          <w:color w:val="auto"/>
        </w:rPr>
        <w:t>The 3 arbitrators shall within 30 days of the appointment of the third arbitrator reach a decision as to what the actual MRV for the Premises is, and whether Lessor’s or Lessee’s submitted MRV is the closest thereto. The decision of a majority of the arbitrators shall be binding on the Parties. The submitted MRV which is determined to be the closest to the actual MRV shall thereafter be used by the Parties.</w:t>
      </w:r>
    </w:p>
    <w:p>
      <w:pPr>
        <w:spacing w:after="0" w:line="183" w:lineRule="exact"/>
        <w:rPr>
          <w:rFonts w:ascii="Arial" w:cs="Arial" w:eastAsia="Arial" w:hAnsi="Arial"/>
          <w:sz w:val="18"/>
          <w:szCs w:val="18"/>
          <w:color w:val="auto"/>
        </w:rPr>
      </w:pPr>
    </w:p>
    <w:p>
      <w:pPr>
        <w:ind w:right="820" w:firstLine="2299"/>
        <w:spacing w:after="0" w:line="271" w:lineRule="auto"/>
        <w:tabs>
          <w:tab w:leader="none" w:pos="2581" w:val="left"/>
        </w:tabs>
        <w:numPr>
          <w:ilvl w:val="4"/>
          <w:numId w:val="148"/>
        </w:numPr>
        <w:rPr>
          <w:rFonts w:ascii="Arial" w:cs="Arial" w:eastAsia="Arial" w:hAnsi="Arial"/>
          <w:sz w:val="18"/>
          <w:szCs w:val="18"/>
          <w:color w:val="auto"/>
        </w:rPr>
      </w:pPr>
      <w:r>
        <w:rPr>
          <w:rFonts w:ascii="Arial" w:cs="Arial" w:eastAsia="Arial" w:hAnsi="Arial"/>
          <w:sz w:val="18"/>
          <w:szCs w:val="18"/>
          <w:color w:val="auto"/>
        </w:rPr>
        <w:t>If either of the Parties fails to appoint an arbitrator within the specified 15 days, the arbitrator timely appointed by one of them shall reach a decision on his or her own, and said decision shall be binding on the Parties.</w:t>
      </w:r>
    </w:p>
    <w:p>
      <w:pPr>
        <w:spacing w:after="0" w:line="153" w:lineRule="exact"/>
        <w:rPr>
          <w:rFonts w:ascii="Arial" w:cs="Arial" w:eastAsia="Arial" w:hAnsi="Arial"/>
          <w:sz w:val="18"/>
          <w:szCs w:val="18"/>
          <w:color w:val="auto"/>
        </w:rPr>
      </w:pPr>
    </w:p>
    <w:p>
      <w:pPr>
        <w:ind w:right="280" w:firstLine="2299"/>
        <w:spacing w:after="0" w:line="271" w:lineRule="auto"/>
        <w:tabs>
          <w:tab w:leader="none" w:pos="2591" w:val="left"/>
        </w:tabs>
        <w:numPr>
          <w:ilvl w:val="4"/>
          <w:numId w:val="148"/>
        </w:numPr>
        <w:rPr>
          <w:rFonts w:ascii="Arial" w:cs="Arial" w:eastAsia="Arial" w:hAnsi="Arial"/>
          <w:sz w:val="18"/>
          <w:szCs w:val="18"/>
          <w:color w:val="auto"/>
        </w:rPr>
      </w:pPr>
      <w:r>
        <w:rPr>
          <w:rFonts w:ascii="Arial" w:cs="Arial" w:eastAsia="Arial" w:hAnsi="Arial"/>
          <w:sz w:val="18"/>
          <w:szCs w:val="18"/>
          <w:color w:val="auto"/>
        </w:rPr>
        <w:t>The entire cost of such arbitration shall be paid by the party whose submitted MRV is not selected, ie. the one that is NOT the closest to the actual MRV.</w:t>
      </w:r>
    </w:p>
    <w:p>
      <w:pPr>
        <w:spacing w:after="0" w:line="167" w:lineRule="exact"/>
        <w:rPr>
          <w:rFonts w:ascii="Arial" w:cs="Arial" w:eastAsia="Arial" w:hAnsi="Arial"/>
          <w:sz w:val="18"/>
          <w:szCs w:val="18"/>
          <w:color w:val="auto"/>
        </w:rPr>
      </w:pPr>
    </w:p>
    <w:p>
      <w:pPr>
        <w:ind w:right="260" w:firstLine="1154"/>
        <w:spacing w:after="0" w:line="271" w:lineRule="auto"/>
        <w:tabs>
          <w:tab w:leader="none" w:pos="1356" w:val="left"/>
        </w:tabs>
        <w:numPr>
          <w:ilvl w:val="2"/>
          <w:numId w:val="148"/>
        </w:numPr>
        <w:rPr>
          <w:rFonts w:ascii="Arial" w:cs="Arial" w:eastAsia="Arial" w:hAnsi="Arial"/>
          <w:sz w:val="18"/>
          <w:szCs w:val="18"/>
          <w:color w:val="auto"/>
        </w:rPr>
      </w:pPr>
      <w:r>
        <w:rPr>
          <w:rFonts w:ascii="Arial" w:cs="Arial" w:eastAsia="Arial" w:hAnsi="Arial"/>
          <w:sz w:val="18"/>
          <w:szCs w:val="18"/>
          <w:color w:val="auto"/>
        </w:rPr>
        <w:t>When determining MRV, the Lessor, Lessee and Consultants shall consider the terms of comparable market transactions which shall include, but not limited to, rent, rental adjustments, abated rent, lease term and financial condition of tenants.</w:t>
      </w:r>
    </w:p>
    <w:p>
      <w:pPr>
        <w:spacing w:after="0" w:line="153" w:lineRule="exact"/>
        <w:rPr>
          <w:rFonts w:ascii="Arial" w:cs="Arial" w:eastAsia="Arial" w:hAnsi="Arial"/>
          <w:sz w:val="18"/>
          <w:szCs w:val="18"/>
          <w:color w:val="auto"/>
        </w:rPr>
      </w:pPr>
    </w:p>
    <w:p>
      <w:pPr>
        <w:ind w:right="680" w:firstLine="1154"/>
        <w:spacing w:after="0" w:line="287" w:lineRule="auto"/>
        <w:tabs>
          <w:tab w:leader="none" w:pos="1356" w:val="left"/>
        </w:tabs>
        <w:numPr>
          <w:ilvl w:val="2"/>
          <w:numId w:val="148"/>
        </w:numPr>
        <w:rPr>
          <w:rFonts w:ascii="Arial" w:cs="Arial" w:eastAsia="Arial" w:hAnsi="Arial"/>
          <w:sz w:val="18"/>
          <w:szCs w:val="18"/>
          <w:color w:val="auto"/>
        </w:rPr>
      </w:pPr>
      <w:r>
        <w:rPr>
          <w:rFonts w:ascii="Arial" w:cs="Arial" w:eastAsia="Arial" w:hAnsi="Arial"/>
          <w:sz w:val="18"/>
          <w:szCs w:val="18"/>
          <w:color w:val="auto"/>
        </w:rPr>
        <w:t>Notwithstanding the foregoing, the new Base Rent shall not be less than the rent payable for the month immediately preceding the rent adjustment.</w:t>
      </w:r>
    </w:p>
    <w:p>
      <w:pPr>
        <w:spacing w:after="0" w:line="139" w:lineRule="exact"/>
        <w:rPr>
          <w:rFonts w:ascii="Arial" w:cs="Arial" w:eastAsia="Arial" w:hAnsi="Arial"/>
          <w:sz w:val="18"/>
          <w:szCs w:val="18"/>
          <w:color w:val="auto"/>
        </w:rPr>
      </w:pPr>
    </w:p>
    <w:p>
      <w:pPr>
        <w:ind w:left="720" w:hanging="203"/>
        <w:spacing w:after="0"/>
        <w:tabs>
          <w:tab w:leader="none" w:pos="72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Upon the establishment of each New Market Rental Value:</w:t>
      </w:r>
    </w:p>
    <w:p>
      <w:pPr>
        <w:spacing w:after="0" w:line="211" w:lineRule="exact"/>
        <w:rPr>
          <w:rFonts w:ascii="Arial" w:cs="Arial" w:eastAsia="Arial" w:hAnsi="Arial"/>
          <w:sz w:val="18"/>
          <w:szCs w:val="18"/>
          <w:color w:val="auto"/>
        </w:rPr>
      </w:pPr>
    </w:p>
    <w:p>
      <w:pPr>
        <w:ind w:left="1360" w:hanging="206"/>
        <w:spacing w:after="0"/>
        <w:tabs>
          <w:tab w:leader="none" w:pos="1360" w:val="left"/>
        </w:tabs>
        <w:numPr>
          <w:ilvl w:val="2"/>
          <w:numId w:val="148"/>
        </w:numPr>
        <w:rPr>
          <w:rFonts w:ascii="Arial" w:cs="Arial" w:eastAsia="Arial" w:hAnsi="Arial"/>
          <w:sz w:val="18"/>
          <w:szCs w:val="18"/>
          <w:color w:val="auto"/>
        </w:rPr>
      </w:pPr>
      <w:r>
        <w:rPr>
          <w:rFonts w:ascii="Arial" w:cs="Arial" w:eastAsia="Arial" w:hAnsi="Arial"/>
          <w:sz w:val="18"/>
          <w:szCs w:val="18"/>
          <w:color w:val="auto"/>
        </w:rPr>
        <w:t>the new MRV will become the new “Base Rent” for the purpose of calculating any further Adjustments, and</w:t>
      </w:r>
    </w:p>
    <w:p>
      <w:pPr>
        <w:spacing w:after="0" w:line="225" w:lineRule="exact"/>
        <w:rPr>
          <w:rFonts w:ascii="Arial" w:cs="Arial" w:eastAsia="Arial" w:hAnsi="Arial"/>
          <w:sz w:val="18"/>
          <w:szCs w:val="18"/>
          <w:color w:val="auto"/>
        </w:rPr>
      </w:pPr>
    </w:p>
    <w:p>
      <w:pPr>
        <w:ind w:right="400" w:firstLine="1154"/>
        <w:spacing w:after="0" w:line="271" w:lineRule="auto"/>
        <w:tabs>
          <w:tab w:leader="none" w:pos="1356" w:val="left"/>
        </w:tabs>
        <w:numPr>
          <w:ilvl w:val="2"/>
          <w:numId w:val="148"/>
        </w:numPr>
        <w:rPr>
          <w:rFonts w:ascii="Arial" w:cs="Arial" w:eastAsia="Arial" w:hAnsi="Arial"/>
          <w:sz w:val="18"/>
          <w:szCs w:val="18"/>
          <w:color w:val="auto"/>
        </w:rPr>
      </w:pPr>
      <w:r>
        <w:rPr>
          <w:rFonts w:ascii="Arial" w:cs="Arial" w:eastAsia="Arial" w:hAnsi="Arial"/>
          <w:sz w:val="18"/>
          <w:szCs w:val="18"/>
          <w:color w:val="auto"/>
        </w:rPr>
        <w:t>the first month of each Market Rental Value term shall become the new “Base Month” for the purpose of calculating any further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tcPr>
          <w:p>
            <w:pPr>
              <w:ind w:left="20"/>
              <w:spacing w:after="0"/>
              <w:rPr>
                <w:sz w:val="20"/>
                <w:szCs w:val="20"/>
                <w:color w:val="auto"/>
              </w:rPr>
            </w:pPr>
            <w:r>
              <w:rPr>
                <w:rFonts w:ascii="Arial" w:cs="Arial" w:eastAsia="Arial" w:hAnsi="Arial"/>
                <w:sz w:val="18"/>
                <w:szCs w:val="18"/>
                <w:color w:val="auto"/>
              </w:rPr>
              <w:t>INITIALS</w:t>
            </w:r>
          </w:p>
        </w:tc>
        <w:tc>
          <w:tcPr>
            <w:tcW w:w="3320" w:type="dxa"/>
            <w:vAlign w:val="bottom"/>
          </w:tcPr>
          <w:p>
            <w:pPr>
              <w:ind w:left="1240"/>
              <w:spacing w:after="0"/>
              <w:rPr>
                <w:sz w:val="20"/>
                <w:szCs w:val="20"/>
                <w:color w:val="auto"/>
              </w:rPr>
            </w:pPr>
            <w:r>
              <w:rPr>
                <w:rFonts w:ascii="Arial" w:cs="Arial" w:eastAsia="Arial" w:hAnsi="Arial"/>
                <w:sz w:val="18"/>
                <w:szCs w:val="18"/>
                <w:color w:val="auto"/>
              </w:rPr>
              <w:t>Page 2 of 3</w:t>
            </w:r>
          </w:p>
        </w:tc>
        <w:tc>
          <w:tcPr>
            <w:tcW w:w="3560" w:type="dxa"/>
            <w:vAlign w:val="bottom"/>
          </w:tcPr>
          <w:p>
            <w:pPr>
              <w:jc w:val="right"/>
              <w:spacing w:after="0"/>
              <w:rPr>
                <w:sz w:val="20"/>
                <w:szCs w:val="20"/>
                <w:color w:val="auto"/>
              </w:rPr>
            </w:pPr>
            <w:r>
              <w:rPr>
                <w:rFonts w:ascii="Arial" w:cs="Arial" w:eastAsia="Arial" w:hAnsi="Arial"/>
                <w:sz w:val="18"/>
                <w:szCs w:val="18"/>
                <w:color w:val="auto"/>
              </w:rPr>
              <w:t>INITIALS</w:t>
            </w:r>
          </w:p>
        </w:tc>
      </w:tr>
      <w:tr>
        <w:trPr>
          <w:trHeight w:val="239"/>
        </w:trPr>
        <w:tc>
          <w:tcPr>
            <w:tcW w:w="4360" w:type="dxa"/>
            <w:vAlign w:val="bottom"/>
          </w:tcPr>
          <w:p>
            <w:pPr>
              <w:ind w:left="20"/>
              <w:spacing w:after="0"/>
              <w:rPr>
                <w:sz w:val="20"/>
                <w:szCs w:val="20"/>
                <w:color w:val="auto"/>
              </w:rPr>
            </w:pPr>
            <w:r>
              <w:rPr>
                <w:rFonts w:ascii="Arial" w:cs="Arial" w:eastAsia="Arial" w:hAnsi="Arial"/>
                <w:sz w:val="18"/>
                <w:szCs w:val="18"/>
                <w:color w:val="auto"/>
              </w:rPr>
              <w:t>© 2017 AIR CRE. All Rights Reserved.</w:t>
            </w:r>
          </w:p>
        </w:tc>
        <w:tc>
          <w:tcPr>
            <w:tcW w:w="3320" w:type="dxa"/>
            <w:vAlign w:val="bottom"/>
          </w:tcPr>
          <w:p>
            <w:pPr>
              <w:spacing w:after="0"/>
              <w:rPr>
                <w:sz w:val="20"/>
                <w:szCs w:val="20"/>
                <w:color w:val="auto"/>
              </w:rPr>
            </w:pPr>
          </w:p>
        </w:tc>
        <w:tc>
          <w:tcPr>
            <w:tcW w:w="3560" w:type="dxa"/>
            <w:vAlign w:val="bottom"/>
          </w:tcPr>
          <w:p>
            <w:pPr>
              <w:jc w:val="right"/>
              <w:spacing w:after="0"/>
              <w:rPr>
                <w:sz w:val="20"/>
                <w:szCs w:val="20"/>
                <w:color w:val="auto"/>
              </w:rPr>
            </w:pPr>
            <w:r>
              <w:rPr>
                <w:rFonts w:ascii="Arial" w:cs="Arial" w:eastAsia="Arial" w:hAnsi="Arial"/>
                <w:sz w:val="18"/>
                <w:szCs w:val="18"/>
                <w:color w:val="auto"/>
              </w:rPr>
              <w:t>OE-6.00, Revised 01-03-2017</w:t>
            </w:r>
          </w:p>
        </w:tc>
      </w:tr>
      <w:tr>
        <w:trPr>
          <w:trHeight w:val="152"/>
        </w:trPr>
        <w:tc>
          <w:tcPr>
            <w:tcW w:w="4360" w:type="dxa"/>
            <w:vAlign w:val="bottom"/>
            <w:tcBorders>
              <w:bottom w:val="single" w:sz="8" w:color="9A9A9A"/>
            </w:tcBorders>
          </w:tcPr>
          <w:p>
            <w:pPr>
              <w:spacing w:after="0"/>
              <w:rPr>
                <w:sz w:val="13"/>
                <w:szCs w:val="13"/>
                <w:color w:val="auto"/>
              </w:rPr>
            </w:pPr>
          </w:p>
        </w:tc>
        <w:tc>
          <w:tcPr>
            <w:tcW w:w="3320" w:type="dxa"/>
            <w:vAlign w:val="bottom"/>
            <w:tcBorders>
              <w:bottom w:val="single" w:sz="8" w:color="9A9A9A"/>
            </w:tcBorders>
          </w:tcPr>
          <w:p>
            <w:pPr>
              <w:spacing w:after="0"/>
              <w:rPr>
                <w:sz w:val="13"/>
                <w:szCs w:val="13"/>
                <w:color w:val="auto"/>
              </w:rPr>
            </w:pPr>
          </w:p>
        </w:tc>
        <w:tc>
          <w:tcPr>
            <w:tcW w:w="356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1" w:name="page152"/>
    <w:bookmarkEnd w:id="151"/>
    <w:p>
      <w:pPr>
        <w:ind w:left="280" w:hanging="272"/>
        <w:spacing w:after="0"/>
        <w:tabs>
          <w:tab w:leader="none" w:pos="280" w:val="left"/>
        </w:tabs>
        <w:numPr>
          <w:ilvl w:val="0"/>
          <w:numId w:val="149"/>
        </w:numPr>
        <w:rPr>
          <w:rFonts w:ascii="MS PGothic" w:cs="MS PGothic" w:eastAsia="MS PGothic" w:hAnsi="MS PGothic"/>
          <w:sz w:val="18"/>
          <w:szCs w:val="18"/>
          <w:color w:val="auto"/>
        </w:rPr>
      </w:pPr>
      <w:r>
        <w:rPr>
          <w:rFonts w:ascii="Arial" w:cs="Arial" w:eastAsia="Arial" w:hAnsi="Arial"/>
          <w:sz w:val="18"/>
          <w:szCs w:val="18"/>
          <w:b w:val="1"/>
          <w:bCs w:val="1"/>
          <w:color w:val="auto"/>
        </w:rPr>
        <w:t>III. Fixed Rental Adjustment(s) (FRA)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Base Rent shall be increased to the following amounts on the dates set forth below:</w:t>
      </w:r>
    </w:p>
    <w:p>
      <w:pPr>
        <w:spacing w:after="0" w:line="200" w:lineRule="exact"/>
        <w:rPr>
          <w:sz w:val="20"/>
          <w:szCs w:val="20"/>
          <w:color w:val="auto"/>
        </w:rPr>
      </w:pPr>
    </w:p>
    <w:p>
      <w:pPr>
        <w:spacing w:after="0" w:line="305" w:lineRule="exact"/>
        <w:rPr>
          <w:sz w:val="20"/>
          <w:szCs w:val="20"/>
          <w:color w:val="auto"/>
        </w:rPr>
      </w:pPr>
    </w:p>
    <w:p>
      <w:pPr>
        <w:ind w:left="2620"/>
        <w:spacing w:after="0"/>
        <w:tabs>
          <w:tab w:leader="none" w:pos="6740" w:val="left"/>
        </w:tabs>
        <w:rPr>
          <w:sz w:val="20"/>
          <w:szCs w:val="20"/>
          <w:color w:val="auto"/>
        </w:rPr>
      </w:pPr>
      <w:r>
        <w:rPr>
          <w:rFonts w:ascii="Arial" w:cs="Arial" w:eastAsia="Arial" w:hAnsi="Arial"/>
          <w:sz w:val="14"/>
          <w:szCs w:val="14"/>
          <w:color w:val="auto"/>
        </w:rPr>
        <w:t>On (Fill in FRA Adjustment Date(s)):</w:t>
      </w:r>
      <w:r>
        <w:rPr>
          <w:sz w:val="20"/>
          <w:szCs w:val="20"/>
          <w:color w:val="auto"/>
        </w:rPr>
        <w:tab/>
      </w:r>
      <w:r>
        <w:rPr>
          <w:rFonts w:ascii="Arial" w:cs="Arial" w:eastAsia="Arial" w:hAnsi="Arial"/>
          <w:sz w:val="14"/>
          <w:szCs w:val="14"/>
          <w:color w:val="auto"/>
        </w:rPr>
        <w:t>The New Base Rent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80" w:hanging="272"/>
        <w:spacing w:after="0"/>
        <w:tabs>
          <w:tab w:leader="none" w:pos="280" w:val="left"/>
        </w:tabs>
        <w:numPr>
          <w:ilvl w:val="0"/>
          <w:numId w:val="150"/>
        </w:numPr>
        <w:rPr>
          <w:rFonts w:ascii="MS PGothic" w:cs="MS PGothic" w:eastAsia="MS PGothic" w:hAnsi="MS PGothic"/>
          <w:sz w:val="18"/>
          <w:szCs w:val="18"/>
          <w:color w:val="auto"/>
        </w:rPr>
      </w:pPr>
      <w:r>
        <w:rPr>
          <w:rFonts w:ascii="Arial" w:cs="Arial" w:eastAsia="Arial" w:hAnsi="Arial"/>
          <w:sz w:val="18"/>
          <w:szCs w:val="18"/>
          <w:b w:val="1"/>
          <w:bCs w:val="1"/>
          <w:color w:val="auto"/>
        </w:rPr>
        <w:t>IV. Initial Term Adjustments</w:t>
      </w:r>
    </w:p>
    <w:p>
      <w:pPr>
        <w:spacing w:after="0" w:line="117"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color w:val="auto"/>
        </w:rPr>
        <w:t>The formula used to calculate adjustments to the Base Rate during the original Term of the Lease shall continue to be used during the extended term.</w:t>
      </w:r>
    </w:p>
    <w:p>
      <w:pPr>
        <w:spacing w:after="0" w:line="154" w:lineRule="exact"/>
        <w:rPr>
          <w:sz w:val="20"/>
          <w:szCs w:val="20"/>
          <w:color w:val="auto"/>
        </w:rPr>
      </w:pPr>
    </w:p>
    <w:p>
      <w:pPr>
        <w:ind w:left="480" w:hanging="459"/>
        <w:spacing w:after="0"/>
        <w:tabs>
          <w:tab w:leader="none" w:pos="48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NOTICE:</w:t>
      </w:r>
    </w:p>
    <w:p>
      <w:pPr>
        <w:spacing w:after="0" w:line="117"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Unless specified otherwise herein, notice of any rental adjustments, other than Fixed Rental Adjustments, shall be made as specified in paragraph 23 of the Lease.</w:t>
      </w:r>
    </w:p>
    <w:p>
      <w:pPr>
        <w:spacing w:after="0" w:line="167" w:lineRule="exact"/>
        <w:rPr>
          <w:sz w:val="20"/>
          <w:szCs w:val="20"/>
          <w:color w:val="auto"/>
        </w:rPr>
      </w:pPr>
    </w:p>
    <w:p>
      <w:pPr>
        <w:ind w:left="480" w:hanging="459"/>
        <w:spacing w:after="0"/>
        <w:tabs>
          <w:tab w:leader="none" w:pos="48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BROKER’S FEE:</w:t>
      </w:r>
    </w:p>
    <w:p>
      <w:pPr>
        <w:spacing w:after="0" w:line="117" w:lineRule="exact"/>
        <w:rPr>
          <w:sz w:val="20"/>
          <w:szCs w:val="20"/>
          <w:color w:val="auto"/>
        </w:rPr>
      </w:pPr>
    </w:p>
    <w:p>
      <w:pPr>
        <w:ind w:right="820"/>
        <w:spacing w:after="0" w:line="271" w:lineRule="auto"/>
        <w:rPr>
          <w:sz w:val="20"/>
          <w:szCs w:val="20"/>
          <w:color w:val="auto"/>
        </w:rPr>
      </w:pPr>
      <w:r>
        <w:rPr>
          <w:rFonts w:ascii="Arial" w:cs="Arial" w:eastAsia="Arial" w:hAnsi="Arial"/>
          <w:sz w:val="18"/>
          <w:szCs w:val="18"/>
          <w:color w:val="auto"/>
        </w:rPr>
        <w:t>The Brokers shall be paid a Brokerage Fee for each adjustment specified above in accordance with paragraph 15 of the Lease or if applicable, paragraph 9 of the Sublease.</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AIR CRE. 500 North Brand Blvd, Suite 900, Glendale, CA 91203, Tel 213-687-8777, Email [***]</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NOTICE: No part of these works may be reproduced in any form without permission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tcPr>
          <w:p>
            <w:pPr>
              <w:ind w:left="20"/>
              <w:spacing w:after="0"/>
              <w:rPr>
                <w:sz w:val="20"/>
                <w:szCs w:val="20"/>
                <w:color w:val="auto"/>
              </w:rPr>
            </w:pPr>
            <w:r>
              <w:rPr>
                <w:rFonts w:ascii="Arial" w:cs="Arial" w:eastAsia="Arial" w:hAnsi="Arial"/>
                <w:sz w:val="18"/>
                <w:szCs w:val="18"/>
                <w:color w:val="auto"/>
              </w:rPr>
              <w:t>INITIALS</w:t>
            </w:r>
          </w:p>
        </w:tc>
        <w:tc>
          <w:tcPr>
            <w:tcW w:w="3320" w:type="dxa"/>
            <w:vAlign w:val="bottom"/>
          </w:tcPr>
          <w:p>
            <w:pPr>
              <w:ind w:left="1240"/>
              <w:spacing w:after="0"/>
              <w:rPr>
                <w:sz w:val="20"/>
                <w:szCs w:val="20"/>
                <w:color w:val="auto"/>
              </w:rPr>
            </w:pPr>
            <w:r>
              <w:rPr>
                <w:rFonts w:ascii="Arial" w:cs="Arial" w:eastAsia="Arial" w:hAnsi="Arial"/>
                <w:sz w:val="18"/>
                <w:szCs w:val="18"/>
                <w:color w:val="auto"/>
              </w:rPr>
              <w:t>Page 3 of 3</w:t>
            </w:r>
          </w:p>
        </w:tc>
        <w:tc>
          <w:tcPr>
            <w:tcW w:w="3560" w:type="dxa"/>
            <w:vAlign w:val="bottom"/>
          </w:tcPr>
          <w:p>
            <w:pPr>
              <w:jc w:val="right"/>
              <w:spacing w:after="0"/>
              <w:rPr>
                <w:sz w:val="20"/>
                <w:szCs w:val="20"/>
                <w:color w:val="auto"/>
              </w:rPr>
            </w:pPr>
            <w:r>
              <w:rPr>
                <w:rFonts w:ascii="Arial" w:cs="Arial" w:eastAsia="Arial" w:hAnsi="Arial"/>
                <w:sz w:val="18"/>
                <w:szCs w:val="18"/>
                <w:color w:val="auto"/>
              </w:rPr>
              <w:t>INITIALS</w:t>
            </w:r>
          </w:p>
        </w:tc>
      </w:tr>
      <w:tr>
        <w:trPr>
          <w:trHeight w:val="239"/>
        </w:trPr>
        <w:tc>
          <w:tcPr>
            <w:tcW w:w="4360" w:type="dxa"/>
            <w:vAlign w:val="bottom"/>
          </w:tcPr>
          <w:p>
            <w:pPr>
              <w:ind w:left="20"/>
              <w:spacing w:after="0"/>
              <w:rPr>
                <w:sz w:val="20"/>
                <w:szCs w:val="20"/>
                <w:color w:val="auto"/>
              </w:rPr>
            </w:pPr>
            <w:r>
              <w:rPr>
                <w:rFonts w:ascii="Arial" w:cs="Arial" w:eastAsia="Arial" w:hAnsi="Arial"/>
                <w:sz w:val="18"/>
                <w:szCs w:val="18"/>
                <w:color w:val="auto"/>
              </w:rPr>
              <w:t>© 2017 AIR CRE. All Rights Reserved.</w:t>
            </w:r>
          </w:p>
        </w:tc>
        <w:tc>
          <w:tcPr>
            <w:tcW w:w="3320" w:type="dxa"/>
            <w:vAlign w:val="bottom"/>
          </w:tcPr>
          <w:p>
            <w:pPr>
              <w:spacing w:after="0"/>
              <w:rPr>
                <w:sz w:val="20"/>
                <w:szCs w:val="20"/>
                <w:color w:val="auto"/>
              </w:rPr>
            </w:pPr>
          </w:p>
        </w:tc>
        <w:tc>
          <w:tcPr>
            <w:tcW w:w="3560" w:type="dxa"/>
            <w:vAlign w:val="bottom"/>
          </w:tcPr>
          <w:p>
            <w:pPr>
              <w:jc w:val="right"/>
              <w:spacing w:after="0"/>
              <w:rPr>
                <w:sz w:val="20"/>
                <w:szCs w:val="20"/>
                <w:color w:val="auto"/>
              </w:rPr>
            </w:pPr>
            <w:r>
              <w:rPr>
                <w:rFonts w:ascii="Arial" w:cs="Arial" w:eastAsia="Arial" w:hAnsi="Arial"/>
                <w:sz w:val="18"/>
                <w:szCs w:val="18"/>
                <w:color w:val="auto"/>
              </w:rPr>
              <w:t>OE-6.00, Revised 01-03-2017</w:t>
            </w:r>
          </w:p>
        </w:tc>
      </w:tr>
      <w:tr>
        <w:trPr>
          <w:trHeight w:val="138"/>
        </w:trPr>
        <w:tc>
          <w:tcPr>
            <w:tcW w:w="4360" w:type="dxa"/>
            <w:vAlign w:val="bottom"/>
            <w:tcBorders>
              <w:bottom w:val="single" w:sz="8" w:color="9A9A9A"/>
            </w:tcBorders>
          </w:tcPr>
          <w:p>
            <w:pPr>
              <w:spacing w:after="0"/>
              <w:rPr>
                <w:sz w:val="12"/>
                <w:szCs w:val="12"/>
                <w:color w:val="auto"/>
              </w:rPr>
            </w:pPr>
          </w:p>
        </w:tc>
        <w:tc>
          <w:tcPr>
            <w:tcW w:w="3320" w:type="dxa"/>
            <w:vAlign w:val="bottom"/>
            <w:tcBorders>
              <w:bottom w:val="single" w:sz="8" w:color="9A9A9A"/>
            </w:tcBorders>
          </w:tcPr>
          <w:p>
            <w:pPr>
              <w:spacing w:after="0"/>
              <w:rPr>
                <w:sz w:val="12"/>
                <w:szCs w:val="12"/>
                <w:color w:val="auto"/>
              </w:rPr>
            </w:pPr>
          </w:p>
        </w:tc>
        <w:tc>
          <w:tcPr>
            <w:tcW w:w="356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2" w:name="page153"/>
    <w:bookmarkEnd w:id="152"/>
    <w:p>
      <w:pPr>
        <w:jc w:val="center"/>
        <w:ind w:right="40"/>
        <w:spacing w:after="0"/>
        <w:rPr>
          <w:sz w:val="20"/>
          <w:szCs w:val="20"/>
          <w:color w:val="auto"/>
        </w:rPr>
      </w:pPr>
      <w:r>
        <w:rPr>
          <w:rFonts w:ascii="Arial" w:cs="Arial" w:eastAsia="Arial" w:hAnsi="Arial"/>
          <w:sz w:val="18"/>
          <w:szCs w:val="18"/>
          <w:b w:val="1"/>
          <w:bCs w:val="1"/>
          <w:color w:val="auto"/>
        </w:rPr>
        <w:t>ARBITRATION AGREEMENT</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STANDARD LEASE ADDENDUM</w:t>
      </w:r>
    </w:p>
    <w:p>
      <w:pPr>
        <w:sectPr>
          <w:pgSz w:w="11900" w:h="16838" w:orient="portrait"/>
          <w:cols w:equalWidth="0" w:num="1">
            <w:col w:w="11240"/>
          </w:cols>
          <w:pgMar w:left="320" w:top="850" w:right="33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January 10, 2018</w:t>
      </w:r>
    </w:p>
    <w:p>
      <w:pPr>
        <w:spacing w:after="0" w:line="198" w:lineRule="exact"/>
        <w:rPr>
          <w:sz w:val="20"/>
          <w:szCs w:val="20"/>
          <w:color w:val="auto"/>
        </w:rPr>
      </w:pPr>
    </w:p>
    <w:p>
      <w:pPr>
        <w:sectPr>
          <w:pgSz w:w="11900" w:h="16838" w:orient="portrait"/>
          <w:cols w:equalWidth="0" w:num="2">
            <w:col w:w="1920" w:space="720"/>
            <w:col w:w="8600"/>
          </w:cols>
          <w:pgMar w:left="320" w:top="850" w:right="339" w:bottom="1440" w:gutter="0" w:footer="0" w:header="0"/>
          <w:type w:val="continuous"/>
        </w:sectPr>
      </w:pPr>
    </w:p>
    <w:p>
      <w:pPr>
        <w:ind w:left="580"/>
        <w:spacing w:after="0" w:line="296" w:lineRule="auto"/>
        <w:rPr>
          <w:sz w:val="20"/>
          <w:szCs w:val="20"/>
          <w:color w:val="auto"/>
        </w:rPr>
      </w:pPr>
      <w:r>
        <w:rPr>
          <w:rFonts w:ascii="Arial" w:cs="Arial" w:eastAsia="Arial" w:hAnsi="Arial"/>
          <w:sz w:val="18"/>
          <w:szCs w:val="18"/>
          <w:b w:val="1"/>
          <w:bCs w:val="1"/>
          <w:color w:val="auto"/>
        </w:rPr>
        <w:t>By and Between Lessor:</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Clifford D. Downs</w:t>
      </w:r>
    </w:p>
    <w:p>
      <w:pPr>
        <w:spacing w:after="0" w:line="209" w:lineRule="exact"/>
        <w:rPr>
          <w:sz w:val="20"/>
          <w:szCs w:val="20"/>
          <w:color w:val="auto"/>
        </w:rPr>
      </w:pPr>
    </w:p>
    <w:p>
      <w:pPr>
        <w:sectPr>
          <w:pgSz w:w="11900" w:h="16838" w:orient="portrait"/>
          <w:cols w:equalWidth="0" w:num="2">
            <w:col w:w="1980" w:space="660"/>
            <w:col w:w="8600"/>
          </w:cols>
          <w:pgMar w:left="320" w:top="850" w:right="339" w:bottom="1440" w:gutter="0" w:footer="0" w:header="0"/>
          <w:type w:val="continuous"/>
        </w:sectPr>
      </w:pPr>
    </w:p>
    <w:p>
      <w:pPr>
        <w:ind w:left="580"/>
        <w:spacing w:after="0"/>
        <w:rPr>
          <w:sz w:val="20"/>
          <w:szCs w:val="20"/>
          <w:color w:val="auto"/>
        </w:rPr>
      </w:pPr>
      <w:r>
        <w:rPr>
          <w:rFonts w:ascii="Arial" w:cs="Arial" w:eastAsia="Arial" w:hAnsi="Arial"/>
          <w:sz w:val="18"/>
          <w:szCs w:val="18"/>
          <w:b w:val="1"/>
          <w:bCs w:val="1"/>
          <w:color w:val="auto"/>
        </w:rPr>
        <w:t>Lessee: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RxSight, Inc., a California corporation</w:t>
      </w:r>
    </w:p>
    <w:p>
      <w:pPr>
        <w:spacing w:after="0" w:line="209" w:lineRule="exact"/>
        <w:rPr>
          <w:sz w:val="20"/>
          <w:szCs w:val="20"/>
          <w:color w:val="auto"/>
        </w:rPr>
      </w:pPr>
    </w:p>
    <w:p>
      <w:pPr>
        <w:sectPr>
          <w:pgSz w:w="11900" w:h="16838" w:orient="portrait"/>
          <w:cols w:equalWidth="0" w:num="2">
            <w:col w:w="1920" w:space="720"/>
            <w:col w:w="8600"/>
          </w:cols>
          <w:pgMar w:left="320" w:top="850" w:right="339" w:bottom="1440" w:gutter="0" w:footer="0" w:header="0"/>
          <w:type w:val="continuous"/>
        </w:sectPr>
      </w:pPr>
    </w:p>
    <w:p>
      <w:pPr>
        <w:ind w:left="580"/>
        <w:spacing w:after="0"/>
        <w:rPr>
          <w:sz w:val="20"/>
          <w:szCs w:val="20"/>
          <w:color w:val="auto"/>
        </w:rPr>
      </w:pPr>
      <w:r>
        <w:rPr>
          <w:rFonts w:ascii="Arial" w:cs="Arial" w:eastAsia="Arial" w:hAnsi="Arial"/>
          <w:sz w:val="18"/>
          <w:szCs w:val="18"/>
          <w:b w:val="1"/>
          <w:bCs w:val="1"/>
          <w:color w:val="auto"/>
        </w:rPr>
        <w:t>Property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5 Columbia, Aliso Viejo, CA 92656</w:t>
      </w:r>
    </w:p>
    <w:p>
      <w:pPr>
        <w:spacing w:after="0" w:line="209" w:lineRule="exact"/>
        <w:rPr>
          <w:sz w:val="20"/>
          <w:szCs w:val="20"/>
          <w:color w:val="auto"/>
        </w:rPr>
      </w:pPr>
    </w:p>
    <w:p>
      <w:pPr>
        <w:sectPr>
          <w:pgSz w:w="11900" w:h="16838" w:orient="portrait"/>
          <w:cols w:equalWidth="0" w:num="2">
            <w:col w:w="2160" w:space="480"/>
            <w:col w:w="8600"/>
          </w:cols>
          <w:pgMar w:left="320" w:top="850" w:right="339" w:bottom="1440" w:gutter="0" w:footer="0" w:header="0"/>
          <w:type w:val="continuous"/>
        </w:sectPr>
      </w:pPr>
    </w:p>
    <w:p>
      <w:pPr>
        <w:ind w:left="2640"/>
        <w:spacing w:after="0"/>
        <w:rPr>
          <w:sz w:val="20"/>
          <w:szCs w:val="20"/>
          <w:color w:val="auto"/>
        </w:rPr>
      </w:pPr>
      <w:r>
        <w:rPr>
          <w:rFonts w:ascii="Arial" w:cs="Arial" w:eastAsia="Arial" w:hAnsi="Arial"/>
          <w:sz w:val="17"/>
          <w:szCs w:val="17"/>
          <w:color w:val="auto"/>
        </w:rPr>
        <w:t>(street address, city, state, zip)</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Paragraph: 59</w:t>
      </w:r>
    </w:p>
    <w:p>
      <w:pPr>
        <w:sectPr>
          <w:pgSz w:w="11900" w:h="16838" w:orient="portrait"/>
          <w:cols w:equalWidth="0" w:num="1">
            <w:col w:w="11240"/>
          </w:cols>
          <w:pgMar w:left="320" w:top="850" w:right="339" w:bottom="1440" w:gutter="0" w:footer="0" w:header="0"/>
          <w:type w:val="continuous"/>
        </w:sectPr>
      </w:pPr>
    </w:p>
    <w:p>
      <w:pPr>
        <w:spacing w:after="0" w:line="333" w:lineRule="exact"/>
        <w:rPr>
          <w:sz w:val="20"/>
          <w:szCs w:val="20"/>
          <w:color w:val="auto"/>
        </w:rPr>
      </w:pPr>
    </w:p>
    <w:p>
      <w:pPr>
        <w:ind w:left="400" w:hanging="392"/>
        <w:spacing w:after="0"/>
        <w:tabs>
          <w:tab w:leader="none" w:pos="400" w:val="left"/>
        </w:tabs>
        <w:numPr>
          <w:ilvl w:val="0"/>
          <w:numId w:val="153"/>
        </w:numPr>
        <w:rPr>
          <w:rFonts w:ascii="Arial" w:cs="Arial" w:eastAsia="Arial" w:hAnsi="Arial"/>
          <w:sz w:val="18"/>
          <w:szCs w:val="18"/>
          <w:color w:val="auto"/>
        </w:rPr>
      </w:pPr>
      <w:r>
        <w:rPr>
          <w:rFonts w:ascii="Arial" w:cs="Arial" w:eastAsia="Arial" w:hAnsi="Arial"/>
          <w:sz w:val="18"/>
          <w:szCs w:val="18"/>
          <w:b w:val="1"/>
          <w:bCs w:val="1"/>
          <w:color w:val="auto"/>
        </w:rPr>
        <w:t>ARBITRATION OF DISPUTES:</w:t>
      </w:r>
    </w:p>
    <w:p>
      <w:pPr>
        <w:spacing w:after="0" w:line="104"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Except as provided in Paragraph B below, the Parties agree to resolve any and all claims, disputes or disagreements arising under this Lease, including, but not limited to any matter relating to Lessor’s failure to approve an assignment, sublease or other transfer of Lessee’s interest in the Lease under Paragraph 12 of this Lease, any other defaults by Lessor, or any defaults by Lessee by and through arbitration as provided below and irrevocably waive any and all rights to the contrary. The Parties agree to at all times conduct themselves in strict, full, complete and timely accordance with the terms hereof and that any attempt to circumvent the terms of this Arbitration Agreement shall be absolutely null and void and of no force or effect whatsoever.</w:t>
      </w:r>
    </w:p>
    <w:p>
      <w:pPr>
        <w:spacing w:after="0" w:line="175" w:lineRule="exact"/>
        <w:rPr>
          <w:sz w:val="20"/>
          <w:szCs w:val="20"/>
          <w:color w:val="auto"/>
        </w:rPr>
      </w:pPr>
    </w:p>
    <w:p>
      <w:pPr>
        <w:ind w:left="400" w:hanging="392"/>
        <w:spacing w:after="0"/>
        <w:tabs>
          <w:tab w:leader="none" w:pos="400" w:val="left"/>
        </w:tabs>
        <w:numPr>
          <w:ilvl w:val="0"/>
          <w:numId w:val="154"/>
        </w:numPr>
        <w:rPr>
          <w:rFonts w:ascii="Arial" w:cs="Arial" w:eastAsia="Arial" w:hAnsi="Arial"/>
          <w:sz w:val="18"/>
          <w:szCs w:val="18"/>
          <w:color w:val="auto"/>
        </w:rPr>
      </w:pPr>
      <w:r>
        <w:rPr>
          <w:rFonts w:ascii="Arial" w:cs="Arial" w:eastAsia="Arial" w:hAnsi="Arial"/>
          <w:sz w:val="18"/>
          <w:szCs w:val="18"/>
          <w:b w:val="1"/>
          <w:bCs w:val="1"/>
          <w:color w:val="auto"/>
        </w:rPr>
        <w:t>DISPUTES EXCLUDED FROM ARBITRATION</w:t>
      </w:r>
      <w:r>
        <w:rPr>
          <w:rFonts w:ascii="Arial" w:cs="Arial" w:eastAsia="Arial" w:hAnsi="Arial"/>
          <w:sz w:val="18"/>
          <w:szCs w:val="18"/>
          <w:color w:val="auto"/>
        </w:rPr>
        <w:t>:</w:t>
      </w:r>
    </w:p>
    <w:p>
      <w:pPr>
        <w:spacing w:after="0" w:line="104" w:lineRule="exact"/>
        <w:rPr>
          <w:sz w:val="20"/>
          <w:szCs w:val="20"/>
          <w:color w:val="auto"/>
        </w:rPr>
      </w:pPr>
    </w:p>
    <w:p>
      <w:pPr>
        <w:ind w:right="140" w:firstLine="509"/>
        <w:spacing w:after="0" w:line="258" w:lineRule="auto"/>
        <w:rPr>
          <w:sz w:val="20"/>
          <w:szCs w:val="20"/>
          <w:color w:val="auto"/>
        </w:rPr>
      </w:pPr>
      <w:r>
        <w:rPr>
          <w:rFonts w:ascii="Arial" w:cs="Arial" w:eastAsia="Arial" w:hAnsi="Arial"/>
          <w:sz w:val="17"/>
          <w:szCs w:val="17"/>
          <w:color w:val="auto"/>
        </w:rPr>
        <w:t>The following claims, disputes or disagreements under this Lease are expressly excluded from the arbitration procedures set forth herein: 1. Disputes for which a different resolution determination is specifically set forth in this Lease, 2. All claims by either party which (a) seek anything other than enforcement or determination of rights under this Lease, or (b) are primarily founded upon matters of fraud, willful misconduct, bad faith or any other allegations of tortious action, and seek the award of punitive or exemplary damages, 3. Claims relating to</w:t>
      </w:r>
    </w:p>
    <w:p>
      <w:pPr>
        <w:spacing w:after="0" w:line="1" w:lineRule="exact"/>
        <w:rPr>
          <w:sz w:val="20"/>
          <w:szCs w:val="20"/>
          <w:color w:val="auto"/>
        </w:rPr>
      </w:pPr>
    </w:p>
    <w:p>
      <w:pPr>
        <w:ind w:right="20" w:firstLine="8"/>
        <w:spacing w:after="0" w:line="245" w:lineRule="auto"/>
        <w:tabs>
          <w:tab w:leader="none" w:pos="27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Lessor’s exercise of any unlawful detainer rights pursuant to applicable law or (b) rights or remedies used by Lessor to gain possession of the Premises or terminate Lessee’s right of possession to the Premises, all of which disputes shall be resolved by suit filed in the applicable court of jurisdiction, the decision of which court shall be subject to appeal pursuant to applicable law 4. Any claim or dispute that is within the jurisdiction of the Small Claims Court and 5. All claims arising under Paragraph 39 of this Lease.</w:t>
      </w:r>
    </w:p>
    <w:p>
      <w:pPr>
        <w:spacing w:after="0" w:line="190" w:lineRule="exact"/>
        <w:rPr>
          <w:sz w:val="20"/>
          <w:szCs w:val="20"/>
          <w:color w:val="auto"/>
        </w:rPr>
      </w:pPr>
    </w:p>
    <w:p>
      <w:pPr>
        <w:ind w:left="400" w:hanging="392"/>
        <w:spacing w:after="0"/>
        <w:tabs>
          <w:tab w:leader="none" w:pos="400" w:val="left"/>
        </w:tabs>
        <w:numPr>
          <w:ilvl w:val="0"/>
          <w:numId w:val="156"/>
        </w:numPr>
        <w:rPr>
          <w:rFonts w:ascii="Arial" w:cs="Arial" w:eastAsia="Arial" w:hAnsi="Arial"/>
          <w:sz w:val="18"/>
          <w:szCs w:val="18"/>
          <w:color w:val="auto"/>
        </w:rPr>
      </w:pPr>
      <w:r>
        <w:rPr>
          <w:rFonts w:ascii="Arial" w:cs="Arial" w:eastAsia="Arial" w:hAnsi="Arial"/>
          <w:sz w:val="18"/>
          <w:szCs w:val="18"/>
          <w:b w:val="1"/>
          <w:bCs w:val="1"/>
          <w:color w:val="auto"/>
        </w:rPr>
        <w:t>APPOINTMENT OF AN ARBITRATOR:</w:t>
      </w:r>
    </w:p>
    <w:p>
      <w:pPr>
        <w:spacing w:after="0" w:line="75" w:lineRule="exact"/>
        <w:rPr>
          <w:sz w:val="20"/>
          <w:szCs w:val="20"/>
          <w:color w:val="auto"/>
        </w:rPr>
      </w:pPr>
    </w:p>
    <w:p>
      <w:pPr>
        <w:ind w:right="100"/>
        <w:spacing w:after="0" w:line="230" w:lineRule="exact"/>
        <w:rPr>
          <w:sz w:val="20"/>
          <w:szCs w:val="20"/>
          <w:color w:val="auto"/>
        </w:rPr>
      </w:pPr>
      <w:r>
        <w:rPr>
          <w:rFonts w:ascii="Arial" w:cs="Arial" w:eastAsia="Arial" w:hAnsi="Arial"/>
          <w:sz w:val="17"/>
          <w:szCs w:val="17"/>
          <w:color w:val="auto"/>
        </w:rPr>
        <w:t xml:space="preserve">All disputes subject to this Arbitration Agreement, shall be determined by binding arbitration before: </w:t>
      </w:r>
      <w:r>
        <w:rPr>
          <w:rFonts w:ascii="MS PGothic" w:cs="MS PGothic" w:eastAsia="MS PGothic" w:hAnsi="MS PGothic"/>
          <w:sz w:val="17"/>
          <w:szCs w:val="17"/>
          <w:color w:val="auto"/>
        </w:rPr>
        <w:t>☒</w:t>
      </w:r>
      <w:r>
        <w:rPr>
          <w:rFonts w:ascii="Arial" w:cs="Arial" w:eastAsia="Arial" w:hAnsi="Arial"/>
          <w:sz w:val="17"/>
          <w:szCs w:val="17"/>
          <w:color w:val="auto"/>
        </w:rPr>
        <w:t xml:space="preserve"> a retired judge of the applicable court of jurisdiction (e.g., the Superior Court of the State of California) affiliated with Judicial Arbitration &amp; Mediation Services, Inc. (“JAMS”), </w:t>
      </w:r>
      <w:r>
        <w:rPr>
          <w:rFonts w:ascii="MS PGothic" w:cs="MS PGothic" w:eastAsia="MS PGothic" w:hAnsi="MS PGothic"/>
          <w:sz w:val="17"/>
          <w:szCs w:val="17"/>
          <w:color w:val="auto"/>
        </w:rPr>
        <w:t>☐</w:t>
      </w:r>
      <w:r>
        <w:rPr>
          <w:rFonts w:ascii="Arial" w:cs="Arial" w:eastAsia="Arial" w:hAnsi="Arial"/>
          <w:sz w:val="17"/>
          <w:szCs w:val="17"/>
          <w:color w:val="auto"/>
        </w:rPr>
        <w:t xml:space="preserve"> the</w:t>
      </w:r>
    </w:p>
    <w:p>
      <w:pPr>
        <w:spacing w:after="0" w:line="1" w:lineRule="exact"/>
        <w:rPr>
          <w:sz w:val="20"/>
          <w:szCs w:val="20"/>
          <w:color w:val="auto"/>
        </w:rPr>
      </w:pPr>
    </w:p>
    <w:p>
      <w:pPr>
        <w:ind w:right="40"/>
        <w:spacing w:after="0" w:line="207" w:lineRule="exact"/>
        <w:rPr>
          <w:sz w:val="20"/>
          <w:szCs w:val="20"/>
          <w:color w:val="auto"/>
        </w:rPr>
      </w:pPr>
      <w:r>
        <w:rPr>
          <w:rFonts w:ascii="Arial" w:cs="Arial" w:eastAsia="Arial" w:hAnsi="Arial"/>
          <w:sz w:val="18"/>
          <w:szCs w:val="18"/>
          <w:color w:val="auto"/>
        </w:rPr>
        <w:t xml:space="preserve">American Arbitration Association (“AAA”) under its commercial arbitration rules, </w:t>
      </w:r>
      <w:r>
        <w:rPr>
          <w:rFonts w:ascii="MS PGothic" w:cs="MS PGothic" w:eastAsia="MS PGothic" w:hAnsi="MS PGothic"/>
          <w:sz w:val="18"/>
          <w:szCs w:val="18"/>
          <w:color w:val="auto"/>
        </w:rPr>
        <w:t>☐</w:t>
      </w:r>
      <w:r>
        <w:rPr>
          <w:rFonts w:ascii="Arial" w:cs="Arial" w:eastAsia="Arial" w:hAnsi="Arial"/>
          <w:sz w:val="18"/>
          <w:szCs w:val="18"/>
          <w:color w:val="auto"/>
        </w:rPr>
        <w:t xml:space="preserve"> , or as may be otherwise mutually agreed by Lessor and Lessee (the “Arbitrator”). In the event that the parties elect to use an arbitrator other than one affiliated with JAMS or AAA then such arbitrator shall be obligated to comply with the Code of Ethics for Arbitrators in Commercial Disputes (see: http://www.adr.org/aaa/ShowProperty?nodeld=/UCM/ADRSTG_003867). Such arbitration shall be initiated by the Parties, or either of them, within ten (10) days after either party sends written notice (the “Arbitration Notice”) of a demand to arbitrate by registered or certified mail to the other party and to the Arbitrator. The Arbitration Notice shall contain a description of the subject matter of the arbitration, the dispute with respect thereto, the amount involved, if any, and the remedy or determination sought. If the Parties have agreed to use JAMS they may agree on a retired judge from the JAMS panel. If they are unable to agree within ten days, JAMS will provide a list of three available judges and each party may strike one. The remaining judge (or if there are two, the one selected by JAMS) will serve as the Arbitrator. If the Parties have elected to utilize AAA or some other organization, the Arbitrator shall be selected in accordance with said organization’s rules. In the event the Arbitrator is not selected as provided for above for any reason, the party initiating arbitration shall apply to the appropriate Court for the appointment of a qualified retired judge to act as the Arbitrator.</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tcPr>
          <w:p>
            <w:pPr>
              <w:ind w:left="20"/>
              <w:spacing w:after="0"/>
              <w:rPr>
                <w:sz w:val="20"/>
                <w:szCs w:val="20"/>
                <w:color w:val="auto"/>
              </w:rPr>
            </w:pPr>
            <w:r>
              <w:rPr>
                <w:rFonts w:ascii="Arial" w:cs="Arial" w:eastAsia="Arial" w:hAnsi="Arial"/>
                <w:sz w:val="18"/>
                <w:szCs w:val="18"/>
                <w:color w:val="auto"/>
              </w:rPr>
              <w:t>INITIALS</w:t>
            </w:r>
          </w:p>
        </w:tc>
        <w:tc>
          <w:tcPr>
            <w:tcW w:w="3260" w:type="dxa"/>
            <w:vAlign w:val="bottom"/>
          </w:tcPr>
          <w:p>
            <w:pPr>
              <w:ind w:left="1240"/>
              <w:spacing w:after="0"/>
              <w:rPr>
                <w:sz w:val="20"/>
                <w:szCs w:val="20"/>
                <w:color w:val="auto"/>
              </w:rPr>
            </w:pPr>
            <w:r>
              <w:rPr>
                <w:rFonts w:ascii="Arial" w:cs="Arial" w:eastAsia="Arial" w:hAnsi="Arial"/>
                <w:sz w:val="18"/>
                <w:szCs w:val="18"/>
                <w:color w:val="auto"/>
              </w:rPr>
              <w:t>Page 1 of 2</w:t>
            </w:r>
          </w:p>
        </w:tc>
        <w:tc>
          <w:tcPr>
            <w:tcW w:w="3620" w:type="dxa"/>
            <w:vAlign w:val="bottom"/>
          </w:tcPr>
          <w:p>
            <w:pPr>
              <w:jc w:val="right"/>
              <w:spacing w:after="0"/>
              <w:rPr>
                <w:sz w:val="20"/>
                <w:szCs w:val="20"/>
                <w:color w:val="auto"/>
              </w:rPr>
            </w:pPr>
            <w:r>
              <w:rPr>
                <w:rFonts w:ascii="Arial" w:cs="Arial" w:eastAsia="Arial" w:hAnsi="Arial"/>
                <w:sz w:val="18"/>
                <w:szCs w:val="18"/>
                <w:color w:val="auto"/>
              </w:rPr>
              <w:t>INITIALS</w:t>
            </w:r>
          </w:p>
        </w:tc>
      </w:tr>
      <w:tr>
        <w:trPr>
          <w:trHeight w:val="239"/>
        </w:trPr>
        <w:tc>
          <w:tcPr>
            <w:tcW w:w="4360" w:type="dxa"/>
            <w:vAlign w:val="bottom"/>
          </w:tcPr>
          <w:p>
            <w:pPr>
              <w:ind w:left="20"/>
              <w:spacing w:after="0"/>
              <w:rPr>
                <w:sz w:val="20"/>
                <w:szCs w:val="20"/>
                <w:color w:val="auto"/>
              </w:rPr>
            </w:pPr>
            <w:r>
              <w:rPr>
                <w:rFonts w:ascii="Arial" w:cs="Arial" w:eastAsia="Arial" w:hAnsi="Arial"/>
                <w:sz w:val="18"/>
                <w:szCs w:val="18"/>
                <w:color w:val="auto"/>
              </w:rPr>
              <w:t>© 2017 AIR CRE. All Rights Reserved.</w:t>
            </w:r>
          </w:p>
        </w:tc>
        <w:tc>
          <w:tcPr>
            <w:tcW w:w="3260" w:type="dxa"/>
            <w:vAlign w:val="bottom"/>
          </w:tcPr>
          <w:p>
            <w:pPr>
              <w:spacing w:after="0"/>
              <w:rPr>
                <w:sz w:val="20"/>
                <w:szCs w:val="20"/>
                <w:color w:val="auto"/>
              </w:rPr>
            </w:pPr>
          </w:p>
        </w:tc>
        <w:tc>
          <w:tcPr>
            <w:tcW w:w="3620" w:type="dxa"/>
            <w:vAlign w:val="bottom"/>
          </w:tcPr>
          <w:p>
            <w:pPr>
              <w:jc w:val="right"/>
              <w:spacing w:after="0"/>
              <w:rPr>
                <w:sz w:val="20"/>
                <w:szCs w:val="20"/>
                <w:color w:val="auto"/>
              </w:rPr>
            </w:pPr>
            <w:r>
              <w:rPr>
                <w:rFonts w:ascii="Arial" w:cs="Arial" w:eastAsia="Arial" w:hAnsi="Arial"/>
                <w:sz w:val="18"/>
                <w:szCs w:val="18"/>
                <w:color w:val="auto"/>
              </w:rPr>
              <w:t>ARB-3.01, Revised 07-28-2017</w:t>
            </w:r>
          </w:p>
        </w:tc>
      </w:tr>
      <w:tr>
        <w:trPr>
          <w:trHeight w:val="138"/>
        </w:trPr>
        <w:tc>
          <w:tcPr>
            <w:tcW w:w="4360" w:type="dxa"/>
            <w:vAlign w:val="bottom"/>
            <w:tcBorders>
              <w:bottom w:val="single" w:sz="8" w:color="9A9A9A"/>
            </w:tcBorders>
          </w:tcPr>
          <w:p>
            <w:pPr>
              <w:spacing w:after="0"/>
              <w:rPr>
                <w:sz w:val="12"/>
                <w:szCs w:val="12"/>
                <w:color w:val="auto"/>
              </w:rPr>
            </w:pPr>
          </w:p>
        </w:tc>
        <w:tc>
          <w:tcPr>
            <w:tcW w:w="3260" w:type="dxa"/>
            <w:vAlign w:val="bottom"/>
            <w:tcBorders>
              <w:bottom w:val="single" w:sz="8" w:color="9A9A9A"/>
            </w:tcBorders>
          </w:tcPr>
          <w:p>
            <w:pPr>
              <w:spacing w:after="0"/>
              <w:rPr>
                <w:sz w:val="12"/>
                <w:szCs w:val="12"/>
                <w:color w:val="auto"/>
              </w:rPr>
            </w:pPr>
          </w:p>
        </w:tc>
        <w:tc>
          <w:tcPr>
            <w:tcW w:w="362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type w:val="continuous"/>
        </w:sectPr>
      </w:pPr>
    </w:p>
    <w:bookmarkStart w:id="153" w:name="page154"/>
    <w:bookmarkEnd w:id="153"/>
    <w:p>
      <w:pPr>
        <w:ind w:left="400" w:hanging="392"/>
        <w:spacing w:after="0"/>
        <w:tabs>
          <w:tab w:leader="none" w:pos="400" w:val="left"/>
        </w:tabs>
        <w:numPr>
          <w:ilvl w:val="0"/>
          <w:numId w:val="157"/>
        </w:numPr>
        <w:rPr>
          <w:rFonts w:ascii="Arial" w:cs="Arial" w:eastAsia="Arial" w:hAnsi="Arial"/>
          <w:sz w:val="18"/>
          <w:szCs w:val="18"/>
          <w:color w:val="auto"/>
        </w:rPr>
      </w:pPr>
      <w:r>
        <w:rPr>
          <w:rFonts w:ascii="Arial" w:cs="Arial" w:eastAsia="Arial" w:hAnsi="Arial"/>
          <w:sz w:val="18"/>
          <w:szCs w:val="18"/>
          <w:b w:val="1"/>
          <w:bCs w:val="1"/>
          <w:color w:val="auto"/>
        </w:rPr>
        <w:t>ARBITRATION PROCEDURE:</w:t>
      </w:r>
    </w:p>
    <w:p>
      <w:pPr>
        <w:spacing w:after="0" w:line="117" w:lineRule="exact"/>
        <w:rPr>
          <w:rFonts w:ascii="Arial" w:cs="Arial" w:eastAsia="Arial" w:hAnsi="Arial"/>
          <w:sz w:val="18"/>
          <w:szCs w:val="18"/>
          <w:color w:val="auto"/>
        </w:rPr>
      </w:pPr>
    </w:p>
    <w:p>
      <w:pPr>
        <w:ind w:right="40" w:firstLine="517"/>
        <w:spacing w:after="0" w:line="246" w:lineRule="auto"/>
        <w:tabs>
          <w:tab w:leader="none" w:pos="909" w:val="left"/>
        </w:tabs>
        <w:numPr>
          <w:ilvl w:val="1"/>
          <w:numId w:val="157"/>
        </w:numPr>
        <w:rPr>
          <w:rFonts w:ascii="Arial" w:cs="Arial" w:eastAsia="Arial" w:hAnsi="Arial"/>
          <w:sz w:val="18"/>
          <w:szCs w:val="18"/>
          <w:color w:val="auto"/>
        </w:rPr>
      </w:pPr>
      <w:r>
        <w:rPr>
          <w:rFonts w:ascii="Arial" w:cs="Arial" w:eastAsia="Arial" w:hAnsi="Arial"/>
          <w:sz w:val="18"/>
          <w:szCs w:val="18"/>
          <w:b w:val="1"/>
          <w:bCs w:val="1"/>
          <w:color w:val="auto"/>
        </w:rPr>
        <w:t xml:space="preserve">PRE-HEARING ACTIONS. </w:t>
      </w:r>
      <w:r>
        <w:rPr>
          <w:rFonts w:ascii="Arial" w:cs="Arial" w:eastAsia="Arial" w:hAnsi="Arial"/>
          <w:sz w:val="18"/>
          <w:szCs w:val="18"/>
          <w:color w:val="auto"/>
        </w:rPr>
        <w:t>The Arbitrator shall schedule a pre-hearing conference to resolve procedural matters, arrange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of information, obtain stipulations, and narrow the issues. The Parties will submit proposed discovery schedules to the Arbitrator at the pre-hearing conference. The scope and duration of discovery will be within the sole discretion of the Arbitrator. The Arbitrator shall have the discretion to order a pre-hearing exchange of information by the Parties, including, without limitation, production of requested documents, exchange of summaries of testimony of proposed witnesses, and examination by deposition of parties and third-party witnesses. This discretion shall be exercised in favor of discovery reasonable under the circumstances. The Arbitrator shall issue subpoenas and subpoenas duces tecum as provided for in the applicable statutory or case law (e.g., in California Code of Civil Procedure Section 1282.6).</w:t>
      </w:r>
    </w:p>
    <w:p>
      <w:pPr>
        <w:spacing w:after="0" w:line="175" w:lineRule="exact"/>
        <w:rPr>
          <w:rFonts w:ascii="Arial" w:cs="Arial" w:eastAsia="Arial" w:hAnsi="Arial"/>
          <w:sz w:val="18"/>
          <w:szCs w:val="18"/>
          <w:color w:val="auto"/>
        </w:rPr>
      </w:pPr>
    </w:p>
    <w:p>
      <w:pPr>
        <w:ind w:right="80" w:firstLine="517"/>
        <w:spacing w:after="0" w:line="243" w:lineRule="auto"/>
        <w:tabs>
          <w:tab w:leader="none" w:pos="909" w:val="left"/>
        </w:tabs>
        <w:numPr>
          <w:ilvl w:val="1"/>
          <w:numId w:val="157"/>
        </w:numPr>
        <w:rPr>
          <w:rFonts w:ascii="Arial" w:cs="Arial" w:eastAsia="Arial" w:hAnsi="Arial"/>
          <w:sz w:val="18"/>
          <w:szCs w:val="18"/>
          <w:color w:val="auto"/>
        </w:rPr>
      </w:pPr>
      <w:r>
        <w:rPr>
          <w:rFonts w:ascii="Arial" w:cs="Arial" w:eastAsia="Arial" w:hAnsi="Arial"/>
          <w:sz w:val="18"/>
          <w:szCs w:val="18"/>
          <w:b w:val="1"/>
          <w:bCs w:val="1"/>
          <w:color w:val="auto"/>
        </w:rPr>
        <w:t xml:space="preserve">THE DECISION. </w:t>
      </w:r>
      <w:r>
        <w:rPr>
          <w:rFonts w:ascii="Arial" w:cs="Arial" w:eastAsia="Arial" w:hAnsi="Arial"/>
          <w:sz w:val="18"/>
          <w:szCs w:val="18"/>
          <w:color w:val="auto"/>
        </w:rPr>
        <w:t>The arbitration shall be conducted in the city or county within which the Premises are located at a reasonably</w:t>
      </w:r>
      <w:r>
        <w:rPr>
          <w:rFonts w:ascii="Arial" w:cs="Arial" w:eastAsia="Arial" w:hAnsi="Arial"/>
          <w:sz w:val="18"/>
          <w:szCs w:val="18"/>
          <w:b w:val="1"/>
          <w:bCs w:val="1"/>
          <w:color w:val="auto"/>
        </w:rPr>
        <w:t xml:space="preserve"> </w:t>
      </w:r>
      <w:r>
        <w:rPr>
          <w:rFonts w:ascii="Arial" w:cs="Arial" w:eastAsia="Arial" w:hAnsi="Arial"/>
          <w:sz w:val="18"/>
          <w:szCs w:val="18"/>
          <w:color w:val="auto"/>
        </w:rPr>
        <w:t>convenient site. Any Party may be represented by counsel or other authorized representative. In rendering a decision(s), the Arbitrator shall determine the rights and obligations of the Parties according to the substantive laws and the terms and provisions of this Lease. The Arbitrator’s decision shall be based on the evidence introduced at the hearing, including all logical and reasonable inferences therefrom. The Arbitrator may make any determination and/or grant any remedy or relief that is just and equitable. The decision must be based on, and accompanied by, a written statement of decision explaining the factual and legal basis for the decision as to each of the principal controverted issues. The decision shall be conclusive and binding, and it may thereafter be confirmed as a judgment by the court of applicable jurisdiction, subject only to challenge on the grounds set forth in the applicable statutory or case law (e.g., in California Code of Civil Procedure Section 1286.2). The validity and enforceability of the Arbitrator’s decision is to be determined exclusively by the court of appropriate jurisdiction pursuant to the provisions of this Lease. The Arbitrator may award costs, including without limitation, Arbitrator’s fees and costs, attorneys’ fees, and expert and witness costs, to the prevailing party, if any, as determined by the Arbitrator in his discretion.</w:t>
      </w:r>
    </w:p>
    <w:p>
      <w:pPr>
        <w:spacing w:after="0" w:line="179" w:lineRule="exact"/>
        <w:rPr>
          <w:sz w:val="20"/>
          <w:szCs w:val="20"/>
          <w:color w:val="auto"/>
        </w:rPr>
      </w:pPr>
    </w:p>
    <w:p>
      <w:pPr>
        <w:ind w:right="80" w:firstLine="509"/>
        <w:spacing w:after="0" w:line="252" w:lineRule="auto"/>
        <w:rPr>
          <w:sz w:val="20"/>
          <w:szCs w:val="20"/>
          <w:color w:val="auto"/>
        </w:rPr>
      </w:pPr>
      <w:r>
        <w:rPr>
          <w:rFonts w:ascii="Arial" w:cs="Arial" w:eastAsia="Arial" w:hAnsi="Arial"/>
          <w:sz w:val="18"/>
          <w:szCs w:val="18"/>
          <w:color w:val="auto"/>
        </w:rPr>
        <w:t>Whenever a matter which has been submitted to arbitration involves a dispute as to whether or not a particular act or omission (other than a failure to pay money) constitutes a Default, the time to commence or cease such action shall be tolled from the date that the Notice of Arbitration is served through and until the date the Arbitrator renders his or her decision. Provided, however, that this provision shall NOT apply in the event that the Arbitrator determines that the Arbitration Notice was prepared in bad faith.</w:t>
      </w:r>
    </w:p>
    <w:p>
      <w:pPr>
        <w:spacing w:after="0" w:line="184"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Whenever a dispute arises between the Parties concerning whether or not the failure to make a payment of money constitutes a default, the service of an Arbitration Notice shall NOT toll the time period in which to pay the money. The Party allegedly obligated to pay the money may, however, elect to pay the money “under protest” by accompanying said payment with a written statement setting forth the reasons for such protest. If thereafter, the Arbitrator determines that the Party who received said money was not entitled to such payment, said money shall be promptly returned to the Party who paid such money under protest together with Interest thereon as defined in Paragraph 13.5. If a Party makes a payment “under protest” but no Notice of Arbitration is filed within thirty days, then such protest shall be deemed waived. (See also Paragraph 42 or 43)</w:t>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AIR CRE. 500 North Brand Blvd, Suite 900, Glendale, CA 91203, Tel 213-687-8777, Email [***]</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NOTICE: No part of these works may be reproduced in any form without permission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tcPr>
          <w:p>
            <w:pPr>
              <w:ind w:left="20"/>
              <w:spacing w:after="0"/>
              <w:rPr>
                <w:sz w:val="20"/>
                <w:szCs w:val="20"/>
                <w:color w:val="auto"/>
              </w:rPr>
            </w:pPr>
            <w:r>
              <w:rPr>
                <w:rFonts w:ascii="Arial" w:cs="Arial" w:eastAsia="Arial" w:hAnsi="Arial"/>
                <w:sz w:val="18"/>
                <w:szCs w:val="18"/>
                <w:color w:val="auto"/>
              </w:rPr>
              <w:t>INITIALS</w:t>
            </w:r>
          </w:p>
        </w:tc>
        <w:tc>
          <w:tcPr>
            <w:tcW w:w="3260" w:type="dxa"/>
            <w:vAlign w:val="bottom"/>
          </w:tcPr>
          <w:p>
            <w:pPr>
              <w:ind w:left="1240"/>
              <w:spacing w:after="0"/>
              <w:rPr>
                <w:sz w:val="20"/>
                <w:szCs w:val="20"/>
                <w:color w:val="auto"/>
              </w:rPr>
            </w:pPr>
            <w:r>
              <w:rPr>
                <w:rFonts w:ascii="Arial" w:cs="Arial" w:eastAsia="Arial" w:hAnsi="Arial"/>
                <w:sz w:val="18"/>
                <w:szCs w:val="18"/>
                <w:color w:val="auto"/>
              </w:rPr>
              <w:t>Page 2 of 2</w:t>
            </w:r>
          </w:p>
        </w:tc>
        <w:tc>
          <w:tcPr>
            <w:tcW w:w="3620" w:type="dxa"/>
            <w:vAlign w:val="bottom"/>
          </w:tcPr>
          <w:p>
            <w:pPr>
              <w:jc w:val="right"/>
              <w:spacing w:after="0"/>
              <w:rPr>
                <w:sz w:val="20"/>
                <w:szCs w:val="20"/>
                <w:color w:val="auto"/>
              </w:rPr>
            </w:pPr>
            <w:r>
              <w:rPr>
                <w:rFonts w:ascii="Arial" w:cs="Arial" w:eastAsia="Arial" w:hAnsi="Arial"/>
                <w:sz w:val="18"/>
                <w:szCs w:val="18"/>
                <w:color w:val="auto"/>
              </w:rPr>
              <w:t>INITIALS</w:t>
            </w:r>
          </w:p>
        </w:tc>
      </w:tr>
      <w:tr>
        <w:trPr>
          <w:trHeight w:val="239"/>
        </w:trPr>
        <w:tc>
          <w:tcPr>
            <w:tcW w:w="4360" w:type="dxa"/>
            <w:vAlign w:val="bottom"/>
          </w:tcPr>
          <w:p>
            <w:pPr>
              <w:ind w:left="20"/>
              <w:spacing w:after="0"/>
              <w:rPr>
                <w:sz w:val="20"/>
                <w:szCs w:val="20"/>
                <w:color w:val="auto"/>
              </w:rPr>
            </w:pPr>
            <w:r>
              <w:rPr>
                <w:rFonts w:ascii="Arial" w:cs="Arial" w:eastAsia="Arial" w:hAnsi="Arial"/>
                <w:sz w:val="18"/>
                <w:szCs w:val="18"/>
                <w:color w:val="auto"/>
              </w:rPr>
              <w:t>© 2017 AIR CRE. All Rights Reserved.</w:t>
            </w:r>
          </w:p>
        </w:tc>
        <w:tc>
          <w:tcPr>
            <w:tcW w:w="3260" w:type="dxa"/>
            <w:vAlign w:val="bottom"/>
          </w:tcPr>
          <w:p>
            <w:pPr>
              <w:spacing w:after="0"/>
              <w:rPr>
                <w:sz w:val="20"/>
                <w:szCs w:val="20"/>
                <w:color w:val="auto"/>
              </w:rPr>
            </w:pPr>
          </w:p>
        </w:tc>
        <w:tc>
          <w:tcPr>
            <w:tcW w:w="3620" w:type="dxa"/>
            <w:vAlign w:val="bottom"/>
          </w:tcPr>
          <w:p>
            <w:pPr>
              <w:jc w:val="right"/>
              <w:spacing w:after="0"/>
              <w:rPr>
                <w:sz w:val="20"/>
                <w:szCs w:val="20"/>
                <w:color w:val="auto"/>
              </w:rPr>
            </w:pPr>
            <w:r>
              <w:rPr>
                <w:rFonts w:ascii="Arial" w:cs="Arial" w:eastAsia="Arial" w:hAnsi="Arial"/>
                <w:sz w:val="18"/>
                <w:szCs w:val="18"/>
                <w:color w:val="auto"/>
              </w:rPr>
              <w:t>ARB-3.01, Revised 07-28-2017</w:t>
            </w:r>
          </w:p>
        </w:tc>
      </w:tr>
      <w:tr>
        <w:trPr>
          <w:trHeight w:val="138"/>
        </w:trPr>
        <w:tc>
          <w:tcPr>
            <w:tcW w:w="4360" w:type="dxa"/>
            <w:vAlign w:val="bottom"/>
            <w:tcBorders>
              <w:bottom w:val="single" w:sz="8" w:color="9A9A9A"/>
            </w:tcBorders>
          </w:tcPr>
          <w:p>
            <w:pPr>
              <w:spacing w:after="0"/>
              <w:rPr>
                <w:sz w:val="12"/>
                <w:szCs w:val="12"/>
                <w:color w:val="auto"/>
              </w:rPr>
            </w:pPr>
          </w:p>
        </w:tc>
        <w:tc>
          <w:tcPr>
            <w:tcW w:w="3260" w:type="dxa"/>
            <w:vAlign w:val="bottom"/>
            <w:tcBorders>
              <w:bottom w:val="single" w:sz="8" w:color="9A9A9A"/>
            </w:tcBorders>
          </w:tcPr>
          <w:p>
            <w:pPr>
              <w:spacing w:after="0"/>
              <w:rPr>
                <w:sz w:val="12"/>
                <w:szCs w:val="12"/>
                <w:color w:val="auto"/>
              </w:rPr>
            </w:pPr>
          </w:p>
        </w:tc>
        <w:tc>
          <w:tcPr>
            <w:tcW w:w="362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4" w:name="page155"/>
    <w:bookmarkEnd w:id="154"/>
    <w:p>
      <w:pPr>
        <w:jc w:val="center"/>
        <w:ind w:right="5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BUILDING PLAN</w:t>
      </w:r>
    </w:p>
    <w:p>
      <w:pPr>
        <w:spacing w:after="0" w:line="223" w:lineRule="exact"/>
        <w:rPr>
          <w:sz w:val="20"/>
          <w:szCs w:val="20"/>
          <w:color w:val="auto"/>
        </w:rPr>
      </w:pPr>
    </w:p>
    <w:p>
      <w:pPr>
        <w:ind w:left="3880" w:right="3939" w:firstLine="144"/>
        <w:spacing w:after="0" w:line="271" w:lineRule="auto"/>
        <w:tabs>
          <w:tab w:leader="none" w:pos="4168" w:val="left"/>
        </w:tabs>
        <w:numPr>
          <w:ilvl w:val="0"/>
          <w:numId w:val="158"/>
        </w:numPr>
        <w:rPr>
          <w:rFonts w:ascii="Arial" w:cs="Arial" w:eastAsia="Arial" w:hAnsi="Arial"/>
          <w:sz w:val="18"/>
          <w:szCs w:val="18"/>
          <w:color w:val="auto"/>
        </w:rPr>
      </w:pPr>
      <w:r>
        <w:rPr>
          <w:rFonts w:ascii="Arial" w:cs="Arial" w:eastAsia="Arial" w:hAnsi="Arial"/>
          <w:sz w:val="18"/>
          <w:szCs w:val="18"/>
          <w:color w:val="auto"/>
        </w:rPr>
        <w:t>Columbia Aliso Viejo, 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135255</wp:posOffset>
            </wp:positionV>
            <wp:extent cx="7157720" cy="500189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5001895"/>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sectPr>
      </w:pPr>
    </w:p>
    <w:bookmarkStart w:id="155" w:name="page156"/>
    <w:bookmarkEnd w:id="155"/>
    <w:p>
      <w:pPr>
        <w:jc w:val="center"/>
        <w:ind w:right="59"/>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PROPOSED BUILDING IMPROVEMENTS</w:t>
      </w:r>
    </w:p>
    <w:p>
      <w:pPr>
        <w:spacing w:after="0" w:line="115" w:lineRule="exact"/>
        <w:rPr>
          <w:sz w:val="20"/>
          <w:szCs w:val="20"/>
          <w:color w:val="auto"/>
        </w:rPr>
      </w:pPr>
    </w:p>
    <w:p>
      <w:pPr>
        <w:ind w:left="3880" w:right="3939" w:firstLine="144"/>
        <w:spacing w:after="0" w:line="271" w:lineRule="auto"/>
        <w:tabs>
          <w:tab w:leader="none" w:pos="416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Columbia Aliso Viejo, 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152400</wp:posOffset>
            </wp:positionV>
            <wp:extent cx="7157720" cy="699071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6990715"/>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sectPr>
      </w:pPr>
    </w:p>
    <w:bookmarkStart w:id="156" w:name="page157"/>
    <w:bookmarkEnd w:id="156"/>
    <w:p>
      <w:pPr>
        <w:spacing w:after="0"/>
        <w:rPr>
          <w:sz w:val="20"/>
          <w:szCs w:val="20"/>
          <w:color w:val="auto"/>
        </w:rPr>
      </w:pPr>
      <w:r>
        <w:rPr>
          <w:rFonts w:ascii="Arial" w:cs="Arial" w:eastAsia="Arial" w:hAnsi="Arial"/>
          <w:sz w:val="21"/>
          <w:szCs w:val="21"/>
          <w:b w:val="1"/>
          <w:bCs w:val="1"/>
          <w:color w:val="auto"/>
        </w:rPr>
        <w:t>Option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wp:posOffset>
            </wp:positionV>
            <wp:extent cx="7157720" cy="45046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504690"/>
                    </a:xfrm>
                    <a:prstGeom prst="rect">
                      <a:avLst/>
                    </a:prstGeom>
                    <a:noFill/>
                  </pic:spPr>
                </pic:pic>
              </a:graphicData>
            </a:graphic>
          </wp:anchor>
        </w:drawing>
      </w:r>
    </w:p>
    <w:p>
      <w:pPr>
        <w:sectPr>
          <w:pgSz w:w="11900" w:h="16838" w:orient="portrait"/>
          <w:cols w:equalWidth="0" w:num="1">
            <w:col w:w="10139"/>
          </w:cols>
          <w:pgMar w:left="320" w:top="354" w:right="1440"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2117090" cy="48006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clrChange>
                        <a:clrFrom>
                          <a:srgbClr val="FFFFFF"/>
                        </a:clrFrom>
                        <a:clrTo>
                          <a:srgbClr val="FFFFFF">
                            <a:alpha val="0"/>
                          </a:srgbClr>
                        </a:clrTo>
                      </a:clrChange>
                      <a:extLst>
                        <a:ext uri="{28A0092B-C50C-407E-A947-70E740481C1C}"/>
                      </a:extLst>
                    </a:blip>
                    <a:srcRect/>
                    <a:stretch>
                      <a:fillRect/>
                    </a:stretch>
                  </pic:blipFill>
                  <pic:spPr bwMode="auto">
                    <a:xfrm>
                      <a:off x="0" y="0"/>
                      <a:ext cx="2117090" cy="480060"/>
                    </a:xfrm>
                    <a:prstGeom prst="rect">
                      <a:avLst/>
                    </a:prstGeom>
                    <a:noFill/>
                  </pic:spPr>
                </pic:pic>
              </a:graphicData>
            </a:graphic>
          </wp:anchor>
        </w:drawing>
        <w:t>COMMERCIAL REAL ESTATE SERVICES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DISCLOSURE REGARDING REAL ESTATE AGENCY RELATIONSHIP</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(As required by the California Civil Code)</w:t>
      </w:r>
    </w:p>
    <w:p>
      <w:pPr>
        <w:spacing w:after="0" w:line="194"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When you enter into a discussion with a real estate agent regarding a real estate transaction, you should from the outset understand what type of agency relationship or representation you wish to have with the agent in the transaction.</w:t>
      </w:r>
    </w:p>
    <w:p>
      <w:pPr>
        <w:spacing w:after="0" w:line="383"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SELLER’S AGENT (including a lessor’s agent)</w:t>
      </w:r>
    </w:p>
    <w:p>
      <w:pPr>
        <w:spacing w:after="0" w:line="212"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A Seller’s agent under a listing agreement with the Seller acts as the agent for the Seller only. A Seller’s agent or a subagent of that agent has the following affirmative obligations:</w:t>
      </w:r>
    </w:p>
    <w:p>
      <w:pPr>
        <w:spacing w:after="0" w:line="167" w:lineRule="exact"/>
        <w:rPr>
          <w:sz w:val="20"/>
          <w:szCs w:val="20"/>
          <w:color w:val="auto"/>
        </w:rPr>
      </w:pPr>
    </w:p>
    <w:p>
      <w:pPr>
        <w:ind w:left="1020"/>
        <w:spacing w:after="0"/>
        <w:rPr>
          <w:sz w:val="20"/>
          <w:szCs w:val="20"/>
          <w:color w:val="auto"/>
        </w:rPr>
      </w:pPr>
      <w:r>
        <w:rPr>
          <w:rFonts w:ascii="Arial" w:cs="Arial" w:eastAsia="Arial" w:hAnsi="Arial"/>
          <w:sz w:val="18"/>
          <w:szCs w:val="18"/>
          <w:u w:val="single" w:color="auto"/>
          <w:color w:val="auto"/>
        </w:rPr>
        <w:t>To the Seller</w:t>
      </w:r>
      <w:r>
        <w:rPr>
          <w:rFonts w:ascii="Arial" w:cs="Arial" w:eastAsia="Arial" w:hAnsi="Arial"/>
          <w:sz w:val="18"/>
          <w:szCs w:val="18"/>
          <w:color w:val="auto"/>
        </w:rPr>
        <w:t>: A fiduciary duty of utmost care, integrity, honesty, and loyalty in dealings with the Seller.</w:t>
      </w:r>
    </w:p>
    <w:p>
      <w:pPr>
        <w:spacing w:after="0" w:line="104" w:lineRule="exact"/>
        <w:rPr>
          <w:sz w:val="20"/>
          <w:szCs w:val="20"/>
          <w:color w:val="auto"/>
        </w:rPr>
      </w:pPr>
    </w:p>
    <w:p>
      <w:pPr>
        <w:ind w:left="1020"/>
        <w:spacing w:after="0"/>
        <w:rPr>
          <w:sz w:val="20"/>
          <w:szCs w:val="20"/>
          <w:color w:val="auto"/>
        </w:rPr>
      </w:pPr>
      <w:r>
        <w:rPr>
          <w:rFonts w:ascii="Arial" w:cs="Arial" w:eastAsia="Arial" w:hAnsi="Arial"/>
          <w:sz w:val="18"/>
          <w:szCs w:val="18"/>
          <w:u w:val="single" w:color="auto"/>
          <w:color w:val="auto"/>
        </w:rPr>
        <w:t>To the Buyer and the Seller</w:t>
      </w:r>
      <w:r>
        <w:rPr>
          <w:rFonts w:ascii="Arial" w:cs="Arial" w:eastAsia="Arial" w:hAnsi="Arial"/>
          <w:sz w:val="18"/>
          <w:szCs w:val="18"/>
          <w:color w:val="auto"/>
        </w:rPr>
        <w:t>:</w:t>
      </w:r>
    </w:p>
    <w:p>
      <w:pPr>
        <w:spacing w:after="0" w:line="104" w:lineRule="exact"/>
        <w:rPr>
          <w:sz w:val="20"/>
          <w:szCs w:val="20"/>
          <w:color w:val="auto"/>
        </w:rPr>
      </w:pPr>
    </w:p>
    <w:p>
      <w:pPr>
        <w:ind w:left="1940" w:hanging="277"/>
        <w:spacing w:after="0"/>
        <w:tabs>
          <w:tab w:leader="none" w:pos="19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Diligent exercise of reasonable skill and care in performance of the agent’s duties.</w:t>
      </w:r>
    </w:p>
    <w:p>
      <w:pPr>
        <w:spacing w:after="0" w:line="117" w:lineRule="exact"/>
        <w:rPr>
          <w:rFonts w:ascii="Arial" w:cs="Arial" w:eastAsia="Arial" w:hAnsi="Arial"/>
          <w:sz w:val="18"/>
          <w:szCs w:val="18"/>
          <w:color w:val="auto"/>
        </w:rPr>
      </w:pPr>
    </w:p>
    <w:p>
      <w:pPr>
        <w:ind w:left="1940" w:hanging="277"/>
        <w:spacing w:after="0"/>
        <w:tabs>
          <w:tab w:leader="none" w:pos="19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 duty of honest and fair dealing and good faith.</w:t>
      </w:r>
    </w:p>
    <w:p>
      <w:pPr>
        <w:spacing w:after="0" w:line="103" w:lineRule="exact"/>
        <w:rPr>
          <w:rFonts w:ascii="Arial" w:cs="Arial" w:eastAsia="Arial" w:hAnsi="Arial"/>
          <w:sz w:val="18"/>
          <w:szCs w:val="18"/>
          <w:color w:val="auto"/>
        </w:rPr>
      </w:pPr>
    </w:p>
    <w:p>
      <w:pPr>
        <w:jc w:val="both"/>
        <w:ind w:left="1160" w:firstLine="503"/>
        <w:spacing w:after="0" w:line="261" w:lineRule="auto"/>
        <w:tabs>
          <w:tab w:leader="none" w:pos="1932"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 duty to disclose all facts known to the agent materially affecting the value or desirability of the property that are not known to, or within the diligent attention and observation of, the parties. An agent is not obligated to reveal to either party any confidential information obtained from the other party that does not involve the affirmative duties set forth above.</w:t>
      </w:r>
    </w:p>
    <w:p>
      <w:pPr>
        <w:spacing w:after="0" w:line="378"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BUYER’S AGENT (including a lessee’s agent)</w:t>
      </w:r>
    </w:p>
    <w:p>
      <w:pPr>
        <w:spacing w:after="0" w:line="212"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A selling agent can, with a Buyer’s consent, agree to act as agent for the Buyer only. In these situations, the agent is not the Seller’s agent, even if by agreement the agent may receive compensation for services rendered, either in full or in part from the Seller. An agent acting only for a Buyer has the following affirmative obligations:</w:t>
      </w:r>
    </w:p>
    <w:p>
      <w:pPr>
        <w:spacing w:after="0" w:line="162" w:lineRule="exact"/>
        <w:rPr>
          <w:sz w:val="20"/>
          <w:szCs w:val="20"/>
          <w:color w:val="auto"/>
        </w:rPr>
      </w:pPr>
    </w:p>
    <w:p>
      <w:pPr>
        <w:ind w:left="1020"/>
        <w:spacing w:after="0"/>
        <w:rPr>
          <w:sz w:val="20"/>
          <w:szCs w:val="20"/>
          <w:color w:val="auto"/>
        </w:rPr>
      </w:pPr>
      <w:r>
        <w:rPr>
          <w:rFonts w:ascii="Arial" w:cs="Arial" w:eastAsia="Arial" w:hAnsi="Arial"/>
          <w:sz w:val="18"/>
          <w:szCs w:val="18"/>
          <w:u w:val="single" w:color="auto"/>
          <w:color w:val="auto"/>
        </w:rPr>
        <w:t>To the Buyer</w:t>
      </w:r>
      <w:r>
        <w:rPr>
          <w:rFonts w:ascii="Arial" w:cs="Arial" w:eastAsia="Arial" w:hAnsi="Arial"/>
          <w:sz w:val="18"/>
          <w:szCs w:val="18"/>
          <w:color w:val="auto"/>
        </w:rPr>
        <w:t>: A fiduciary duty of utmost care, integrity, honesty, and loyalty in dealings with the Buyer.</w:t>
      </w:r>
    </w:p>
    <w:p>
      <w:pPr>
        <w:spacing w:after="0" w:line="104" w:lineRule="exact"/>
        <w:rPr>
          <w:sz w:val="20"/>
          <w:szCs w:val="20"/>
          <w:color w:val="auto"/>
        </w:rPr>
      </w:pPr>
    </w:p>
    <w:p>
      <w:pPr>
        <w:ind w:left="1020"/>
        <w:spacing w:after="0"/>
        <w:rPr>
          <w:sz w:val="20"/>
          <w:szCs w:val="20"/>
          <w:color w:val="auto"/>
        </w:rPr>
      </w:pPr>
      <w:r>
        <w:rPr>
          <w:rFonts w:ascii="Arial" w:cs="Arial" w:eastAsia="Arial" w:hAnsi="Arial"/>
          <w:sz w:val="18"/>
          <w:szCs w:val="18"/>
          <w:u w:val="single" w:color="auto"/>
          <w:color w:val="auto"/>
        </w:rPr>
        <w:t>To the Buyer and the Seller</w:t>
      </w:r>
      <w:r>
        <w:rPr>
          <w:rFonts w:ascii="Arial" w:cs="Arial" w:eastAsia="Arial" w:hAnsi="Arial"/>
          <w:sz w:val="18"/>
          <w:szCs w:val="18"/>
          <w:color w:val="auto"/>
        </w:rPr>
        <w:t>:</w:t>
      </w:r>
    </w:p>
    <w:p>
      <w:pPr>
        <w:spacing w:after="0" w:line="117" w:lineRule="exact"/>
        <w:rPr>
          <w:sz w:val="20"/>
          <w:szCs w:val="20"/>
          <w:color w:val="auto"/>
        </w:rPr>
      </w:pPr>
    </w:p>
    <w:p>
      <w:pPr>
        <w:ind w:left="1940" w:hanging="277"/>
        <w:spacing w:after="0"/>
        <w:tabs>
          <w:tab w:leader="none" w:pos="19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Diligent exercise of reasonable skill and care in performance of the agent’s duties.</w:t>
      </w:r>
    </w:p>
    <w:p>
      <w:pPr>
        <w:spacing w:after="0" w:line="103" w:lineRule="exact"/>
        <w:rPr>
          <w:rFonts w:ascii="Arial" w:cs="Arial" w:eastAsia="Arial" w:hAnsi="Arial"/>
          <w:sz w:val="18"/>
          <w:szCs w:val="18"/>
          <w:color w:val="auto"/>
        </w:rPr>
      </w:pPr>
    </w:p>
    <w:p>
      <w:pPr>
        <w:ind w:left="1940" w:hanging="277"/>
        <w:spacing w:after="0"/>
        <w:tabs>
          <w:tab w:leader="none" w:pos="19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 duty of honest and fair dealing and good faith.</w:t>
      </w:r>
    </w:p>
    <w:p>
      <w:pPr>
        <w:spacing w:after="0" w:line="103" w:lineRule="exact"/>
        <w:rPr>
          <w:rFonts w:ascii="Arial" w:cs="Arial" w:eastAsia="Arial" w:hAnsi="Arial"/>
          <w:sz w:val="18"/>
          <w:szCs w:val="18"/>
          <w:color w:val="auto"/>
        </w:rPr>
      </w:pPr>
    </w:p>
    <w:p>
      <w:pPr>
        <w:jc w:val="both"/>
        <w:ind w:left="1160" w:firstLine="503"/>
        <w:spacing w:after="0" w:line="261" w:lineRule="auto"/>
        <w:tabs>
          <w:tab w:leader="none" w:pos="193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 duty to disclose all facts known to the agent materially affecting the value or desirability of the property that are not known to, or within the diligent attention and observation of, the parties. An agent is not obligated to reveal to either party any confidential information obtained from the other party that does not involve the affirmative duties set forth above.</w:t>
      </w:r>
    </w:p>
    <w:p>
      <w:pPr>
        <w:spacing w:after="0" w:line="378"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AGENT REPRESENTING BOTH SELLER AND BUYER (including lessor and lessee)</w:t>
      </w:r>
    </w:p>
    <w:p>
      <w:pPr>
        <w:spacing w:after="0" w:line="225"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A real estate agent, either acting directly or through one or more associate licensees, can legally be the agent of both the Seller and the Buyer in a transaction, but only with the knowledge and consent of both the Seller and the Buyer.</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 dual agency situation, the agent has the following affirmative obligations to both the Seller and the Buyer:</w:t>
      </w:r>
    </w:p>
    <w:p>
      <w:pPr>
        <w:spacing w:after="0" w:line="117" w:lineRule="exact"/>
        <w:rPr>
          <w:sz w:val="20"/>
          <w:szCs w:val="20"/>
          <w:color w:val="auto"/>
        </w:rPr>
      </w:pPr>
    </w:p>
    <w:p>
      <w:pPr>
        <w:ind w:left="1940" w:hanging="277"/>
        <w:spacing w:after="0"/>
        <w:tabs>
          <w:tab w:leader="none" w:pos="19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 fiduciary duty of utmost care, integrity, honesty and loyalty in the dealings with either the Seller or the Buyer.</w:t>
      </w:r>
    </w:p>
    <w:p>
      <w:pPr>
        <w:spacing w:after="0" w:line="103" w:lineRule="exact"/>
        <w:rPr>
          <w:rFonts w:ascii="Arial" w:cs="Arial" w:eastAsia="Arial" w:hAnsi="Arial"/>
          <w:sz w:val="18"/>
          <w:szCs w:val="18"/>
          <w:color w:val="auto"/>
        </w:rPr>
      </w:pPr>
    </w:p>
    <w:p>
      <w:pPr>
        <w:ind w:left="1940" w:hanging="277"/>
        <w:spacing w:after="0"/>
        <w:tabs>
          <w:tab w:leader="none" w:pos="19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Other duties to the Seller and the Buyer as stated above in their respective sections.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158" w:name="page159"/>
    <w:bookmarkEnd w:id="158"/>
    <w:p>
      <w:pPr>
        <w:jc w:val="both"/>
        <w:ind w:firstLine="509"/>
        <w:spacing w:after="0" w:line="287" w:lineRule="auto"/>
        <w:rPr>
          <w:sz w:val="20"/>
          <w:szCs w:val="20"/>
          <w:color w:val="auto"/>
        </w:rPr>
      </w:pPr>
      <w:r>
        <w:rPr>
          <w:rFonts w:ascii="Arial" w:cs="Arial" w:eastAsia="Arial" w:hAnsi="Arial"/>
          <w:sz w:val="18"/>
          <w:szCs w:val="18"/>
          <w:color w:val="auto"/>
        </w:rPr>
        <w:t>In representing both Seller and Buyer, the agent may not, without the express permission of the respective party, disclose to the other party that the Seller will accept a price less than the listing price or that the Buyer will pay a price greater than the price offered.</w:t>
      </w:r>
    </w:p>
    <w:p>
      <w:pPr>
        <w:spacing w:after="0" w:line="139"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above duties of the agent in a real estate transaction do not relieve a Seller or Buyer from the responsibility to protect his or her own interests. You should carefully read all agreements to assure that they adequately express your understanding of the transaction. A real estate agent is a person qualified to advise about real estate. If legal or tax advice is desired, consult a competent professional.</w:t>
      </w:r>
    </w:p>
    <w:p>
      <w:pPr>
        <w:spacing w:after="0" w:line="162"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8"/>
          <w:szCs w:val="18"/>
          <w:color w:val="auto"/>
        </w:rPr>
        <w:t xml:space="preserve">Throughout your real property transaction you may receive more than one disclosure form, depending upon the number of agents assisting in the transaction. The law requires each agent with whom you have more than a casual relationship to present you with this disclosure form. You should read its contents each time it is presented to you, considering the relationship between you and the real estate agent in your specific transaction. </w:t>
      </w:r>
      <w:r>
        <w:rPr>
          <w:rFonts w:ascii="Arial" w:cs="Arial" w:eastAsia="Arial" w:hAnsi="Arial"/>
          <w:sz w:val="18"/>
          <w:szCs w:val="18"/>
          <w:b w:val="1"/>
          <w:bCs w:val="1"/>
          <w:color w:val="auto"/>
        </w:rPr>
        <w:t>This disclosure form includes the provisions of Sections 2079.13 to 2079.24, inclusive, of the Civil</w:t>
      </w:r>
      <w:r>
        <w:rPr>
          <w:rFonts w:ascii="Arial" w:cs="Arial" w:eastAsia="Arial" w:hAnsi="Arial"/>
          <w:sz w:val="18"/>
          <w:szCs w:val="18"/>
          <w:color w:val="auto"/>
        </w:rPr>
        <w:t xml:space="preserve"> </w:t>
      </w:r>
      <w:r>
        <w:rPr>
          <w:rFonts w:ascii="Arial" w:cs="Arial" w:eastAsia="Arial" w:hAnsi="Arial"/>
          <w:sz w:val="18"/>
          <w:szCs w:val="18"/>
          <w:b w:val="1"/>
          <w:bCs w:val="1"/>
          <w:color w:val="auto"/>
        </w:rPr>
        <w:t>Code set forth on the reverse hereof. Read it carefully</w:t>
      </w:r>
      <w:r>
        <w:rPr>
          <w:rFonts w:ascii="Arial" w:cs="Arial" w:eastAsia="Arial" w:hAnsi="Arial"/>
          <w:sz w:val="18"/>
          <w:szCs w:val="18"/>
          <w:color w:val="auto"/>
        </w:rPr>
        <w:t>.</w:t>
      </w:r>
    </w:p>
    <w:p>
      <w:pPr>
        <w:spacing w:after="0" w:line="200" w:lineRule="exact"/>
        <w:rPr>
          <w:sz w:val="20"/>
          <w:szCs w:val="20"/>
          <w:color w:val="auto"/>
        </w:rPr>
      </w:pP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960" w:type="dxa"/>
            <w:vAlign w:val="bottom"/>
            <w:gridSpan w:val="4"/>
          </w:tcPr>
          <w:p>
            <w:pPr>
              <w:spacing w:after="0"/>
              <w:rPr>
                <w:sz w:val="20"/>
                <w:szCs w:val="20"/>
                <w:color w:val="auto"/>
              </w:rPr>
            </w:pPr>
            <w:r>
              <w:rPr>
                <w:rFonts w:ascii="Arial" w:cs="Arial" w:eastAsia="Arial" w:hAnsi="Arial"/>
                <w:sz w:val="16"/>
                <w:szCs w:val="16"/>
                <w:b w:val="1"/>
                <w:bCs w:val="1"/>
                <w:color w:val="auto"/>
              </w:rPr>
              <w:t>DISCLOSURE MADE BY:</w:t>
            </w:r>
          </w:p>
        </w:tc>
        <w:tc>
          <w:tcPr>
            <w:tcW w:w="5240" w:type="dxa"/>
            <w:vAlign w:val="bottom"/>
            <w:gridSpan w:val="3"/>
          </w:tcPr>
          <w:p>
            <w:pPr>
              <w:spacing w:after="0"/>
              <w:rPr>
                <w:sz w:val="20"/>
                <w:szCs w:val="20"/>
                <w:color w:val="auto"/>
              </w:rPr>
            </w:pPr>
            <w:r>
              <w:rPr>
                <w:rFonts w:ascii="Arial" w:cs="Arial" w:eastAsia="Arial" w:hAnsi="Arial"/>
                <w:sz w:val="16"/>
                <w:szCs w:val="16"/>
                <w:b w:val="1"/>
                <w:bCs w:val="1"/>
                <w:color w:val="auto"/>
              </w:rPr>
              <w:t>DISCLOSURE RECEIVED BY:</w:t>
            </w:r>
          </w:p>
        </w:tc>
        <w:tc>
          <w:tcPr>
            <w:tcW w:w="0" w:type="dxa"/>
            <w:vAlign w:val="bottom"/>
          </w:tcPr>
          <w:p>
            <w:pPr>
              <w:spacing w:after="0"/>
              <w:rPr>
                <w:sz w:val="1"/>
                <w:szCs w:val="1"/>
                <w:color w:val="auto"/>
              </w:rPr>
            </w:pPr>
          </w:p>
        </w:tc>
      </w:tr>
      <w:tr>
        <w:trPr>
          <w:trHeight w:val="20"/>
        </w:trPr>
        <w:tc>
          <w:tcPr>
            <w:tcW w:w="1860" w:type="dxa"/>
            <w:vAlign w:val="bottom"/>
            <w:gridSpan w:val="2"/>
            <w:shd w:val="clear" w:color="auto" w:fill="000000"/>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5960" w:type="dxa"/>
            <w:vAlign w:val="bottom"/>
            <w:gridSpan w:val="4"/>
          </w:tcPr>
          <w:p>
            <w:pPr>
              <w:spacing w:after="0"/>
              <w:rPr>
                <w:sz w:val="20"/>
                <w:szCs w:val="20"/>
                <w:color w:val="auto"/>
              </w:rPr>
            </w:pPr>
            <w:r>
              <w:rPr>
                <w:rFonts w:ascii="Arial" w:cs="Arial" w:eastAsia="Arial" w:hAnsi="Arial"/>
                <w:sz w:val="16"/>
                <w:szCs w:val="16"/>
                <w:color w:val="auto"/>
              </w:rPr>
              <w:t>Lee &amp; Associates Commercial Real Estate</w:t>
            </w: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5960" w:type="dxa"/>
            <w:vAlign w:val="bottom"/>
            <w:gridSpan w:val="4"/>
          </w:tcPr>
          <w:p>
            <w:pPr>
              <w:spacing w:after="0" w:line="163" w:lineRule="exact"/>
              <w:rPr>
                <w:sz w:val="20"/>
                <w:szCs w:val="20"/>
                <w:color w:val="auto"/>
              </w:rPr>
            </w:pPr>
            <w:r>
              <w:rPr>
                <w:rFonts w:ascii="Arial" w:cs="Arial" w:eastAsia="Arial" w:hAnsi="Arial"/>
                <w:sz w:val="16"/>
                <w:szCs w:val="16"/>
                <w:color w:val="auto"/>
              </w:rPr>
              <w:t>Services, Inc. – Irvine</w:t>
            </w:r>
          </w:p>
        </w:tc>
        <w:tc>
          <w:tcPr>
            <w:tcW w:w="940" w:type="dxa"/>
            <w:vAlign w:val="bottom"/>
            <w:vMerge w:val="restart"/>
          </w:tcPr>
          <w:p>
            <w:pPr>
              <w:spacing w:after="0"/>
              <w:rPr>
                <w:sz w:val="20"/>
                <w:szCs w:val="20"/>
                <w:color w:val="auto"/>
              </w:rPr>
            </w:pPr>
            <w:r>
              <w:rPr>
                <w:rFonts w:ascii="Arial" w:cs="Arial" w:eastAsia="Arial" w:hAnsi="Arial"/>
                <w:sz w:val="16"/>
                <w:szCs w:val="16"/>
                <w:color w:val="auto"/>
                <w:w w:val="99"/>
              </w:rPr>
              <w:t>/s/ Ron Kurtz</w:t>
            </w:r>
          </w:p>
        </w:tc>
        <w:tc>
          <w:tcPr>
            <w:tcW w:w="12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960" w:type="dxa"/>
            <w:vAlign w:val="bottom"/>
            <w:gridSpan w:val="4"/>
          </w:tcPr>
          <w:p>
            <w:pPr>
              <w:spacing w:after="0"/>
              <w:rPr>
                <w:sz w:val="20"/>
                <w:szCs w:val="20"/>
                <w:color w:val="auto"/>
              </w:rPr>
            </w:pPr>
            <w:r>
              <w:rPr>
                <w:rFonts w:ascii="Arial" w:cs="Arial" w:eastAsia="Arial" w:hAnsi="Arial"/>
                <w:sz w:val="16"/>
                <w:szCs w:val="16"/>
                <w:color w:val="auto"/>
              </w:rPr>
              <w:t>BRE License # 01044791</w:t>
            </w:r>
          </w:p>
        </w:tc>
        <w:tc>
          <w:tcPr>
            <w:tcW w:w="94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98"/>
        </w:trPr>
        <w:tc>
          <w:tcPr>
            <w:tcW w:w="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40" w:type="dxa"/>
            <w:vAlign w:val="bottom"/>
            <w:gridSpan w:val="3"/>
          </w:tcPr>
          <w:p>
            <w:pPr>
              <w:spacing w:after="0" w:line="184" w:lineRule="exact"/>
              <w:rPr>
                <w:sz w:val="20"/>
                <w:szCs w:val="20"/>
                <w:color w:val="auto"/>
              </w:rPr>
            </w:pPr>
            <w:r>
              <w:rPr>
                <w:rFonts w:ascii="Arial" w:cs="Arial" w:eastAsia="Arial" w:hAnsi="Arial"/>
                <w:sz w:val="16"/>
                <w:szCs w:val="16"/>
                <w:color w:val="auto"/>
              </w:rPr>
              <w:t xml:space="preserve">(check one: </w:t>
            </w:r>
            <w:r>
              <w:rPr>
                <w:rFonts w:ascii="MS PGothic" w:cs="MS PGothic" w:eastAsia="MS PGothic" w:hAnsi="MS PGothic"/>
                <w:sz w:val="16"/>
                <w:szCs w:val="16"/>
                <w:color w:val="auto"/>
              </w:rPr>
              <w:t>☐</w:t>
            </w:r>
            <w:r>
              <w:rPr>
                <w:rFonts w:ascii="Arial" w:cs="Arial" w:eastAsia="Arial" w:hAnsi="Arial"/>
                <w:sz w:val="16"/>
                <w:szCs w:val="16"/>
                <w:color w:val="auto"/>
              </w:rPr>
              <w:t xml:space="preserve"> buyer / </w:t>
            </w:r>
            <w:r>
              <w:rPr>
                <w:rFonts w:ascii="MS PGothic" w:cs="MS PGothic" w:eastAsia="MS PGothic" w:hAnsi="MS PGothic"/>
                <w:sz w:val="16"/>
                <w:szCs w:val="16"/>
                <w:color w:val="auto"/>
              </w:rPr>
              <w:t>☐</w:t>
            </w:r>
            <w:r>
              <w:rPr>
                <w:rFonts w:ascii="Arial" w:cs="Arial" w:eastAsia="Arial" w:hAnsi="Arial"/>
                <w:sz w:val="16"/>
                <w:szCs w:val="16"/>
                <w:color w:val="auto"/>
              </w:rPr>
              <w:t xml:space="preserve"> seller / </w:t>
            </w:r>
            <w:r>
              <w:rPr>
                <w:rFonts w:ascii="MS PGothic" w:cs="MS PGothic" w:eastAsia="MS PGothic" w:hAnsi="MS PGothic"/>
                <w:sz w:val="16"/>
                <w:szCs w:val="16"/>
                <w:color w:val="auto"/>
              </w:rPr>
              <w:t>☐</w:t>
            </w:r>
            <w:r>
              <w:rPr>
                <w:rFonts w:ascii="Arial" w:cs="Arial" w:eastAsia="Arial" w:hAnsi="Arial"/>
                <w:sz w:val="16"/>
                <w:szCs w:val="16"/>
                <w:color w:val="auto"/>
              </w:rPr>
              <w:t xml:space="preserve">lessor / </w:t>
            </w:r>
            <w:r>
              <w:rPr>
                <w:rFonts w:ascii="MS PGothic" w:cs="MS PGothic" w:eastAsia="MS PGothic" w:hAnsi="MS PGothic"/>
                <w:sz w:val="16"/>
                <w:szCs w:val="16"/>
                <w:color w:val="auto"/>
              </w:rPr>
              <w:t>☒</w:t>
            </w:r>
            <w:r>
              <w:rPr>
                <w:rFonts w:ascii="Arial" w:cs="Arial" w:eastAsia="Arial" w:hAnsi="Arial"/>
                <w:sz w:val="16"/>
                <w:szCs w:val="16"/>
                <w:color w:val="auto"/>
              </w:rPr>
              <w:t xml:space="preserve"> lessee)</w:t>
            </w:r>
          </w:p>
        </w:tc>
        <w:tc>
          <w:tcPr>
            <w:tcW w:w="0" w:type="dxa"/>
            <w:vAlign w:val="bottom"/>
          </w:tcPr>
          <w:p>
            <w:pPr>
              <w:spacing w:after="0"/>
              <w:rPr>
                <w:sz w:val="1"/>
                <w:szCs w:val="1"/>
                <w:color w:val="auto"/>
              </w:rPr>
            </w:pPr>
          </w:p>
        </w:tc>
      </w:tr>
      <w:tr>
        <w:trPr>
          <w:trHeight w:val="215"/>
        </w:trPr>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40" w:type="dxa"/>
            <w:vAlign w:val="bottom"/>
            <w:gridSpan w:val="3"/>
          </w:tcPr>
          <w:p>
            <w:pPr>
              <w:spacing w:after="0"/>
              <w:rPr>
                <w:sz w:val="20"/>
                <w:szCs w:val="20"/>
                <w:color w:val="auto"/>
              </w:rPr>
            </w:pPr>
            <w:r>
              <w:rPr>
                <w:rFonts w:ascii="Arial" w:cs="Arial" w:eastAsia="Arial" w:hAnsi="Arial"/>
                <w:sz w:val="16"/>
                <w:szCs w:val="16"/>
                <w:color w:val="auto"/>
              </w:rPr>
              <w:t>Date: February 8, 2018</w:t>
            </w:r>
          </w:p>
        </w:tc>
        <w:tc>
          <w:tcPr>
            <w:tcW w:w="0" w:type="dxa"/>
            <w:vAlign w:val="bottom"/>
          </w:tcPr>
          <w:p>
            <w:pPr>
              <w:spacing w:after="0"/>
              <w:rPr>
                <w:sz w:val="1"/>
                <w:szCs w:val="1"/>
                <w:color w:val="auto"/>
              </w:rPr>
            </w:pPr>
          </w:p>
        </w:tc>
      </w:tr>
      <w:tr>
        <w:trPr>
          <w:trHeight w:val="474"/>
        </w:trPr>
        <w:tc>
          <w:tcPr>
            <w:tcW w:w="1860" w:type="dxa"/>
            <w:vAlign w:val="bottom"/>
            <w:tcBorders>
              <w:bottom w:val="single" w:sz="8" w:color="auto"/>
            </w:tcBorders>
            <w:gridSpan w:val="2"/>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2200" w:type="dxa"/>
            <w:vAlign w:val="bottom"/>
            <w:tcBorders>
              <w:bottom w:val="single" w:sz="8" w:color="auto"/>
            </w:tcBorders>
            <w:gridSpan w:val="2"/>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5960" w:type="dxa"/>
            <w:vAlign w:val="bottom"/>
            <w:gridSpan w:val="4"/>
          </w:tcPr>
          <w:p>
            <w:pPr>
              <w:spacing w:after="0"/>
              <w:rPr>
                <w:sz w:val="20"/>
                <w:szCs w:val="20"/>
                <w:color w:val="auto"/>
              </w:rPr>
            </w:pPr>
            <w:r>
              <w:rPr>
                <w:rFonts w:ascii="Arial" w:cs="Arial" w:eastAsia="Arial" w:hAnsi="Arial"/>
                <w:sz w:val="16"/>
                <w:szCs w:val="16"/>
                <w:color w:val="auto"/>
              </w:rPr>
              <w:t>Associate Licensee-BRE Lie.</w:t>
            </w:r>
          </w:p>
        </w:tc>
        <w:tc>
          <w:tcPr>
            <w:tcW w:w="5240" w:type="dxa"/>
            <w:vAlign w:val="bottom"/>
            <w:gridSpan w:val="3"/>
          </w:tcPr>
          <w:p>
            <w:pPr>
              <w:spacing w:after="0" w:line="184" w:lineRule="exact"/>
              <w:rPr>
                <w:sz w:val="20"/>
                <w:szCs w:val="20"/>
                <w:color w:val="auto"/>
              </w:rPr>
            </w:pPr>
            <w:r>
              <w:rPr>
                <w:rFonts w:ascii="Arial" w:cs="Arial" w:eastAsia="Arial" w:hAnsi="Arial"/>
                <w:sz w:val="16"/>
                <w:szCs w:val="16"/>
                <w:color w:val="auto"/>
              </w:rPr>
              <w:t xml:space="preserve">(check one </w:t>
            </w:r>
            <w:r>
              <w:rPr>
                <w:rFonts w:ascii="MS PGothic" w:cs="MS PGothic" w:eastAsia="MS PGothic" w:hAnsi="MS PGothic"/>
                <w:sz w:val="16"/>
                <w:szCs w:val="16"/>
                <w:color w:val="auto"/>
              </w:rPr>
              <w:t>☐</w:t>
            </w:r>
            <w:r>
              <w:rPr>
                <w:rFonts w:ascii="Arial" w:cs="Arial" w:eastAsia="Arial" w:hAnsi="Arial"/>
                <w:sz w:val="16"/>
                <w:szCs w:val="16"/>
                <w:color w:val="auto"/>
              </w:rPr>
              <w:t xml:space="preserve"> buyer / </w:t>
            </w:r>
            <w:r>
              <w:rPr>
                <w:rFonts w:ascii="MS PGothic" w:cs="MS PGothic" w:eastAsia="MS PGothic" w:hAnsi="MS PGothic"/>
                <w:sz w:val="16"/>
                <w:szCs w:val="16"/>
                <w:color w:val="auto"/>
              </w:rPr>
              <w:t>☐</w:t>
            </w:r>
            <w:r>
              <w:rPr>
                <w:rFonts w:ascii="Arial" w:cs="Arial" w:eastAsia="Arial" w:hAnsi="Arial"/>
                <w:sz w:val="16"/>
                <w:szCs w:val="16"/>
                <w:color w:val="auto"/>
              </w:rPr>
              <w:t xml:space="preserve"> seller /</w:t>
            </w:r>
            <w:r>
              <w:rPr>
                <w:rFonts w:ascii="MS PGothic" w:cs="MS PGothic" w:eastAsia="MS PGothic" w:hAnsi="MS PGothic"/>
                <w:sz w:val="16"/>
                <w:szCs w:val="16"/>
                <w:color w:val="auto"/>
              </w:rPr>
              <w:t>☐</w:t>
            </w:r>
            <w:r>
              <w:rPr>
                <w:rFonts w:ascii="Arial" w:cs="Arial" w:eastAsia="Arial" w:hAnsi="Arial"/>
                <w:sz w:val="16"/>
                <w:szCs w:val="16"/>
                <w:color w:val="auto"/>
              </w:rPr>
              <w:t xml:space="preserve"> lessor / </w:t>
            </w:r>
            <w:r>
              <w:rPr>
                <w:rFonts w:ascii="MS PGothic" w:cs="MS PGothic" w:eastAsia="MS PGothic" w:hAnsi="MS PGothic"/>
                <w:sz w:val="16"/>
                <w:szCs w:val="16"/>
                <w:color w:val="auto"/>
              </w:rPr>
              <w:t>☐</w:t>
            </w:r>
            <w:r>
              <w:rPr>
                <w:rFonts w:ascii="Arial" w:cs="Arial" w:eastAsia="Arial" w:hAnsi="Arial"/>
                <w:sz w:val="16"/>
                <w:szCs w:val="16"/>
                <w:color w:val="auto"/>
              </w:rPr>
              <w:t xml:space="preserve"> lessee)</w:t>
            </w:r>
          </w:p>
        </w:tc>
        <w:tc>
          <w:tcPr>
            <w:tcW w:w="0" w:type="dxa"/>
            <w:vAlign w:val="bottom"/>
          </w:tcPr>
          <w:p>
            <w:pPr>
              <w:spacing w:after="0"/>
              <w:rPr>
                <w:sz w:val="1"/>
                <w:szCs w:val="1"/>
                <w:color w:val="auto"/>
              </w:rPr>
            </w:pPr>
          </w:p>
        </w:tc>
      </w:tr>
      <w:tr>
        <w:trPr>
          <w:trHeight w:val="351"/>
        </w:trPr>
        <w:tc>
          <w:tcPr>
            <w:tcW w:w="680" w:type="dxa"/>
            <w:vAlign w:val="bottom"/>
          </w:tcPr>
          <w:p>
            <w:pPr>
              <w:spacing w:after="0"/>
              <w:rPr>
                <w:sz w:val="20"/>
                <w:szCs w:val="20"/>
                <w:color w:val="auto"/>
              </w:rPr>
            </w:pPr>
            <w:r>
              <w:rPr>
                <w:rFonts w:ascii="Arial" w:cs="Arial" w:eastAsia="Arial" w:hAnsi="Arial"/>
                <w:sz w:val="16"/>
                <w:szCs w:val="16"/>
                <w:color w:val="auto"/>
              </w:rPr>
              <w:t>Date:</w:t>
            </w:r>
          </w:p>
        </w:tc>
        <w:tc>
          <w:tcPr>
            <w:tcW w:w="1180" w:type="dxa"/>
            <w:vAlign w:val="bottom"/>
          </w:tcPr>
          <w:p>
            <w:pPr>
              <w:jc w:val="right"/>
              <w:ind w:right="539"/>
              <w:spacing w:after="0"/>
              <w:rPr>
                <w:sz w:val="20"/>
                <w:szCs w:val="20"/>
                <w:color w:val="auto"/>
              </w:rPr>
            </w:pPr>
            <w:r>
              <w:rPr>
                <w:rFonts w:ascii="Arial" w:cs="Arial" w:eastAsia="Arial" w:hAnsi="Arial"/>
                <w:sz w:val="16"/>
                <w:szCs w:val="16"/>
                <w:color w:val="auto"/>
              </w:rPr>
              <w:t>, 20</w:t>
            </w:r>
          </w:p>
        </w:tc>
        <w:tc>
          <w:tcPr>
            <w:tcW w:w="3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6"/>
                <w:szCs w:val="16"/>
                <w:color w:val="auto"/>
              </w:rPr>
              <w:t>Date:</w:t>
            </w:r>
          </w:p>
        </w:tc>
        <w:tc>
          <w:tcPr>
            <w:tcW w:w="1260" w:type="dxa"/>
            <w:vAlign w:val="bottom"/>
          </w:tcPr>
          <w:p>
            <w:pPr>
              <w:jc w:val="right"/>
              <w:ind w:right="879"/>
              <w:spacing w:after="0"/>
              <w:rPr>
                <w:sz w:val="20"/>
                <w:szCs w:val="20"/>
                <w:color w:val="auto"/>
              </w:rPr>
            </w:pPr>
            <w:r>
              <w:rPr>
                <w:rFonts w:ascii="Arial" w:cs="Arial" w:eastAsia="Arial" w:hAnsi="Arial"/>
                <w:sz w:val="16"/>
                <w:szCs w:val="16"/>
                <w:color w:val="auto"/>
              </w:rPr>
              <w:t>, 20</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w:t>
      </w:r>
      <w:r>
        <w:rPr>
          <w:rFonts w:ascii="Arial" w:cs="Arial" w:eastAsia="Arial" w:hAnsi="Arial"/>
          <w:sz w:val="18"/>
          <w:szCs w:val="18"/>
          <w:color w:val="auto"/>
        </w:rPr>
        <w:t>:</w:t>
      </w:r>
    </w:p>
    <w:p>
      <w:pPr>
        <w:spacing w:after="0" w:line="104" w:lineRule="exact"/>
        <w:rPr>
          <w:sz w:val="20"/>
          <w:szCs w:val="20"/>
          <w:color w:val="auto"/>
        </w:rPr>
      </w:pPr>
    </w:p>
    <w:p>
      <w:pPr>
        <w:ind w:right="20" w:firstLine="509"/>
        <w:spacing w:after="0" w:line="287" w:lineRule="auto"/>
        <w:rPr>
          <w:sz w:val="20"/>
          <w:szCs w:val="20"/>
          <w:color w:val="auto"/>
        </w:rPr>
      </w:pPr>
      <w:r>
        <w:rPr>
          <w:rFonts w:ascii="Arial" w:cs="Arial" w:eastAsia="Arial" w:hAnsi="Arial"/>
          <w:sz w:val="18"/>
          <w:szCs w:val="18"/>
          <w:color w:val="auto"/>
        </w:rPr>
        <w:t>— If the listing brokerage company also represents buyer/lessee, then the Listing Agent shall have one Agency Disclosure form signed by seller/lessor and a separate Agency Disclosure form signed by buyer/lessee.</w:t>
      </w:r>
    </w:p>
    <w:p>
      <w:pPr>
        <w:spacing w:after="0" w:line="31"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 xml:space="preserve">— If seller/lessor and buyer/lessee are represented by different brokerage companies, then: (i) the Listing Agent shall have one Agency Disclosure form signed by seller/lessor; and (ii) the buyer’s/lessee’s Agent shall have one Agency Disclosure form signed by buyer/lessee and either that same or a different Agency Disclosure form presented to-seller/lessor for signature prior to presentation of the offer. </w:t>
      </w:r>
      <w:r>
        <w:rPr>
          <w:rFonts w:ascii="Arial" w:cs="Arial" w:eastAsia="Arial" w:hAnsi="Arial"/>
          <w:sz w:val="18"/>
          <w:szCs w:val="18"/>
          <w:b w:val="1"/>
          <w:bCs w:val="1"/>
          <w:color w:val="auto"/>
        </w:rPr>
        <w:t>If the same form is used, seller/lessor may sign here:</w:t>
      </w: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Clifford D. Downs DDS</w:t>
      </w:r>
    </w:p>
    <w:p>
      <w:pPr>
        <w:ind w:left="5980"/>
        <w:spacing w:after="0"/>
        <w:rPr>
          <w:sz w:val="20"/>
          <w:szCs w:val="20"/>
          <w:color w:val="auto"/>
        </w:rPr>
      </w:pPr>
      <w:r>
        <w:rPr>
          <w:rFonts w:ascii="Arial" w:cs="Arial" w:eastAsia="Arial" w:hAnsi="Arial"/>
          <w:sz w:val="18"/>
          <w:szCs w:val="18"/>
          <w:color w:val="auto"/>
        </w:rPr>
        <w:t>Date: 2-14-18,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-113030</wp:posOffset>
            </wp:positionV>
            <wp:extent cx="334327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ind w:left="1360"/>
        <w:spacing w:after="0" w:line="192" w:lineRule="exact"/>
        <w:rPr>
          <w:sz w:val="20"/>
          <w:szCs w:val="20"/>
          <w:color w:val="auto"/>
        </w:rPr>
      </w:pPr>
      <w:r>
        <w:rPr>
          <w:rFonts w:ascii="Arial" w:cs="Arial" w:eastAsia="Arial" w:hAnsi="Arial"/>
          <w:sz w:val="18"/>
          <w:szCs w:val="18"/>
          <w:color w:val="auto"/>
        </w:rPr>
        <w:t xml:space="preserve">(Check one </w:t>
      </w:r>
      <w:r>
        <w:rPr>
          <w:rFonts w:ascii="MS PGothic" w:cs="MS PGothic" w:eastAsia="MS PGothic" w:hAnsi="MS PGothic"/>
          <w:sz w:val="18"/>
          <w:szCs w:val="18"/>
          <w:color w:val="auto"/>
        </w:rPr>
        <w:t>☐</w:t>
      </w:r>
      <w:r>
        <w:rPr>
          <w:rFonts w:ascii="Arial" w:cs="Arial" w:eastAsia="Arial" w:hAnsi="Arial"/>
          <w:sz w:val="18"/>
          <w:szCs w:val="18"/>
          <w:color w:val="auto"/>
        </w:rPr>
        <w:t xml:space="preserve"> Seller / </w:t>
      </w:r>
      <w:r>
        <w:rPr>
          <w:rFonts w:ascii="MS PGothic" w:cs="MS PGothic" w:eastAsia="MS PGothic" w:hAnsi="MS PGothic"/>
          <w:sz w:val="18"/>
          <w:szCs w:val="18"/>
          <w:color w:val="auto"/>
        </w:rPr>
        <w:t>☒</w:t>
      </w:r>
      <w:r>
        <w:rPr>
          <w:rFonts w:ascii="Arial" w:cs="Arial" w:eastAsia="Arial" w:hAnsi="Arial"/>
          <w:sz w:val="18"/>
          <w:szCs w:val="18"/>
          <w:color w:val="auto"/>
        </w:rPr>
        <w:t xml:space="preserve"> Lessor)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9" w:name="page160"/>
    <w:bookmarkEnd w:id="159"/>
    <w:p>
      <w:pPr>
        <w:jc w:val="center"/>
        <w:ind w:right="40"/>
        <w:spacing w:after="0"/>
        <w:rPr>
          <w:sz w:val="20"/>
          <w:szCs w:val="20"/>
          <w:color w:val="auto"/>
        </w:rPr>
      </w:pPr>
      <w:r>
        <w:rPr>
          <w:rFonts w:ascii="Arial" w:cs="Arial" w:eastAsia="Arial" w:hAnsi="Arial"/>
          <w:sz w:val="18"/>
          <w:szCs w:val="18"/>
          <w:b w:val="1"/>
          <w:bCs w:val="1"/>
          <w:u w:val="single" w:color="auto"/>
          <w:color w:val="auto"/>
        </w:rPr>
        <w:t>DISCLOSURE REGARDING REAL ESTATE AGENCY RELATIONSHIP</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CALIFORNIA CIVIL CODE SECTIONS 2079.13 THROUGH 2079.24</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2079.13</w:t>
      </w:r>
      <w:r>
        <w:rPr>
          <w:rFonts w:ascii="Arial" w:cs="Arial" w:eastAsia="Arial" w:hAnsi="Arial"/>
          <w:sz w:val="18"/>
          <w:szCs w:val="18"/>
          <w:b w:val="1"/>
          <w:bCs w:val="1"/>
          <w:color w:val="auto"/>
        </w:rPr>
        <w:t xml:space="preserve">. </w:t>
      </w:r>
      <w:r>
        <w:rPr>
          <w:rFonts w:ascii="Arial" w:cs="Arial" w:eastAsia="Arial" w:hAnsi="Arial"/>
          <w:sz w:val="18"/>
          <w:szCs w:val="18"/>
          <w:color w:val="auto"/>
        </w:rPr>
        <w:t>As used in Sections 2079.14 to 2079.24, inclusive, the following terms have the following meanings:</w:t>
      </w:r>
    </w:p>
    <w:p>
      <w:pPr>
        <w:spacing w:after="0" w:line="212" w:lineRule="exact"/>
        <w:rPr>
          <w:sz w:val="20"/>
          <w:szCs w:val="20"/>
          <w:color w:val="auto"/>
        </w:rPr>
      </w:pPr>
    </w:p>
    <w:p>
      <w:pPr>
        <w:jc w:val="both"/>
        <w:ind w:firstLine="517"/>
        <w:spacing w:after="0"/>
        <w:tabs>
          <w:tab w:leader="none" w:pos="803" w:val="left"/>
        </w:tabs>
        <w:numPr>
          <w:ilvl w:val="0"/>
          <w:numId w:val="164"/>
        </w:numPr>
        <w:rPr>
          <w:rFonts w:ascii="Arial" w:cs="Arial" w:eastAsia="Arial" w:hAnsi="Arial"/>
          <w:sz w:val="18"/>
          <w:szCs w:val="18"/>
          <w:b w:val="1"/>
          <w:bCs w:val="1"/>
          <w:color w:val="auto"/>
        </w:rPr>
      </w:pPr>
      <w:r>
        <w:rPr>
          <w:rFonts w:ascii="Arial" w:cs="Arial" w:eastAsia="Arial" w:hAnsi="Arial"/>
          <w:sz w:val="18"/>
          <w:szCs w:val="18"/>
          <w:color w:val="auto"/>
        </w:rPr>
        <w:t xml:space="preserve">“Agent” means a person acting under provisions of Title 9 (commencing with Section 2295) in a real property transaction, and includes a person who is licensed as a real estate broker under Chapter 3 (commencing with Section 10130) of Part 1 of Division 4 of the Business and Professions Code, and under whose license a listing is executed or an offer to purchase is obtained. </w:t>
      </w:r>
      <w:r>
        <w:rPr>
          <w:rFonts w:ascii="Arial" w:cs="Arial" w:eastAsia="Arial" w:hAnsi="Arial"/>
          <w:sz w:val="18"/>
          <w:szCs w:val="18"/>
          <w:b w:val="1"/>
          <w:bCs w:val="1"/>
          <w:color w:val="auto"/>
        </w:rPr>
        <w:t>(b)</w:t>
      </w:r>
      <w:r>
        <w:rPr>
          <w:rFonts w:ascii="Arial" w:cs="Arial" w:eastAsia="Arial" w:hAnsi="Arial"/>
          <w:sz w:val="18"/>
          <w:szCs w:val="18"/>
          <w:color w:val="auto"/>
        </w:rPr>
        <w:t xml:space="preserve"> “Associate licensee” means a person who is licensed as a real estate broker or salesperson under Chapter 3 (commencing with Section 10130) of Part 1 of Division 4 of the Business and Professions Code and who is either licensed under a broker or has entered into a written contract with a broker to act as the broker’s agent in connection with acts requiring a real estate license and to function under the broker’s supervision in the capacity of an associate licensee. The agent in the real property transaction bears responsibility for his or her associate licensees who perform as agents of the agent. When an associate licensee owes a duty to any principal, or to any buyer or seller who is not a principal, in a real property transaction, that duty is equivalent to the duty owed to that party by the broker for whom the associate licensee functions. </w:t>
      </w:r>
      <w:r>
        <w:rPr>
          <w:rFonts w:ascii="Arial" w:cs="Arial" w:eastAsia="Arial" w:hAnsi="Arial"/>
          <w:sz w:val="18"/>
          <w:szCs w:val="18"/>
          <w:b w:val="1"/>
          <w:bCs w:val="1"/>
          <w:color w:val="auto"/>
        </w:rPr>
        <w:t>(c)</w:t>
      </w:r>
      <w:r>
        <w:rPr>
          <w:rFonts w:ascii="Arial" w:cs="Arial" w:eastAsia="Arial" w:hAnsi="Arial"/>
          <w:sz w:val="18"/>
          <w:szCs w:val="18"/>
          <w:color w:val="auto"/>
        </w:rPr>
        <w:t xml:space="preserve"> “Buyer” means a transferee in a real property transaction, and includes a person who executes an offer to purchase real property from a seller through an agent, or who seeks the services of an agent in more than a casual, transitory, or preliminary manner, with the object of entering into a real property transaction. “Buyer” includes vendee or lessee. </w:t>
      </w:r>
      <w:r>
        <w:rPr>
          <w:rFonts w:ascii="Arial" w:cs="Arial" w:eastAsia="Arial" w:hAnsi="Arial"/>
          <w:sz w:val="18"/>
          <w:szCs w:val="18"/>
          <w:b w:val="1"/>
          <w:bCs w:val="1"/>
          <w:color w:val="auto"/>
        </w:rPr>
        <w:t>(d)</w:t>
      </w:r>
      <w:r>
        <w:rPr>
          <w:rFonts w:ascii="Arial" w:cs="Arial" w:eastAsia="Arial" w:hAnsi="Arial"/>
          <w:sz w:val="18"/>
          <w:szCs w:val="18"/>
          <w:color w:val="auto"/>
        </w:rPr>
        <w:t xml:space="preserve"> “Commercial real property” means all real property in the state, except single-family residential real property, dwelling units made subject to Chapter 2 (commencing with Section 1940) of Title 5, mobilehomes, as defined in Section 798.3, or recreational vehicles, as defined in Section 799.29. </w:t>
      </w:r>
      <w:r>
        <w:rPr>
          <w:rFonts w:ascii="Arial" w:cs="Arial" w:eastAsia="Arial" w:hAnsi="Arial"/>
          <w:sz w:val="18"/>
          <w:szCs w:val="18"/>
          <w:b w:val="1"/>
          <w:bCs w:val="1"/>
          <w:color w:val="auto"/>
        </w:rPr>
        <w:t>(e)</w:t>
      </w:r>
      <w:r>
        <w:rPr>
          <w:rFonts w:ascii="Arial" w:cs="Arial" w:eastAsia="Arial" w:hAnsi="Arial"/>
          <w:sz w:val="18"/>
          <w:szCs w:val="18"/>
          <w:color w:val="auto"/>
        </w:rPr>
        <w:t xml:space="preserve"> “Dual agent” means an agent acting, either directly or through an associate licensee, as agent for both the seller and the buyer in a real property transaction. </w:t>
      </w:r>
      <w:r>
        <w:rPr>
          <w:rFonts w:ascii="Arial" w:cs="Arial" w:eastAsia="Arial" w:hAnsi="Arial"/>
          <w:sz w:val="18"/>
          <w:szCs w:val="18"/>
          <w:b w:val="1"/>
          <w:bCs w:val="1"/>
          <w:color w:val="auto"/>
        </w:rPr>
        <w:t>(f)</w:t>
      </w:r>
      <w:r>
        <w:rPr>
          <w:rFonts w:ascii="Arial" w:cs="Arial" w:eastAsia="Arial" w:hAnsi="Arial"/>
          <w:sz w:val="18"/>
          <w:szCs w:val="18"/>
          <w:color w:val="auto"/>
        </w:rPr>
        <w:t xml:space="preserve"> “Listing agreement” means a contract between an owner of real property and an agent by which the agent has been authorized to sell the real property or to find or obtain a buyer. </w:t>
      </w:r>
      <w:r>
        <w:rPr>
          <w:rFonts w:ascii="Arial" w:cs="Arial" w:eastAsia="Arial" w:hAnsi="Arial"/>
          <w:sz w:val="18"/>
          <w:szCs w:val="18"/>
          <w:b w:val="1"/>
          <w:bCs w:val="1"/>
          <w:color w:val="auto"/>
        </w:rPr>
        <w:t>(g)</w:t>
      </w:r>
      <w:r>
        <w:rPr>
          <w:rFonts w:ascii="Arial" w:cs="Arial" w:eastAsia="Arial" w:hAnsi="Arial"/>
          <w:sz w:val="18"/>
          <w:szCs w:val="18"/>
          <w:color w:val="auto"/>
        </w:rPr>
        <w:t xml:space="preserve"> “Listing agent” means a person who has obtained a listing of real property to act as an agent for compensation. </w:t>
      </w:r>
      <w:r>
        <w:rPr>
          <w:rFonts w:ascii="Arial" w:cs="Arial" w:eastAsia="Arial" w:hAnsi="Arial"/>
          <w:sz w:val="18"/>
          <w:szCs w:val="18"/>
          <w:b w:val="1"/>
          <w:bCs w:val="1"/>
          <w:color w:val="auto"/>
        </w:rPr>
        <w:t>(h)</w:t>
      </w:r>
      <w:r>
        <w:rPr>
          <w:rFonts w:ascii="Arial" w:cs="Arial" w:eastAsia="Arial" w:hAnsi="Arial"/>
          <w:sz w:val="18"/>
          <w:szCs w:val="18"/>
          <w:color w:val="auto"/>
        </w:rPr>
        <w:t xml:space="preserve"> “Listing price” is the amount expressed in dollars specified in the listing for which the seller is willing to sell the real property through the listing agent. </w:t>
      </w:r>
      <w:r>
        <w:rPr>
          <w:rFonts w:ascii="Arial" w:cs="Arial" w:eastAsia="Arial" w:hAnsi="Arial"/>
          <w:sz w:val="18"/>
          <w:szCs w:val="18"/>
          <w:b w:val="1"/>
          <w:bCs w:val="1"/>
          <w:color w:val="auto"/>
        </w:rPr>
        <w:t>(i)</w:t>
      </w:r>
      <w:r>
        <w:rPr>
          <w:rFonts w:ascii="Arial" w:cs="Arial" w:eastAsia="Arial" w:hAnsi="Arial"/>
          <w:sz w:val="18"/>
          <w:szCs w:val="18"/>
          <w:color w:val="auto"/>
        </w:rPr>
        <w:t xml:space="preserve"> “Offering price” is the amount expressed in dollars specified in an offer to purchase for which the buyer is willing to buy the real property. </w:t>
      </w:r>
      <w:r>
        <w:rPr>
          <w:rFonts w:ascii="Arial" w:cs="Arial" w:eastAsia="Arial" w:hAnsi="Arial"/>
          <w:sz w:val="18"/>
          <w:szCs w:val="18"/>
          <w:b w:val="1"/>
          <w:bCs w:val="1"/>
          <w:color w:val="auto"/>
        </w:rPr>
        <w:t>(j)</w:t>
      </w:r>
      <w:r>
        <w:rPr>
          <w:rFonts w:ascii="Arial" w:cs="Arial" w:eastAsia="Arial" w:hAnsi="Arial"/>
          <w:sz w:val="18"/>
          <w:szCs w:val="18"/>
          <w:color w:val="auto"/>
        </w:rPr>
        <w:t xml:space="preserve"> “Offer to purchase” means a written contract executed by a buyer acting through a selling agent that becomes the contract for the sale of the real property upon acceptance by the seller. </w:t>
      </w:r>
      <w:r>
        <w:rPr>
          <w:rFonts w:ascii="Arial" w:cs="Arial" w:eastAsia="Arial" w:hAnsi="Arial"/>
          <w:sz w:val="18"/>
          <w:szCs w:val="18"/>
          <w:b w:val="1"/>
          <w:bCs w:val="1"/>
          <w:color w:val="auto"/>
        </w:rPr>
        <w:t>(k)</w:t>
      </w:r>
      <w:r>
        <w:rPr>
          <w:rFonts w:ascii="Arial" w:cs="Arial" w:eastAsia="Arial" w:hAnsi="Arial"/>
          <w:sz w:val="18"/>
          <w:szCs w:val="18"/>
          <w:color w:val="auto"/>
        </w:rPr>
        <w:t xml:space="preserve"> “Real property” means any estate specified by subdivision (1) or (2) of Section 761 in property that constitutes or is improved with one to four dwelling units, any commercial real property, any leasehold in these types of property exceeding one year’s duration, and mobilehomes, when offered for sale or sold through an agent pursuant to the authority contained in Section 10131.6 of the Business and Professions Code. </w:t>
      </w:r>
      <w:r>
        <w:rPr>
          <w:rFonts w:ascii="Arial" w:cs="Arial" w:eastAsia="Arial" w:hAnsi="Arial"/>
          <w:sz w:val="18"/>
          <w:szCs w:val="18"/>
          <w:b w:val="1"/>
          <w:bCs w:val="1"/>
          <w:color w:val="auto"/>
        </w:rPr>
        <w:t>(l)</w:t>
      </w:r>
      <w:r>
        <w:rPr>
          <w:rFonts w:ascii="Arial" w:cs="Arial" w:eastAsia="Arial" w:hAnsi="Arial"/>
          <w:sz w:val="18"/>
          <w:szCs w:val="18"/>
          <w:color w:val="auto"/>
        </w:rPr>
        <w:t xml:space="preserve"> “Real property transaction” means a transaction for the sale of real property in which an agent is employed by one or more of the principals to act in that transaction, and includes a listing or an offer to purchase. </w:t>
      </w:r>
      <w:r>
        <w:rPr>
          <w:rFonts w:ascii="Arial" w:cs="Arial" w:eastAsia="Arial" w:hAnsi="Arial"/>
          <w:sz w:val="18"/>
          <w:szCs w:val="18"/>
          <w:b w:val="1"/>
          <w:bCs w:val="1"/>
          <w:color w:val="auto"/>
        </w:rPr>
        <w:t>(m)</w:t>
      </w:r>
      <w:r>
        <w:rPr>
          <w:rFonts w:ascii="Arial" w:cs="Arial" w:eastAsia="Arial" w:hAnsi="Arial"/>
          <w:sz w:val="18"/>
          <w:szCs w:val="18"/>
          <w:color w:val="auto"/>
        </w:rPr>
        <w:t xml:space="preserve"> “Sell,” “sale,” or “sold” refers to a transaction for the transfer of real property from the seller to the buyer, and includes exchanges of real property between the seller and buyer, transactions for the creation of a real property sales contract within the meaning of Section 2985, and transactions for the creation of a leasehold exceeding one year’s duration. </w:t>
      </w:r>
      <w:r>
        <w:rPr>
          <w:rFonts w:ascii="Arial" w:cs="Arial" w:eastAsia="Arial" w:hAnsi="Arial"/>
          <w:sz w:val="18"/>
          <w:szCs w:val="18"/>
          <w:b w:val="1"/>
          <w:bCs w:val="1"/>
          <w:color w:val="auto"/>
        </w:rPr>
        <w:t>(n)</w:t>
      </w:r>
      <w:r>
        <w:rPr>
          <w:rFonts w:ascii="Arial" w:cs="Arial" w:eastAsia="Arial" w:hAnsi="Arial"/>
          <w:sz w:val="18"/>
          <w:szCs w:val="18"/>
          <w:color w:val="auto"/>
        </w:rPr>
        <w:t xml:space="preserve"> “Seller” means the transferor in a real property transaction, and includes an owner who lists real property with an agent, whether or not a transfer results, or who receives an offer to purchase real property of which he or she is the owner from an agent on behalf of another. “Seller” includes both a vendor and a lessor. </w:t>
      </w:r>
      <w:r>
        <w:rPr>
          <w:rFonts w:ascii="Arial" w:cs="Arial" w:eastAsia="Arial" w:hAnsi="Arial"/>
          <w:sz w:val="18"/>
          <w:szCs w:val="18"/>
          <w:b w:val="1"/>
          <w:bCs w:val="1"/>
          <w:color w:val="auto"/>
        </w:rPr>
        <w:t>(o)</w:t>
      </w:r>
      <w:r>
        <w:rPr>
          <w:rFonts w:ascii="Arial" w:cs="Arial" w:eastAsia="Arial" w:hAnsi="Arial"/>
          <w:sz w:val="18"/>
          <w:szCs w:val="18"/>
          <w:color w:val="auto"/>
        </w:rPr>
        <w:t xml:space="preserve"> “Selling agent” means a listing agent who acts alone, or an agent who acts in cooperation with a listing agent, and who sells or finds and obtains a buyer for the real property, or an agent who locates property for a buyer or who finds a buyer for a property for which no listing exists and presents an offer to purchase to the seller. </w:t>
      </w:r>
      <w:r>
        <w:rPr>
          <w:rFonts w:ascii="Arial" w:cs="Arial" w:eastAsia="Arial" w:hAnsi="Arial"/>
          <w:sz w:val="18"/>
          <w:szCs w:val="18"/>
          <w:b w:val="1"/>
          <w:bCs w:val="1"/>
          <w:color w:val="auto"/>
        </w:rPr>
        <w:t>(p)</w:t>
      </w:r>
      <w:r>
        <w:rPr>
          <w:rFonts w:ascii="Arial" w:cs="Arial" w:eastAsia="Arial" w:hAnsi="Arial"/>
          <w:sz w:val="18"/>
          <w:szCs w:val="18"/>
          <w:color w:val="auto"/>
        </w:rPr>
        <w:t xml:space="preserve"> “Subagent” means a person to whom an agent delegates agency powers as provided in Article 5 (commencing with Section 2349) of Chapter 1 of Title 9. However, “subagent” does not include an associate licensee who is acting under the supervision of an agent in a real property transaction.</w:t>
      </w:r>
    </w:p>
    <w:p>
      <w:pPr>
        <w:spacing w:after="0" w:line="20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u w:val="single" w:color="auto"/>
          <w:color w:val="auto"/>
        </w:rPr>
        <w:t>2079.14</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Listing agents and selling agents shall provide the seller and buyer in a real property transaction with a copy of the disclosure form</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specified in Section 2079.16, and, except as provided in subdivision (c), shall obtain a signed acknowledgment of receipt from that seller or buyer, except as provided in this section or Section 2079.15, as follows: </w:t>
      </w:r>
      <w:r>
        <w:rPr>
          <w:rFonts w:ascii="Arial" w:cs="Arial" w:eastAsia="Arial" w:hAnsi="Arial"/>
          <w:sz w:val="18"/>
          <w:szCs w:val="18"/>
          <w:b w:val="1"/>
          <w:bCs w:val="1"/>
          <w:color w:val="auto"/>
        </w:rPr>
        <w:t>(a)</w:t>
      </w:r>
      <w:r>
        <w:rPr>
          <w:rFonts w:ascii="Arial" w:cs="Arial" w:eastAsia="Arial" w:hAnsi="Arial"/>
          <w:sz w:val="18"/>
          <w:szCs w:val="18"/>
          <w:color w:val="auto"/>
        </w:rPr>
        <w:t xml:space="preserve"> The listing agent, if any, shall provide the disclosure form to the seller prior to entering into the listing agreement. </w:t>
      </w:r>
      <w:r>
        <w:rPr>
          <w:rFonts w:ascii="Arial" w:cs="Arial" w:eastAsia="Arial" w:hAnsi="Arial"/>
          <w:sz w:val="18"/>
          <w:szCs w:val="18"/>
          <w:b w:val="1"/>
          <w:bCs w:val="1"/>
          <w:color w:val="auto"/>
        </w:rPr>
        <w:t>(b)</w:t>
      </w:r>
      <w:r>
        <w:rPr>
          <w:rFonts w:ascii="Arial" w:cs="Arial" w:eastAsia="Arial" w:hAnsi="Arial"/>
          <w:sz w:val="18"/>
          <w:szCs w:val="18"/>
          <w:color w:val="auto"/>
        </w:rPr>
        <w:t xml:space="preserve"> The selling agent shall provide the disclosure form to the seller as soon as practicable prior to presenting the seller with an offer to purchase, unless the selling agent previously provided the seller with a copy of the disclosure form pursuant to subdivision (a). </w:t>
      </w:r>
      <w:r>
        <w:rPr>
          <w:rFonts w:ascii="Arial" w:cs="Arial" w:eastAsia="Arial" w:hAnsi="Arial"/>
          <w:sz w:val="18"/>
          <w:szCs w:val="18"/>
          <w:b w:val="1"/>
          <w:bCs w:val="1"/>
          <w:color w:val="auto"/>
        </w:rPr>
        <w:t>(c)</w:t>
      </w:r>
      <w:r>
        <w:rPr>
          <w:rFonts w:ascii="Arial" w:cs="Arial" w:eastAsia="Arial" w:hAnsi="Arial"/>
          <w:sz w:val="18"/>
          <w:szCs w:val="18"/>
          <w:color w:val="auto"/>
        </w:rPr>
        <w:t xml:space="preserve"> Where the selling agent does not deal on a face-to-face basis with the seller, the disclosure form prepared by the selling agent may be furnished to the seller (and acknowledgment of receipt obtained for the selling agent from the seller) by the listing agent, or the selling agent may deliver the disclosure form by certified mail addressed to the seller at his or her last known address, in which case no signed acknowledgment of receipt is required. </w:t>
      </w:r>
      <w:r>
        <w:rPr>
          <w:rFonts w:ascii="Arial" w:cs="Arial" w:eastAsia="Arial" w:hAnsi="Arial"/>
          <w:sz w:val="18"/>
          <w:szCs w:val="18"/>
          <w:b w:val="1"/>
          <w:bCs w:val="1"/>
          <w:color w:val="auto"/>
        </w:rPr>
        <w:t>(d)</w:t>
      </w:r>
      <w:r>
        <w:rPr>
          <w:rFonts w:ascii="Arial" w:cs="Arial" w:eastAsia="Arial" w:hAnsi="Arial"/>
          <w:sz w:val="18"/>
          <w:szCs w:val="18"/>
          <w:color w:val="auto"/>
        </w:rPr>
        <w:t xml:space="preserve"> The selling agent shall provide the disclosure form to the buyer as soon as practicable prior to execution of the buyer’s offer to purchase, except that if the offer to purchase is not prepared by the selling agent, the selling agent shall present the disclosure form to the buyer not later than the next business day after the selling agent receives the offer to purchase from the buyer.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202565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0" w:name="page161"/>
    <w:bookmarkEnd w:id="160"/>
    <w:p>
      <w:pPr>
        <w:jc w:val="both"/>
        <w:spacing w:after="0" w:line="287" w:lineRule="auto"/>
        <w:rPr>
          <w:sz w:val="20"/>
          <w:szCs w:val="20"/>
          <w:color w:val="auto"/>
        </w:rPr>
      </w:pPr>
      <w:r>
        <w:rPr>
          <w:rFonts w:ascii="Arial" w:cs="Arial" w:eastAsia="Arial" w:hAnsi="Arial"/>
          <w:sz w:val="18"/>
          <w:szCs w:val="18"/>
          <w:b w:val="1"/>
          <w:bCs w:val="1"/>
          <w:u w:val="single" w:color="auto"/>
          <w:color w:val="auto"/>
        </w:rPr>
        <w:t>2079.15</w:t>
      </w:r>
      <w:r>
        <w:rPr>
          <w:rFonts w:ascii="Arial" w:cs="Arial" w:eastAsia="Arial" w:hAnsi="Arial"/>
          <w:sz w:val="18"/>
          <w:szCs w:val="18"/>
          <w:color w:val="auto"/>
        </w:rPr>
        <w:t>. In any circumstance in which the seller or buyer refuses to sign an acknowledgment of receipt pursuant to Section 2079.14, the</w:t>
      </w:r>
      <w:r>
        <w:rPr>
          <w:rFonts w:ascii="Arial" w:cs="Arial" w:eastAsia="Arial" w:hAnsi="Arial"/>
          <w:sz w:val="18"/>
          <w:szCs w:val="18"/>
          <w:b w:val="1"/>
          <w:bCs w:val="1"/>
          <w:color w:val="auto"/>
        </w:rPr>
        <w:t xml:space="preserve"> </w:t>
      </w:r>
      <w:r>
        <w:rPr>
          <w:rFonts w:ascii="Arial" w:cs="Arial" w:eastAsia="Arial" w:hAnsi="Arial"/>
          <w:sz w:val="18"/>
          <w:szCs w:val="18"/>
          <w:color w:val="auto"/>
        </w:rPr>
        <w:t>agent, or an associate licensee acting for an agent, shall set forth, sign, and date a written declaration of the facts of the refusal.</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2079.16</w:t>
      </w:r>
      <w:r>
        <w:rPr>
          <w:rFonts w:ascii="Arial" w:cs="Arial" w:eastAsia="Arial" w:hAnsi="Arial"/>
          <w:sz w:val="18"/>
          <w:szCs w:val="18"/>
          <w:color w:val="auto"/>
        </w:rPr>
        <w:t>. Reproduced on the reverse side of this form.</w:t>
      </w:r>
    </w:p>
    <w:p>
      <w:pPr>
        <w:spacing w:after="0" w:line="21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u w:val="single" w:color="auto"/>
          <w:color w:val="auto"/>
        </w:rPr>
        <w:t>2079.17</w:t>
      </w:r>
      <w:r>
        <w:rPr>
          <w:rFonts w:ascii="Arial" w:cs="Arial" w:eastAsia="Arial" w:hAnsi="Arial"/>
          <w:sz w:val="18"/>
          <w:szCs w:val="18"/>
          <w:color w:val="auto"/>
        </w:rPr>
        <w:t xml:space="preserve">. </w:t>
      </w:r>
      <w:r>
        <w:rPr>
          <w:rFonts w:ascii="Arial" w:cs="Arial" w:eastAsia="Arial" w:hAnsi="Arial"/>
          <w:sz w:val="18"/>
          <w:szCs w:val="18"/>
          <w:b w:val="1"/>
          <w:bCs w:val="1"/>
          <w:color w:val="auto"/>
        </w:rPr>
        <w:t>(a)</w:t>
      </w:r>
      <w:r>
        <w:rPr>
          <w:rFonts w:ascii="Arial" w:cs="Arial" w:eastAsia="Arial" w:hAnsi="Arial"/>
          <w:sz w:val="18"/>
          <w:szCs w:val="18"/>
          <w:color w:val="auto"/>
        </w:rPr>
        <w:t xml:space="preserve"> As soon as practicable, the selling agent shall disclose to the buyer and seller whether the selling agent is acting in the real property transaction exclusively as the buyer’s agent, exclusively as the seller’s agent, or as a dual agent representing both the buyer and the seller. This relationship shall be confirmed in the contract to purchase and sell real property or in a separate writing executed or acknowledged by the seller, the buyer, and the selling agent prior to or coincident with execution of that contract by the buyer and the seller, respectively. </w:t>
      </w:r>
      <w:r>
        <w:rPr>
          <w:rFonts w:ascii="Arial" w:cs="Arial" w:eastAsia="Arial" w:hAnsi="Arial"/>
          <w:sz w:val="18"/>
          <w:szCs w:val="18"/>
          <w:b w:val="1"/>
          <w:bCs w:val="1"/>
          <w:color w:val="auto"/>
        </w:rPr>
        <w:t>(b)</w:t>
      </w:r>
      <w:r>
        <w:rPr>
          <w:rFonts w:ascii="Arial" w:cs="Arial" w:eastAsia="Arial" w:hAnsi="Arial"/>
          <w:sz w:val="18"/>
          <w:szCs w:val="18"/>
          <w:color w:val="auto"/>
        </w:rPr>
        <w:t xml:space="preserve"> As soon as practicable, the listing agent shall disclose to the seller whether the listing agent is acting in the real property transaction exclusively as the seller’s agent, or as a dual agent representing both the buyer and seller. This relationship shall be confirmed in the contract to purchase and sell real property or in a separate writing executed or acknowledged by the seller and the listing agent prior to or coincident with the execution of that contract by the seller. </w:t>
      </w:r>
      <w:r>
        <w:rPr>
          <w:rFonts w:ascii="Arial" w:cs="Arial" w:eastAsia="Arial" w:hAnsi="Arial"/>
          <w:sz w:val="18"/>
          <w:szCs w:val="18"/>
          <w:b w:val="1"/>
          <w:bCs w:val="1"/>
          <w:color w:val="auto"/>
        </w:rPr>
        <w:t>(c)</w:t>
      </w:r>
      <w:r>
        <w:rPr>
          <w:rFonts w:ascii="Arial" w:cs="Arial" w:eastAsia="Arial" w:hAnsi="Arial"/>
          <w:sz w:val="18"/>
          <w:szCs w:val="18"/>
          <w:color w:val="auto"/>
        </w:rPr>
        <w:t xml:space="preserve"> The confirmation required by subdivisions (a) and (b) shall be in the following form:</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175"/>
        </w:trPr>
        <w:tc>
          <w:tcPr>
            <w:tcW w:w="2200" w:type="dxa"/>
            <w:vAlign w:val="bottom"/>
            <w:tcBorders>
              <w:top w:val="single" w:sz="8" w:color="auto"/>
              <w:left w:val="single" w:sz="8" w:color="auto"/>
            </w:tcBorders>
          </w:tcPr>
          <w:p>
            <w:pPr>
              <w:ind w:left="160"/>
              <w:spacing w:after="0" w:line="175" w:lineRule="exact"/>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EXAMPLE ONLY ---</w:t>
            </w:r>
          </w:p>
        </w:tc>
        <w:tc>
          <w:tcPr>
            <w:tcW w:w="2020" w:type="dxa"/>
            <w:vAlign w:val="bottom"/>
            <w:tcBorders>
              <w:top w:val="single" w:sz="8" w:color="auto"/>
              <w:bottom w:val="single" w:sz="8" w:color="auto"/>
            </w:tcBorders>
          </w:tcPr>
          <w:p>
            <w:pPr>
              <w:spacing w:after="0"/>
              <w:rPr>
                <w:sz w:val="15"/>
                <w:szCs w:val="15"/>
                <w:color w:val="auto"/>
              </w:rPr>
            </w:pPr>
          </w:p>
        </w:tc>
        <w:tc>
          <w:tcPr>
            <w:tcW w:w="7020" w:type="dxa"/>
            <w:vAlign w:val="bottom"/>
            <w:tcBorders>
              <w:top w:val="single" w:sz="8" w:color="auto"/>
              <w:right w:val="single" w:sz="8" w:color="auto"/>
            </w:tcBorders>
            <w:gridSpan w:val="3"/>
          </w:tcPr>
          <w:p>
            <w:pPr>
              <w:ind w:left="40"/>
              <w:spacing w:after="0" w:line="175" w:lineRule="exact"/>
              <w:rPr>
                <w:sz w:val="20"/>
                <w:szCs w:val="20"/>
                <w:color w:val="auto"/>
              </w:rPr>
            </w:pPr>
            <w:r>
              <w:rPr>
                <w:rFonts w:ascii="Arial" w:cs="Arial" w:eastAsia="Arial" w:hAnsi="Arial"/>
                <w:sz w:val="16"/>
                <w:szCs w:val="16"/>
                <w:color w:val="auto"/>
              </w:rPr>
              <w:t>is the agent of (check one): () the seller exclusively; or () both the buyer and seller.</w:t>
            </w:r>
          </w:p>
        </w:tc>
      </w:tr>
      <w:tr>
        <w:trPr>
          <w:trHeight w:val="141"/>
        </w:trPr>
        <w:tc>
          <w:tcPr>
            <w:tcW w:w="2200" w:type="dxa"/>
            <w:vAlign w:val="bottom"/>
            <w:tcBorders>
              <w:left w:val="single" w:sz="8" w:color="auto"/>
            </w:tcBorders>
          </w:tcPr>
          <w:p>
            <w:pPr>
              <w:ind w:left="160"/>
              <w:spacing w:after="0" w:line="142" w:lineRule="exact"/>
              <w:rPr>
                <w:sz w:val="20"/>
                <w:szCs w:val="20"/>
                <w:color w:val="auto"/>
              </w:rPr>
            </w:pPr>
            <w:r>
              <w:rPr>
                <w:rFonts w:ascii="Arial" w:cs="Arial" w:eastAsia="Arial" w:hAnsi="Arial"/>
                <w:sz w:val="16"/>
                <w:szCs w:val="16"/>
                <w:b w:val="1"/>
                <w:bCs w:val="1"/>
                <w:i w:val="1"/>
                <w:iCs w:val="1"/>
                <w:color w:val="auto"/>
              </w:rPr>
              <w:t>DO NOT FILL OUT</w:t>
            </w:r>
          </w:p>
        </w:tc>
        <w:tc>
          <w:tcPr>
            <w:tcW w:w="2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500" w:type="dxa"/>
            <w:vAlign w:val="bottom"/>
            <w:tcBorders>
              <w:right w:val="single" w:sz="8" w:color="auto"/>
            </w:tcBorders>
          </w:tcPr>
          <w:p>
            <w:pPr>
              <w:spacing w:after="0"/>
              <w:rPr>
                <w:sz w:val="12"/>
                <w:szCs w:val="12"/>
                <w:color w:val="auto"/>
              </w:rPr>
            </w:pPr>
          </w:p>
        </w:tc>
      </w:tr>
      <w:tr>
        <w:trPr>
          <w:trHeight w:val="255"/>
        </w:trPr>
        <w:tc>
          <w:tcPr>
            <w:tcW w:w="2200" w:type="dxa"/>
            <w:vAlign w:val="bottom"/>
            <w:tcBorders>
              <w:left w:val="single" w:sz="8" w:color="auto"/>
            </w:tcBorders>
          </w:tcPr>
          <w:p>
            <w:pPr>
              <w:ind w:left="160"/>
              <w:spacing w:after="0"/>
              <w:rPr>
                <w:sz w:val="20"/>
                <w:szCs w:val="20"/>
                <w:color w:val="auto"/>
              </w:rPr>
            </w:pPr>
            <w:r>
              <w:rPr>
                <w:rFonts w:ascii="Arial" w:cs="Arial" w:eastAsia="Arial" w:hAnsi="Arial"/>
                <w:sz w:val="16"/>
                <w:szCs w:val="16"/>
                <w:b w:val="1"/>
                <w:bCs w:val="1"/>
                <w:i w:val="1"/>
                <w:iCs w:val="1"/>
                <w:color w:val="auto"/>
              </w:rPr>
              <w:t>OR SIGN</w:t>
            </w:r>
            <w:r>
              <w:rPr>
                <w:rFonts w:ascii="Arial" w:cs="Arial" w:eastAsia="Arial" w:hAnsi="Arial"/>
                <w:sz w:val="16"/>
                <w:szCs w:val="16"/>
                <w:color w:val="auto"/>
              </w:rPr>
              <w:t>]</w:t>
            </w:r>
          </w:p>
        </w:tc>
        <w:tc>
          <w:tcPr>
            <w:tcW w:w="4540" w:type="dxa"/>
            <w:vAlign w:val="bottom"/>
            <w:gridSpan w:val="3"/>
          </w:tcPr>
          <w:p>
            <w:pPr>
              <w:spacing w:after="0"/>
              <w:rPr>
                <w:sz w:val="20"/>
                <w:szCs w:val="20"/>
                <w:color w:val="auto"/>
              </w:rPr>
            </w:pPr>
            <w:r>
              <w:rPr>
                <w:rFonts w:ascii="Arial" w:cs="Arial" w:eastAsia="Arial" w:hAnsi="Arial"/>
                <w:sz w:val="16"/>
                <w:szCs w:val="16"/>
                <w:i w:val="1"/>
                <w:iCs w:val="1"/>
                <w:color w:val="auto"/>
              </w:rPr>
              <w:t>(Name of Listing Agent)</w:t>
            </w:r>
          </w:p>
        </w:tc>
        <w:tc>
          <w:tcPr>
            <w:tcW w:w="4500" w:type="dxa"/>
            <w:vAlign w:val="bottom"/>
            <w:tcBorders>
              <w:right w:val="single" w:sz="8" w:color="auto"/>
            </w:tcBorders>
          </w:tcPr>
          <w:p>
            <w:pPr>
              <w:spacing w:after="0"/>
              <w:rPr>
                <w:sz w:val="22"/>
                <w:szCs w:val="22"/>
                <w:color w:val="auto"/>
              </w:rPr>
            </w:pPr>
          </w:p>
        </w:tc>
      </w:tr>
      <w:tr>
        <w:trPr>
          <w:trHeight w:val="339"/>
        </w:trPr>
        <w:tc>
          <w:tcPr>
            <w:tcW w:w="2200" w:type="dxa"/>
            <w:vAlign w:val="bottom"/>
            <w:tcBorders>
              <w:left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2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rPr>
              <w:t>is the agent of (check one): () the buyer exclusively; or () the seller exclusively;</w:t>
            </w:r>
          </w:p>
        </w:tc>
      </w:tr>
      <w:tr>
        <w:trPr>
          <w:trHeight w:val="397"/>
        </w:trPr>
        <w:tc>
          <w:tcPr>
            <w:tcW w:w="2200" w:type="dxa"/>
            <w:vAlign w:val="bottom"/>
            <w:tcBorders>
              <w:left w:val="single" w:sz="8" w:color="auto"/>
            </w:tcBorders>
          </w:tcPr>
          <w:p>
            <w:pPr>
              <w:spacing w:after="0"/>
              <w:rPr>
                <w:sz w:val="24"/>
                <w:szCs w:val="24"/>
                <w:color w:val="auto"/>
              </w:rPr>
            </w:pPr>
          </w:p>
        </w:tc>
        <w:tc>
          <w:tcPr>
            <w:tcW w:w="4540" w:type="dxa"/>
            <w:vAlign w:val="bottom"/>
            <w:gridSpan w:val="3"/>
          </w:tcPr>
          <w:p>
            <w:pPr>
              <w:spacing w:after="0"/>
              <w:rPr>
                <w:sz w:val="20"/>
                <w:szCs w:val="20"/>
                <w:color w:val="auto"/>
              </w:rPr>
            </w:pPr>
            <w:r>
              <w:rPr>
                <w:rFonts w:ascii="Arial" w:cs="Arial" w:eastAsia="Arial" w:hAnsi="Arial"/>
                <w:sz w:val="16"/>
                <w:szCs w:val="16"/>
                <w:i w:val="1"/>
                <w:iCs w:val="1"/>
                <w:color w:val="auto"/>
              </w:rPr>
              <w:t>(Name of Selling Agent if not the same as the Listing Agent)</w:t>
            </w:r>
          </w:p>
        </w:tc>
        <w:tc>
          <w:tcPr>
            <w:tcW w:w="4500" w:type="dxa"/>
            <w:vAlign w:val="bottom"/>
            <w:tcBorders>
              <w:right w:val="single" w:sz="8" w:color="auto"/>
            </w:tcBorders>
          </w:tcPr>
          <w:p>
            <w:pPr>
              <w:ind w:left="240"/>
              <w:spacing w:after="0"/>
              <w:rPr>
                <w:sz w:val="20"/>
                <w:szCs w:val="20"/>
                <w:color w:val="auto"/>
              </w:rPr>
            </w:pPr>
            <w:r>
              <w:rPr>
                <w:rFonts w:ascii="Arial" w:cs="Arial" w:eastAsia="Arial" w:hAnsi="Arial"/>
                <w:sz w:val="16"/>
                <w:szCs w:val="16"/>
                <w:color w:val="auto"/>
              </w:rPr>
              <w:t>or () both the buyer and seller.</w:t>
            </w:r>
          </w:p>
        </w:tc>
      </w:tr>
      <w:tr>
        <w:trPr>
          <w:trHeight w:val="164"/>
        </w:trPr>
        <w:tc>
          <w:tcPr>
            <w:tcW w:w="2200" w:type="dxa"/>
            <w:vAlign w:val="bottom"/>
            <w:tcBorders>
              <w:left w:val="single" w:sz="8" w:color="auto"/>
              <w:bottom w:val="single" w:sz="8" w:color="auto"/>
            </w:tcBorders>
          </w:tcPr>
          <w:p>
            <w:pPr>
              <w:spacing w:after="0"/>
              <w:rPr>
                <w:sz w:val="14"/>
                <w:szCs w:val="14"/>
                <w:color w:val="auto"/>
              </w:rPr>
            </w:pPr>
          </w:p>
        </w:tc>
        <w:tc>
          <w:tcPr>
            <w:tcW w:w="20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4500" w:type="dxa"/>
            <w:vAlign w:val="bottom"/>
            <w:tcBorders>
              <w:bottom w:val="single" w:sz="8" w:color="auto"/>
              <w:right w:val="single" w:sz="8" w:color="auto"/>
            </w:tcBorders>
          </w:tcPr>
          <w:p>
            <w:pPr>
              <w:spacing w:after="0"/>
              <w:rPr>
                <w:sz w:val="14"/>
                <w:szCs w:val="14"/>
                <w:color w:val="auto"/>
              </w:rPr>
            </w:pPr>
          </w:p>
        </w:tc>
      </w:tr>
    </w:tbl>
    <w:p>
      <w:pPr>
        <w:spacing w:after="0" w:line="197" w:lineRule="exact"/>
        <w:rPr>
          <w:sz w:val="20"/>
          <w:szCs w:val="20"/>
          <w:color w:val="auto"/>
        </w:rPr>
      </w:pPr>
    </w:p>
    <w:p>
      <w:pPr>
        <w:ind w:left="800" w:hanging="283"/>
        <w:spacing w:after="0"/>
        <w:tabs>
          <w:tab w:leader="none" w:pos="800" w:val="left"/>
        </w:tabs>
        <w:numPr>
          <w:ilvl w:val="0"/>
          <w:numId w:val="165"/>
        </w:numPr>
        <w:rPr>
          <w:rFonts w:ascii="Arial" w:cs="Arial" w:eastAsia="Arial" w:hAnsi="Arial"/>
          <w:sz w:val="18"/>
          <w:szCs w:val="18"/>
          <w:b w:val="1"/>
          <w:bCs w:val="1"/>
          <w:color w:val="auto"/>
        </w:rPr>
      </w:pPr>
      <w:r>
        <w:rPr>
          <w:rFonts w:ascii="Arial" w:cs="Arial" w:eastAsia="Arial" w:hAnsi="Arial"/>
          <w:sz w:val="18"/>
          <w:szCs w:val="18"/>
          <w:color w:val="auto"/>
        </w:rPr>
        <w:t>The disclosures and confirmation required by this section shall be in addition to the disclosure required by Section 2079.14.</w:t>
      </w:r>
    </w:p>
    <w:p>
      <w:pPr>
        <w:spacing w:after="0" w:line="212"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b w:val="1"/>
          <w:bCs w:val="1"/>
          <w:u w:val="single" w:color="auto"/>
          <w:color w:val="auto"/>
        </w:rPr>
        <w:t>2079.18</w:t>
      </w:r>
      <w:r>
        <w:rPr>
          <w:rFonts w:ascii="Arial" w:cs="Arial" w:eastAsia="Arial" w:hAnsi="Arial"/>
          <w:sz w:val="18"/>
          <w:szCs w:val="18"/>
          <w:color w:val="auto"/>
        </w:rPr>
        <w:t>. No selling agent in a real property transaction may act as an agent for the buyer only, when the selling agent is also acting as the</w:t>
      </w:r>
      <w:r>
        <w:rPr>
          <w:rFonts w:ascii="Arial" w:cs="Arial" w:eastAsia="Arial" w:hAnsi="Arial"/>
          <w:sz w:val="18"/>
          <w:szCs w:val="18"/>
          <w:b w:val="1"/>
          <w:bCs w:val="1"/>
          <w:color w:val="auto"/>
        </w:rPr>
        <w:t xml:space="preserve"> </w:t>
      </w:r>
      <w:r>
        <w:rPr>
          <w:rFonts w:ascii="Arial" w:cs="Arial" w:eastAsia="Arial" w:hAnsi="Arial"/>
          <w:sz w:val="18"/>
          <w:szCs w:val="18"/>
          <w:color w:val="auto"/>
        </w:rPr>
        <w:t>listing agent in the transaction.</w:t>
      </w:r>
    </w:p>
    <w:p>
      <w:pPr>
        <w:spacing w:after="0" w:line="154" w:lineRule="exact"/>
        <w:rPr>
          <w:sz w:val="20"/>
          <w:szCs w:val="20"/>
          <w:color w:val="auto"/>
        </w:rPr>
      </w:pPr>
    </w:p>
    <w:p>
      <w:pPr>
        <w:spacing w:after="0" w:line="252" w:lineRule="auto"/>
        <w:rPr>
          <w:sz w:val="20"/>
          <w:szCs w:val="20"/>
          <w:color w:val="auto"/>
        </w:rPr>
      </w:pPr>
      <w:r>
        <w:rPr>
          <w:rFonts w:ascii="Arial" w:cs="Arial" w:eastAsia="Arial" w:hAnsi="Arial"/>
          <w:sz w:val="18"/>
          <w:szCs w:val="18"/>
          <w:b w:val="1"/>
          <w:bCs w:val="1"/>
          <w:u w:val="single" w:color="auto"/>
          <w:color w:val="auto"/>
        </w:rPr>
        <w:t>2079.19</w:t>
      </w:r>
      <w:r>
        <w:rPr>
          <w:rFonts w:ascii="Arial" w:cs="Arial" w:eastAsia="Arial" w:hAnsi="Arial"/>
          <w:sz w:val="18"/>
          <w:szCs w:val="18"/>
          <w:color w:val="auto"/>
        </w:rPr>
        <w:t>. The payment of compensation or the obligation to pay compensation to an agent by the seller or buyer is not necessarily</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determinative of a particular agency relationship between an agent and the seller or buyer. A listing agent and a selling agent may agree to share any compensation or commission paid, or any right to any compensation or commission for which an obligation arises as the result of a real estate transaction, and the terms of any such agreement shall not necessarily be determinative of a particular relationship.</w:t>
      </w:r>
    </w:p>
    <w:p>
      <w:pPr>
        <w:spacing w:after="0" w:line="184" w:lineRule="exact"/>
        <w:rPr>
          <w:sz w:val="20"/>
          <w:szCs w:val="20"/>
          <w:color w:val="auto"/>
        </w:rPr>
      </w:pPr>
    </w:p>
    <w:p>
      <w:pPr>
        <w:ind w:right="700"/>
        <w:spacing w:after="0" w:line="301" w:lineRule="auto"/>
        <w:rPr>
          <w:sz w:val="20"/>
          <w:szCs w:val="20"/>
          <w:color w:val="auto"/>
        </w:rPr>
      </w:pPr>
      <w:r>
        <w:rPr>
          <w:rFonts w:ascii="Arial" w:cs="Arial" w:eastAsia="Arial" w:hAnsi="Arial"/>
          <w:sz w:val="17"/>
          <w:szCs w:val="17"/>
          <w:b w:val="1"/>
          <w:bCs w:val="1"/>
          <w:u w:val="single" w:color="auto"/>
          <w:color w:val="auto"/>
        </w:rPr>
        <w:t>2079.20</w:t>
      </w:r>
      <w:r>
        <w:rPr>
          <w:rFonts w:ascii="Arial" w:cs="Arial" w:eastAsia="Arial" w:hAnsi="Arial"/>
          <w:sz w:val="17"/>
          <w:szCs w:val="17"/>
          <w:color w:val="auto"/>
        </w:rPr>
        <w:t>. Nothing in this article prevents an agent from selecting, as a condition of the agent’s employment, a specific form of agency</w:t>
      </w:r>
      <w:r>
        <w:rPr>
          <w:rFonts w:ascii="Arial" w:cs="Arial" w:eastAsia="Arial" w:hAnsi="Arial"/>
          <w:sz w:val="17"/>
          <w:szCs w:val="17"/>
          <w:b w:val="1"/>
          <w:bCs w:val="1"/>
          <w:color w:val="auto"/>
        </w:rPr>
        <w:t xml:space="preserve"> </w:t>
      </w:r>
      <w:r>
        <w:rPr>
          <w:rFonts w:ascii="Arial" w:cs="Arial" w:eastAsia="Arial" w:hAnsi="Arial"/>
          <w:sz w:val="17"/>
          <w:szCs w:val="17"/>
          <w:color w:val="auto"/>
        </w:rPr>
        <w:t>relationship not specifically prohibited by this article if the requirements of Section 2079.14 and Section 2079.17 are complied with.</w:t>
      </w:r>
    </w:p>
    <w:p>
      <w:pPr>
        <w:spacing w:after="0" w:line="131"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b w:val="1"/>
          <w:bCs w:val="1"/>
          <w:u w:val="single" w:color="auto"/>
          <w:color w:val="auto"/>
        </w:rPr>
        <w:t>2079.21</w:t>
      </w:r>
      <w:r>
        <w:rPr>
          <w:rFonts w:ascii="Arial" w:cs="Arial" w:eastAsia="Arial" w:hAnsi="Arial"/>
          <w:sz w:val="18"/>
          <w:szCs w:val="18"/>
          <w:color w:val="auto"/>
        </w:rPr>
        <w:t>. A dual agent shall not disclose to the buyer that the seller is willing to sell the property at a price less than the listing price,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the express written consent of the seller. A dual agent shall not disclose to the seller that the buyer is willing to pay a price greater than the offering price, without the express written consent of the buyer. This section does not alter in any way the duty or responsibility of a dual agent to any principal with respect to confidential information other than price.</w:t>
      </w:r>
    </w:p>
    <w:p>
      <w:pPr>
        <w:spacing w:after="0" w:line="184"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u w:val="single" w:color="auto"/>
          <w:color w:val="auto"/>
        </w:rPr>
        <w:t>2079.22</w:t>
      </w:r>
      <w:r>
        <w:rPr>
          <w:rFonts w:ascii="Arial" w:cs="Arial" w:eastAsia="Arial" w:hAnsi="Arial"/>
          <w:sz w:val="18"/>
          <w:szCs w:val="18"/>
          <w:color w:val="auto"/>
        </w:rPr>
        <w:t>. Nothing in this article precludes a listing agent from also being a selling agent, and the combination of these functions in one agent</w:t>
      </w:r>
      <w:r>
        <w:rPr>
          <w:rFonts w:ascii="Arial" w:cs="Arial" w:eastAsia="Arial" w:hAnsi="Arial"/>
          <w:sz w:val="18"/>
          <w:szCs w:val="18"/>
          <w:b w:val="1"/>
          <w:bCs w:val="1"/>
          <w:color w:val="auto"/>
        </w:rPr>
        <w:t xml:space="preserve"> </w:t>
      </w:r>
      <w:r>
        <w:rPr>
          <w:rFonts w:ascii="Arial" w:cs="Arial" w:eastAsia="Arial" w:hAnsi="Arial"/>
          <w:sz w:val="18"/>
          <w:szCs w:val="18"/>
          <w:color w:val="auto"/>
        </w:rPr>
        <w:t>does not, of itself, make that agent a dual agent.</w:t>
      </w:r>
    </w:p>
    <w:p>
      <w:pPr>
        <w:spacing w:after="0" w:line="154"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b w:val="1"/>
          <w:bCs w:val="1"/>
          <w:u w:val="single" w:color="auto"/>
          <w:color w:val="auto"/>
        </w:rPr>
        <w:t>2079.23</w:t>
      </w:r>
      <w:r>
        <w:rPr>
          <w:rFonts w:ascii="Arial" w:cs="Arial" w:eastAsia="Arial" w:hAnsi="Arial"/>
          <w:sz w:val="18"/>
          <w:szCs w:val="18"/>
          <w:color w:val="auto"/>
        </w:rPr>
        <w:t>.</w:t>
      </w:r>
      <w:r>
        <w:rPr>
          <w:rFonts w:ascii="Arial" w:cs="Arial" w:eastAsia="Arial" w:hAnsi="Arial"/>
          <w:sz w:val="18"/>
          <w:szCs w:val="18"/>
          <w:b w:val="1"/>
          <w:bCs w:val="1"/>
          <w:color w:val="auto"/>
        </w:rPr>
        <w:t xml:space="preserve"> (a) </w:t>
      </w:r>
      <w:r>
        <w:rPr>
          <w:rFonts w:ascii="Arial" w:cs="Arial" w:eastAsia="Arial" w:hAnsi="Arial"/>
          <w:sz w:val="18"/>
          <w:szCs w:val="18"/>
          <w:color w:val="auto"/>
        </w:rPr>
        <w:t>A contract between the principal and agent may be modified or altered to change the agency relationship at any time before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performance of the act which is the object of the agency with the written consent of the parties to the agency relationship. </w:t>
      </w:r>
      <w:r>
        <w:rPr>
          <w:rFonts w:ascii="Arial" w:cs="Arial" w:eastAsia="Arial" w:hAnsi="Arial"/>
          <w:sz w:val="18"/>
          <w:szCs w:val="18"/>
          <w:b w:val="1"/>
          <w:bCs w:val="1"/>
          <w:color w:val="auto"/>
        </w:rPr>
        <w:t>(b)</w:t>
      </w:r>
      <w:r>
        <w:rPr>
          <w:rFonts w:ascii="Arial" w:cs="Arial" w:eastAsia="Arial" w:hAnsi="Arial"/>
          <w:sz w:val="18"/>
          <w:szCs w:val="18"/>
          <w:color w:val="auto"/>
        </w:rPr>
        <w:t xml:space="preserve"> A lender or an auction company retained by a lender to control aspects of a transaction of real property subject to this part, including validating the sales price, shall not require, as a condition of receiving the lender’s approval of the transaction, the homeowner or listing agent to defend or indemnify the lender or auction company from any liability alleged to result from the actions of the lender or auction company. Any clause, provision, covenant or agreement purporting to impose an obligation to defend or indemnify a lender or an auction company in violation of this subdivision is against public policy, void, and unenforceable.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1" w:name="page162"/>
    <w:bookmarkEnd w:id="161"/>
    <w:p>
      <w:pPr>
        <w:ind w:right="220"/>
        <w:spacing w:after="0" w:line="261" w:lineRule="auto"/>
        <w:rPr>
          <w:sz w:val="20"/>
          <w:szCs w:val="20"/>
          <w:color w:val="auto"/>
        </w:rPr>
      </w:pPr>
      <w:r>
        <w:rPr>
          <w:rFonts w:ascii="Arial" w:cs="Arial" w:eastAsia="Arial" w:hAnsi="Arial"/>
          <w:sz w:val="18"/>
          <w:szCs w:val="18"/>
          <w:b w:val="1"/>
          <w:bCs w:val="1"/>
          <w:u w:val="single" w:color="auto"/>
          <w:color w:val="auto"/>
        </w:rPr>
        <w:t>2079.24</w:t>
      </w:r>
      <w:r>
        <w:rPr>
          <w:rFonts w:ascii="Arial" w:cs="Arial" w:eastAsia="Arial" w:hAnsi="Arial"/>
          <w:sz w:val="18"/>
          <w:szCs w:val="18"/>
          <w:color w:val="auto"/>
        </w:rPr>
        <w:t>. Nothing in this article shall be construed to either diminish the duty of disclosure owed buyers and sellers by agents and their</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 licensees, subagents, and employees or to relieve agents and their associate licensees, subagents, and employees from liability for their conduct in connection with acts governed by this article or for any breach of a fiduciary duty or a duty of disclosure.</w:t>
      </w:r>
    </w:p>
    <w:p>
      <w:pPr>
        <w:spacing w:after="0" w:line="333" w:lineRule="exact"/>
        <w:rPr>
          <w:sz w:val="20"/>
          <w:szCs w:val="20"/>
          <w:color w:val="auto"/>
        </w:rPr>
      </w:pPr>
    </w:p>
    <w:tbl>
      <w:tblPr>
        <w:tblLayout w:type="fixed"/>
        <w:tblInd w:w="260" w:type="dxa"/>
        <w:tblCellMar>
          <w:top w:w="0" w:type="dxa"/>
          <w:left w:w="0" w:type="dxa"/>
          <w:bottom w:w="0" w:type="dxa"/>
          <w:right w:w="0" w:type="dxa"/>
        </w:tblCellMar>
      </w:tblPr>
      <w:tr>
        <w:trPr>
          <w:trHeight w:val="223"/>
        </w:trPr>
        <w:tc>
          <w:tcPr>
            <w:tcW w:w="3540" w:type="dxa"/>
            <w:vAlign w:val="bottom"/>
            <w:gridSpan w:val="2"/>
          </w:tcPr>
          <w:p>
            <w:pPr>
              <w:spacing w:after="0"/>
              <w:rPr>
                <w:sz w:val="20"/>
                <w:szCs w:val="20"/>
                <w:color w:val="auto"/>
              </w:rPr>
            </w:pPr>
            <w:r>
              <w:rPr>
                <w:rFonts w:ascii="Arial" w:cs="Arial" w:eastAsia="Arial" w:hAnsi="Arial"/>
                <w:sz w:val="14"/>
                <w:szCs w:val="14"/>
                <w:b w:val="1"/>
                <w:bCs w:val="1"/>
                <w:color w:val="auto"/>
              </w:rPr>
              <w:t>RxSight, Inc.</w:t>
            </w:r>
          </w:p>
        </w:tc>
        <w:tc>
          <w:tcPr>
            <w:tcW w:w="2680" w:type="dxa"/>
            <w:vAlign w:val="bottom"/>
          </w:tcPr>
          <w:p>
            <w:pPr>
              <w:spacing w:after="0"/>
              <w:rPr>
                <w:sz w:val="19"/>
                <w:szCs w:val="19"/>
                <w:color w:val="auto"/>
              </w:rPr>
            </w:pPr>
          </w:p>
        </w:tc>
        <w:tc>
          <w:tcPr>
            <w:tcW w:w="2000" w:type="dxa"/>
            <w:vAlign w:val="bottom"/>
            <w:gridSpan w:val="2"/>
          </w:tcPr>
          <w:p>
            <w:pPr>
              <w:jc w:val="right"/>
              <w:ind w:right="1170"/>
              <w:spacing w:after="0"/>
              <w:rPr>
                <w:sz w:val="20"/>
                <w:szCs w:val="20"/>
                <w:color w:val="auto"/>
              </w:rPr>
            </w:pPr>
            <w:r>
              <w:rPr>
                <w:rFonts w:ascii="Arial" w:cs="Arial" w:eastAsia="Arial" w:hAnsi="Arial"/>
                <w:sz w:val="14"/>
                <w:szCs w:val="14"/>
                <w:b w:val="1"/>
                <w:bCs w:val="1"/>
                <w:color w:val="auto"/>
              </w:rPr>
              <w:t>02/12/2018</w:t>
            </w:r>
          </w:p>
        </w:tc>
        <w:tc>
          <w:tcPr>
            <w:tcW w:w="160" w:type="dxa"/>
            <w:vAlign w:val="bottom"/>
          </w:tcPr>
          <w:p>
            <w:pPr>
              <w:spacing w:after="0"/>
              <w:rPr>
                <w:sz w:val="19"/>
                <w:szCs w:val="19"/>
                <w:color w:val="auto"/>
              </w:rPr>
            </w:pPr>
          </w:p>
        </w:tc>
        <w:tc>
          <w:tcPr>
            <w:tcW w:w="2600" w:type="dxa"/>
            <w:vAlign w:val="bottom"/>
            <w:gridSpan w:val="3"/>
          </w:tcPr>
          <w:p>
            <w:pPr>
              <w:jc w:val="right"/>
              <w:ind w:right="510"/>
              <w:spacing w:after="0"/>
              <w:rPr>
                <w:sz w:val="20"/>
                <w:szCs w:val="20"/>
                <w:color w:val="auto"/>
              </w:rPr>
            </w:pPr>
            <w:r>
              <w:rPr>
                <w:rFonts w:ascii="Arial" w:cs="Arial" w:eastAsia="Arial" w:hAnsi="Arial"/>
                <w:sz w:val="14"/>
                <w:szCs w:val="14"/>
                <w:b w:val="1"/>
                <w:bCs w:val="1"/>
                <w:color w:val="auto"/>
              </w:rPr>
              <w:t>Check: 0000035378</w:t>
            </w:r>
          </w:p>
        </w:tc>
      </w:tr>
      <w:tr>
        <w:trPr>
          <w:trHeight w:val="406"/>
        </w:trPr>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998</w:t>
            </w:r>
          </w:p>
        </w:tc>
        <w:tc>
          <w:tcPr>
            <w:tcW w:w="2820" w:type="dxa"/>
            <w:vAlign w:val="bottom"/>
          </w:tcPr>
          <w:p>
            <w:pPr>
              <w:ind w:left="20"/>
              <w:spacing w:after="0"/>
              <w:rPr>
                <w:sz w:val="20"/>
                <w:szCs w:val="20"/>
                <w:color w:val="auto"/>
              </w:rPr>
            </w:pPr>
            <w:r>
              <w:rPr>
                <w:rFonts w:ascii="Arial" w:cs="Arial" w:eastAsia="Arial" w:hAnsi="Arial"/>
                <w:sz w:val="18"/>
                <w:szCs w:val="18"/>
                <w:b w:val="1"/>
                <w:bCs w:val="1"/>
                <w:color w:val="auto"/>
              </w:rPr>
              <w:t>Clifford Downs</w:t>
            </w:r>
          </w:p>
        </w:tc>
        <w:tc>
          <w:tcPr>
            <w:tcW w:w="2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05"/>
        </w:trPr>
        <w:tc>
          <w:tcPr>
            <w:tcW w:w="3540" w:type="dxa"/>
            <w:vAlign w:val="bottom"/>
            <w:gridSpan w:val="2"/>
          </w:tcPr>
          <w:p>
            <w:pPr>
              <w:ind w:left="600"/>
              <w:spacing w:after="0"/>
              <w:rPr>
                <w:sz w:val="20"/>
                <w:szCs w:val="20"/>
                <w:color w:val="auto"/>
              </w:rPr>
            </w:pPr>
            <w:r>
              <w:rPr>
                <w:rFonts w:ascii="Arial" w:cs="Arial" w:eastAsia="Arial" w:hAnsi="Arial"/>
                <w:sz w:val="18"/>
                <w:szCs w:val="18"/>
                <w:b w:val="1"/>
                <w:bCs w:val="1"/>
                <w:color w:val="auto"/>
              </w:rPr>
              <w:t>Invoice</w:t>
            </w:r>
          </w:p>
        </w:tc>
        <w:tc>
          <w:tcPr>
            <w:tcW w:w="2680" w:type="dxa"/>
            <w:vAlign w:val="bottom"/>
          </w:tcPr>
          <w:p>
            <w:pPr>
              <w:ind w:left="1380"/>
              <w:spacing w:after="0"/>
              <w:rPr>
                <w:sz w:val="20"/>
                <w:szCs w:val="20"/>
                <w:color w:val="auto"/>
              </w:rPr>
            </w:pPr>
            <w:r>
              <w:rPr>
                <w:rFonts w:ascii="Arial" w:cs="Arial" w:eastAsia="Arial" w:hAnsi="Arial"/>
                <w:sz w:val="18"/>
                <w:szCs w:val="18"/>
                <w:b w:val="1"/>
                <w:bCs w:val="1"/>
                <w:color w:val="auto"/>
              </w:rPr>
              <w:t>Invoice Date</w:t>
            </w:r>
          </w:p>
        </w:tc>
        <w:tc>
          <w:tcPr>
            <w:tcW w:w="30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Gross Amount</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Discount</w:t>
            </w:r>
          </w:p>
        </w:tc>
        <w:tc>
          <w:tcPr>
            <w:tcW w:w="1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Net Amount</w:t>
            </w:r>
          </w:p>
        </w:tc>
      </w:tr>
      <w:tr>
        <w:trPr>
          <w:trHeight w:val="397"/>
        </w:trPr>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2820" w:type="dxa"/>
            <w:vAlign w:val="bottom"/>
          </w:tcPr>
          <w:p>
            <w:pPr>
              <w:ind w:left="20"/>
              <w:spacing w:after="0"/>
              <w:rPr>
                <w:sz w:val="20"/>
                <w:szCs w:val="20"/>
                <w:color w:val="auto"/>
              </w:rPr>
            </w:pPr>
            <w:r>
              <w:rPr>
                <w:rFonts w:ascii="Arial" w:cs="Arial" w:eastAsia="Arial" w:hAnsi="Arial"/>
                <w:sz w:val="18"/>
                <w:szCs w:val="18"/>
                <w:color w:val="auto"/>
              </w:rPr>
              <w:t>Columbia Deposit</w:t>
            </w:r>
          </w:p>
        </w:tc>
        <w:tc>
          <w:tcPr>
            <w:tcW w:w="2680" w:type="dxa"/>
            <w:vAlign w:val="bottom"/>
          </w:tcPr>
          <w:p>
            <w:pPr>
              <w:ind w:left="1380"/>
              <w:spacing w:after="0"/>
              <w:rPr>
                <w:sz w:val="20"/>
                <w:szCs w:val="20"/>
                <w:color w:val="auto"/>
              </w:rPr>
            </w:pPr>
            <w:r>
              <w:rPr>
                <w:rFonts w:ascii="Arial" w:cs="Arial" w:eastAsia="Arial" w:hAnsi="Arial"/>
                <w:sz w:val="18"/>
                <w:szCs w:val="18"/>
                <w:color w:val="auto"/>
              </w:rPr>
              <w:t>2/8/2018</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25,269.12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25,269.12</w:t>
            </w:r>
          </w:p>
        </w:tc>
      </w:tr>
      <w:tr>
        <w:trPr>
          <w:trHeight w:val="401"/>
        </w:trPr>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2820" w:type="dxa"/>
            <w:vAlign w:val="bottom"/>
          </w:tcPr>
          <w:p>
            <w:pPr>
              <w:ind w:left="20"/>
              <w:spacing w:after="0"/>
              <w:rPr>
                <w:sz w:val="20"/>
                <w:szCs w:val="20"/>
                <w:color w:val="auto"/>
              </w:rPr>
            </w:pPr>
            <w:r>
              <w:rPr>
                <w:rFonts w:ascii="Arial" w:cs="Arial" w:eastAsia="Arial" w:hAnsi="Arial"/>
                <w:sz w:val="18"/>
                <w:szCs w:val="18"/>
                <w:color w:val="auto"/>
              </w:rPr>
              <w:t>Columbia Rent</w:t>
            </w:r>
          </w:p>
        </w:tc>
        <w:tc>
          <w:tcPr>
            <w:tcW w:w="2680" w:type="dxa"/>
            <w:vAlign w:val="bottom"/>
          </w:tcPr>
          <w:p>
            <w:pPr>
              <w:ind w:left="1380"/>
              <w:spacing w:after="0"/>
              <w:rPr>
                <w:sz w:val="20"/>
                <w:szCs w:val="20"/>
                <w:color w:val="auto"/>
              </w:rPr>
            </w:pPr>
            <w:r>
              <w:rPr>
                <w:rFonts w:ascii="Arial" w:cs="Arial" w:eastAsia="Arial" w:hAnsi="Arial"/>
                <w:sz w:val="18"/>
                <w:szCs w:val="18"/>
                <w:color w:val="auto"/>
              </w:rPr>
              <w:t>2/8/2018</w:t>
            </w:r>
          </w:p>
        </w:tc>
        <w:tc>
          <w:tcPr>
            <w:tcW w:w="300" w:type="dxa"/>
            <w:vAlign w:val="bottom"/>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23,958.51</w:t>
            </w:r>
          </w:p>
        </w:tc>
        <w:tc>
          <w:tcPr>
            <w:tcW w:w="16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23,958.51</w:t>
            </w:r>
          </w:p>
        </w:tc>
      </w:tr>
      <w:tr>
        <w:trPr>
          <w:trHeight w:val="410"/>
        </w:trPr>
        <w:tc>
          <w:tcPr>
            <w:tcW w:w="7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680" w:type="dxa"/>
            <w:vAlign w:val="bottom"/>
          </w:tcPr>
          <w:p>
            <w:pPr>
              <w:ind w:left="1580"/>
              <w:spacing w:after="0"/>
              <w:rPr>
                <w:sz w:val="20"/>
                <w:szCs w:val="20"/>
                <w:color w:val="auto"/>
              </w:rPr>
            </w:pPr>
            <w:r>
              <w:rPr>
                <w:rFonts w:ascii="Arial" w:cs="Arial" w:eastAsia="Arial" w:hAnsi="Arial"/>
                <w:sz w:val="18"/>
                <w:szCs w:val="18"/>
                <w:b w:val="1"/>
                <w:bCs w:val="1"/>
                <w:color w:val="auto"/>
                <w:w w:val="96"/>
              </w:rPr>
              <w:t>Check Totals</w:t>
            </w:r>
          </w:p>
        </w:tc>
        <w:tc>
          <w:tcPr>
            <w:tcW w:w="2000" w:type="dxa"/>
            <w:vAlign w:val="bottom"/>
            <w:gridSpan w:val="2"/>
          </w:tcPr>
          <w:p>
            <w:pPr>
              <w:jc w:val="right"/>
              <w:spacing w:after="0"/>
              <w:rPr>
                <w:sz w:val="20"/>
                <w:szCs w:val="20"/>
                <w:color w:val="auto"/>
              </w:rPr>
            </w:pPr>
            <w:r>
              <w:rPr>
                <w:rFonts w:ascii="Arial" w:cs="Arial" w:eastAsia="Arial" w:hAnsi="Arial"/>
                <w:sz w:val="18"/>
                <w:szCs w:val="18"/>
                <w:b w:val="1"/>
                <w:bCs w:val="1"/>
                <w:color w:val="auto"/>
              </w:rPr>
              <w:t>49,227.63</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0.00</w:t>
            </w: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rPr>
              <w:t>49,227.63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4265930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2" w:name="page163"/>
    <w:bookmarkEnd w:id="162"/>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COMMENCEMENT DATE MEMORANDUM</w:t>
      </w:r>
    </w:p>
    <w:p>
      <w:pPr>
        <w:sectPr>
          <w:pgSz w:w="11900" w:h="16855" w:orient="portrait"/>
          <w:cols w:equalWidth="0" w:num="1">
            <w:col w:w="11220"/>
          </w:cols>
          <w:pgMar w:left="320" w:top="742" w:right="359" w:bottom="0" w:gutter="0" w:footer="0" w:header="0"/>
        </w:sectPr>
      </w:pPr>
    </w:p>
    <w:p>
      <w:pPr>
        <w:spacing w:after="0" w:line="264"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2018</w:t>
      </w:r>
    </w:p>
    <w:p>
      <w:pPr>
        <w:spacing w:after="0" w:line="198" w:lineRule="exact"/>
        <w:rPr>
          <w:sz w:val="20"/>
          <w:szCs w:val="20"/>
          <w:color w:val="auto"/>
        </w:rPr>
      </w:pPr>
    </w:p>
    <w:p>
      <w:pPr>
        <w:sectPr>
          <w:pgSz w:w="11900" w:h="16855" w:orient="portrait"/>
          <w:cols w:equalWidth="0" w:num="2">
            <w:col w:w="1900" w:space="720"/>
            <w:col w:w="8600"/>
          </w:cols>
          <w:pgMar w:left="320" w:top="742" w:right="359" w:bottom="0" w:gutter="0" w:footer="0" w:header="0"/>
          <w:type w:val="continuous"/>
        </w:sectPr>
      </w:pPr>
    </w:p>
    <w:p>
      <w:pPr>
        <w:ind w:left="580"/>
        <w:spacing w:after="0"/>
        <w:rPr>
          <w:sz w:val="20"/>
          <w:szCs w:val="20"/>
          <w:color w:val="auto"/>
        </w:rPr>
      </w:pPr>
      <w:r>
        <w:rPr>
          <w:rFonts w:ascii="Arial" w:cs="Arial" w:eastAsia="Arial" w:hAnsi="Arial"/>
          <w:sz w:val="18"/>
          <w:szCs w:val="18"/>
          <w:b w:val="1"/>
          <w:bCs w:val="1"/>
          <w:color w:val="auto"/>
        </w:rPr>
        <w:t>By and Between</w:t>
      </w:r>
    </w:p>
    <w:p>
      <w:pPr>
        <w:sectPr>
          <w:pgSz w:w="11900" w:h="16855" w:orient="portrait"/>
          <w:cols w:equalWidth="0" w:num="1">
            <w:col w:w="11220"/>
          </w:cols>
          <w:pgMar w:left="320" w:top="742" w:right="359" w:bottom="0" w:gutter="0" w:footer="0" w:header="0"/>
          <w:type w:val="continuous"/>
        </w:sectPr>
      </w:pPr>
    </w:p>
    <w:p>
      <w:pPr>
        <w:spacing w:after="0" w:line="198"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Lessor:</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Clifford D. Downs</w:t>
      </w:r>
    </w:p>
    <w:p>
      <w:pPr>
        <w:spacing w:after="0" w:line="209" w:lineRule="exact"/>
        <w:rPr>
          <w:sz w:val="20"/>
          <w:szCs w:val="20"/>
          <w:color w:val="auto"/>
        </w:rPr>
      </w:pPr>
    </w:p>
    <w:p>
      <w:pPr>
        <w:sectPr>
          <w:pgSz w:w="11900" w:h="16855" w:orient="portrait"/>
          <w:cols w:equalWidth="0" w:num="2">
            <w:col w:w="1900" w:space="720"/>
            <w:col w:w="8600"/>
          </w:cols>
          <w:pgMar w:left="320" w:top="742" w:right="359" w:bottom="0" w:gutter="0" w:footer="0" w:header="0"/>
          <w:type w:val="continuous"/>
        </w:sectPr>
      </w:pPr>
    </w:p>
    <w:p>
      <w:pPr>
        <w:ind w:left="580"/>
        <w:spacing w:after="0"/>
        <w:rPr>
          <w:sz w:val="20"/>
          <w:szCs w:val="20"/>
          <w:color w:val="auto"/>
        </w:rPr>
      </w:pPr>
      <w:r>
        <w:rPr>
          <w:rFonts w:ascii="Arial" w:cs="Arial" w:eastAsia="Arial" w:hAnsi="Arial"/>
          <w:sz w:val="18"/>
          <w:szCs w:val="18"/>
          <w:b w:val="1"/>
          <w:bCs w:val="1"/>
          <w:color w:val="auto"/>
        </w:rPr>
        <w:t>Lessee: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RxSight, Inc., a California corporation</w:t>
      </w:r>
    </w:p>
    <w:p>
      <w:pPr>
        <w:spacing w:after="0" w:line="209" w:lineRule="exact"/>
        <w:rPr>
          <w:sz w:val="20"/>
          <w:szCs w:val="20"/>
          <w:color w:val="auto"/>
        </w:rPr>
      </w:pPr>
    </w:p>
    <w:p>
      <w:pPr>
        <w:sectPr>
          <w:pgSz w:w="11900" w:h="16855" w:orient="portrait"/>
          <w:cols w:equalWidth="0" w:num="2">
            <w:col w:w="1900" w:space="720"/>
            <w:col w:w="8600"/>
          </w:cols>
          <w:pgMar w:left="320" w:top="742" w:right="359" w:bottom="0" w:gutter="0" w:footer="0" w:header="0"/>
          <w:type w:val="continuous"/>
        </w:sectPr>
      </w:pPr>
    </w:p>
    <w:p>
      <w:pPr>
        <w:ind w:left="580"/>
        <w:spacing w:after="0"/>
        <w:rPr>
          <w:sz w:val="20"/>
          <w:szCs w:val="20"/>
          <w:color w:val="auto"/>
        </w:rPr>
      </w:pPr>
      <w:r>
        <w:rPr>
          <w:rFonts w:ascii="Arial" w:cs="Arial" w:eastAsia="Arial" w:hAnsi="Arial"/>
          <w:sz w:val="18"/>
          <w:szCs w:val="18"/>
          <w:b w:val="1"/>
          <w:bCs w:val="1"/>
          <w:color w:val="auto"/>
        </w:rPr>
        <w:t>Property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5 Columbia, Aliso Viejo, CA 92656</w:t>
      </w:r>
    </w:p>
    <w:p>
      <w:pPr>
        <w:spacing w:after="0" w:line="198" w:lineRule="exact"/>
        <w:rPr>
          <w:sz w:val="20"/>
          <w:szCs w:val="20"/>
          <w:color w:val="auto"/>
        </w:rPr>
      </w:pPr>
    </w:p>
    <w:p>
      <w:pPr>
        <w:sectPr>
          <w:pgSz w:w="11900" w:h="16855" w:orient="portrait"/>
          <w:cols w:equalWidth="0" w:num="2">
            <w:col w:w="2160" w:space="460"/>
            <w:col w:w="8600"/>
          </w:cols>
          <w:pgMar w:left="320" w:top="742" w:right="359" w:bottom="0" w:gutter="0" w:footer="0" w:header="0"/>
          <w:type w:val="continuous"/>
        </w:sectPr>
      </w:pPr>
    </w:p>
    <w:p>
      <w:pPr>
        <w:ind w:left="2620"/>
        <w:spacing w:after="0"/>
        <w:rPr>
          <w:sz w:val="20"/>
          <w:szCs w:val="20"/>
          <w:color w:val="auto"/>
        </w:rPr>
      </w:pPr>
      <w:r>
        <w:rPr>
          <w:rFonts w:ascii="Arial" w:cs="Arial" w:eastAsia="Arial" w:hAnsi="Arial"/>
          <w:sz w:val="17"/>
          <w:szCs w:val="17"/>
          <w:color w:val="auto"/>
        </w:rPr>
        <w:t>(street address, city, state, zip)</w:t>
      </w:r>
    </w:p>
    <w:p>
      <w:pPr>
        <w:sectPr>
          <w:pgSz w:w="11900" w:h="16855" w:orient="portrait"/>
          <w:cols w:equalWidth="0" w:num="1">
            <w:col w:w="11220"/>
          </w:cols>
          <w:pgMar w:left="320" w:top="742" w:right="359" w:bottom="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right="860"/>
        <w:spacing w:after="0" w:line="281" w:lineRule="auto"/>
        <w:rPr>
          <w:sz w:val="20"/>
          <w:szCs w:val="20"/>
          <w:color w:val="auto"/>
        </w:rPr>
      </w:pPr>
      <w:r>
        <w:rPr>
          <w:rFonts w:ascii="Arial" w:cs="Arial" w:eastAsia="Arial" w:hAnsi="Arial"/>
          <w:sz w:val="18"/>
          <w:szCs w:val="18"/>
          <w:color w:val="auto"/>
        </w:rPr>
        <w:t xml:space="preserve">THIS MEMORANDUM, made as of February 22, 2018 by and between Clifford D. Downs (“Lessor”) and RxSight, Inc., a California corporation </w:t>
      </w:r>
      <w:r>
        <w:rPr>
          <w:rFonts w:ascii="Arial" w:cs="Arial" w:eastAsia="Arial" w:hAnsi="Arial"/>
          <w:sz w:val="18"/>
          <w:szCs w:val="18"/>
          <w:b w:val="1"/>
          <w:bCs w:val="1"/>
          <w:color w:val="auto"/>
        </w:rPr>
        <w:t>(“Lessee”).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Recitals</w:t>
      </w:r>
      <w:r>
        <w:rPr>
          <w:rFonts w:ascii="Arial" w:cs="Arial" w:eastAsia="Arial" w:hAnsi="Arial"/>
          <w:sz w:val="18"/>
          <w:szCs w:val="18"/>
          <w:b w:val="1"/>
          <w:bCs w:val="1"/>
          <w:color w:val="auto"/>
        </w:rPr>
        <w:t>:</w:t>
      </w:r>
    </w:p>
    <w:p>
      <w:pPr>
        <w:spacing w:after="0" w:line="104" w:lineRule="exact"/>
        <w:rPr>
          <w:sz w:val="20"/>
          <w:szCs w:val="20"/>
          <w:color w:val="auto"/>
        </w:rPr>
      </w:pPr>
    </w:p>
    <w:p>
      <w:pPr>
        <w:ind w:right="300"/>
        <w:spacing w:after="0" w:line="296" w:lineRule="auto"/>
        <w:rPr>
          <w:sz w:val="20"/>
          <w:szCs w:val="20"/>
          <w:color w:val="auto"/>
        </w:rPr>
      </w:pPr>
      <w:r>
        <w:rPr>
          <w:rFonts w:ascii="Arial" w:cs="Arial" w:eastAsia="Arial" w:hAnsi="Arial"/>
          <w:sz w:val="18"/>
          <w:szCs w:val="18"/>
          <w:color w:val="auto"/>
        </w:rPr>
        <w:t>Lessor and Lessee are parties to that certain Lease, dated for reference purposes January 1, 2018 (the “Lease”) for certain premises (the “Premises”) commonly known as (street address, city, state, zip) 5 Columbia, Aliso Viejo, CA 92656</w:t>
      </w:r>
      <w:r>
        <w:rPr>
          <w:rFonts w:ascii="Arial" w:cs="Arial" w:eastAsia="Arial" w:hAnsi="Arial"/>
          <w:sz w:val="18"/>
          <w:szCs w:val="18"/>
          <w:b w:val="1"/>
          <w:bCs w:val="1"/>
          <w:color w:val="auto"/>
        </w:rPr>
        <w: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Lessee is now in possession of the Premises and the Term of the Lease has commenced.</w:t>
      </w:r>
    </w:p>
    <w:p>
      <w:pPr>
        <w:spacing w:after="0" w:line="104"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Lessor and Lessee desire to enter into this Memorandum confirming the Commencement Date, the Expiration Date and other matters under the Lease.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NOW, THEREFORE, Lessor and Lessee agree as follows:</w:t>
      </w:r>
    </w:p>
    <w:p>
      <w:pPr>
        <w:spacing w:after="0" w:line="198" w:lineRule="exact"/>
        <w:rPr>
          <w:sz w:val="20"/>
          <w:szCs w:val="20"/>
          <w:color w:val="auto"/>
        </w:rPr>
      </w:pPr>
    </w:p>
    <w:p>
      <w:pPr>
        <w:ind w:left="1040" w:hanging="560"/>
        <w:spacing w:after="0"/>
        <w:tabs>
          <w:tab w:leader="none" w:pos="10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actual Commencement Date is April 1, 2018</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ind w:left="1040" w:hanging="560"/>
        <w:spacing w:after="0"/>
        <w:tabs>
          <w:tab w:leader="none" w:pos="10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actual Expiration Date is March 31, 2023</w:t>
      </w:r>
      <w:r>
        <w:rPr>
          <w:rFonts w:ascii="Arial" w:cs="Arial" w:eastAsia="Arial" w:hAnsi="Arial"/>
          <w:sz w:val="18"/>
          <w:szCs w:val="18"/>
          <w:b w:val="1"/>
          <w:bCs w:val="1"/>
          <w:color w:val="auto"/>
        </w:rPr>
        <w:t>.</w:t>
      </w:r>
    </w:p>
    <w:p>
      <w:pPr>
        <w:spacing w:after="0" w:line="211" w:lineRule="exact"/>
        <w:rPr>
          <w:rFonts w:ascii="Arial" w:cs="Arial" w:eastAsia="Arial" w:hAnsi="Arial"/>
          <w:sz w:val="18"/>
          <w:szCs w:val="18"/>
          <w:color w:val="auto"/>
        </w:rPr>
      </w:pPr>
    </w:p>
    <w:p>
      <w:pPr>
        <w:ind w:left="1040" w:hanging="560"/>
        <w:spacing w:after="0"/>
        <w:tabs>
          <w:tab w:leader="none" w:pos="10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The Base Rent shall be adjusted on the dates indicated as follows: Per Paragraph 51 of the Lease, </w:t>
      </w:r>
      <w:r>
        <w:rPr>
          <w:rFonts w:ascii="Arial" w:cs="Arial" w:eastAsia="Arial" w:hAnsi="Arial"/>
          <w:sz w:val="18"/>
          <w:szCs w:val="18"/>
          <w:i w:val="1"/>
          <w:iCs w:val="1"/>
          <w:color w:val="auto"/>
        </w:rPr>
        <w:t>(strike if not applicable)</w:t>
      </w:r>
    </w:p>
    <w:p>
      <w:pPr>
        <w:spacing w:after="0" w:line="211" w:lineRule="exact"/>
        <w:rPr>
          <w:rFonts w:ascii="Arial" w:cs="Arial" w:eastAsia="Arial" w:hAnsi="Arial"/>
          <w:sz w:val="18"/>
          <w:szCs w:val="18"/>
          <w:color w:val="auto"/>
        </w:rPr>
      </w:pPr>
    </w:p>
    <w:p>
      <w:pPr>
        <w:ind w:left="1040" w:hanging="560"/>
        <w:spacing w:after="0"/>
        <w:tabs>
          <w:tab w:leader="none" w:pos="10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Other: Lessee releases ten (10) day contingency as stated in Paragraph 52 of the lease, </w:t>
      </w:r>
      <w:r>
        <w:rPr>
          <w:rFonts w:ascii="Arial" w:cs="Arial" w:eastAsia="Arial" w:hAnsi="Arial"/>
          <w:sz w:val="18"/>
          <w:szCs w:val="18"/>
          <w:i w:val="1"/>
          <w:iCs w:val="1"/>
          <w:color w:val="auto"/>
        </w:rPr>
        <w:t>(strike if not applicable)</w:t>
      </w:r>
    </w:p>
    <w:p>
      <w:pPr>
        <w:spacing w:after="0" w:line="225" w:lineRule="exact"/>
        <w:rPr>
          <w:rFonts w:ascii="Arial" w:cs="Arial" w:eastAsia="Arial" w:hAnsi="Arial"/>
          <w:sz w:val="18"/>
          <w:szCs w:val="18"/>
          <w:color w:val="auto"/>
        </w:rPr>
      </w:pPr>
    </w:p>
    <w:p>
      <w:pPr>
        <w:ind w:left="1040" w:hanging="560"/>
        <w:spacing w:after="0"/>
        <w:tabs>
          <w:tab w:leader="none" w:pos="10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Capitalized terms not defined herein shall have the same meaning as set forth in the Lease.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caused this Agreement to be executed as of the date and year first above written.</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5240" w:type="dxa"/>
            <w:vAlign w:val="bottom"/>
            <w:gridSpan w:val="2"/>
          </w:tcPr>
          <w:p>
            <w:pPr>
              <w:spacing w:after="0"/>
              <w:rPr>
                <w:sz w:val="20"/>
                <w:szCs w:val="20"/>
                <w:color w:val="auto"/>
              </w:rPr>
            </w:pPr>
            <w:r>
              <w:rPr>
                <w:rFonts w:ascii="Arial" w:cs="Arial" w:eastAsia="Arial" w:hAnsi="Arial"/>
                <w:sz w:val="16"/>
                <w:szCs w:val="16"/>
                <w:b w:val="1"/>
                <w:bCs w:val="1"/>
                <w:color w:val="auto"/>
              </w:rPr>
              <w:t>By Lessor</w:t>
            </w:r>
          </w:p>
        </w:tc>
        <w:tc>
          <w:tcPr>
            <w:tcW w:w="5960" w:type="dxa"/>
            <w:vAlign w:val="bottom"/>
            <w:gridSpan w:val="3"/>
          </w:tcPr>
          <w:p>
            <w:pPr>
              <w:ind w:left="800"/>
              <w:spacing w:after="0"/>
              <w:rPr>
                <w:sz w:val="20"/>
                <w:szCs w:val="20"/>
                <w:color w:val="auto"/>
              </w:rPr>
            </w:pPr>
            <w:r>
              <w:rPr>
                <w:rFonts w:ascii="Arial" w:cs="Arial" w:eastAsia="Arial" w:hAnsi="Arial"/>
                <w:sz w:val="16"/>
                <w:szCs w:val="16"/>
                <w:b w:val="1"/>
                <w:bCs w:val="1"/>
                <w:color w:val="auto"/>
              </w:rPr>
              <w:t>By Lessee</w:t>
            </w:r>
          </w:p>
        </w:tc>
        <w:tc>
          <w:tcPr>
            <w:tcW w:w="0" w:type="dxa"/>
            <w:vAlign w:val="bottom"/>
          </w:tcPr>
          <w:p>
            <w:pPr>
              <w:spacing w:after="0"/>
              <w:rPr>
                <w:sz w:val="1"/>
                <w:szCs w:val="1"/>
                <w:color w:val="auto"/>
              </w:rPr>
            </w:pPr>
          </w:p>
        </w:tc>
      </w:tr>
      <w:tr>
        <w:trPr>
          <w:trHeight w:val="357"/>
        </w:trPr>
        <w:tc>
          <w:tcPr>
            <w:tcW w:w="5240" w:type="dxa"/>
            <w:vAlign w:val="bottom"/>
            <w:gridSpan w:val="2"/>
          </w:tcPr>
          <w:p>
            <w:pPr>
              <w:ind w:left="180"/>
              <w:spacing w:after="0"/>
              <w:rPr>
                <w:sz w:val="20"/>
                <w:szCs w:val="20"/>
                <w:color w:val="auto"/>
              </w:rPr>
            </w:pPr>
            <w:r>
              <w:rPr>
                <w:rFonts w:ascii="Arial" w:cs="Arial" w:eastAsia="Arial" w:hAnsi="Arial"/>
                <w:sz w:val="16"/>
                <w:szCs w:val="16"/>
                <w:color w:val="auto"/>
              </w:rPr>
              <w:t>Clifford D. Downs</w:t>
            </w:r>
          </w:p>
        </w:tc>
        <w:tc>
          <w:tcPr>
            <w:tcW w:w="5960" w:type="dxa"/>
            <w:vAlign w:val="bottom"/>
            <w:gridSpan w:val="3"/>
          </w:tcPr>
          <w:p>
            <w:pPr>
              <w:ind w:left="980"/>
              <w:spacing w:after="0"/>
              <w:rPr>
                <w:sz w:val="20"/>
                <w:szCs w:val="20"/>
                <w:color w:val="auto"/>
              </w:rPr>
            </w:pPr>
            <w:r>
              <w:rPr>
                <w:rFonts w:ascii="Arial" w:cs="Arial" w:eastAsia="Arial" w:hAnsi="Arial"/>
                <w:sz w:val="16"/>
                <w:szCs w:val="16"/>
                <w:color w:val="auto"/>
              </w:rPr>
              <w:t>RxSight, Inc., a California corporation</w:t>
            </w:r>
          </w:p>
        </w:tc>
        <w:tc>
          <w:tcPr>
            <w:tcW w:w="0" w:type="dxa"/>
            <w:vAlign w:val="bottom"/>
          </w:tcPr>
          <w:p>
            <w:pPr>
              <w:spacing w:after="0"/>
              <w:rPr>
                <w:sz w:val="1"/>
                <w:szCs w:val="1"/>
                <w:color w:val="auto"/>
              </w:rPr>
            </w:pPr>
          </w:p>
        </w:tc>
      </w:tr>
      <w:tr>
        <w:trPr>
          <w:trHeight w:val="569"/>
        </w:trPr>
        <w:tc>
          <w:tcPr>
            <w:tcW w:w="5240" w:type="dxa"/>
            <w:vAlign w:val="bottom"/>
            <w:gridSpan w:val="2"/>
          </w:tcPr>
          <w:p>
            <w:pPr>
              <w:spacing w:after="0"/>
              <w:rPr>
                <w:sz w:val="20"/>
                <w:szCs w:val="20"/>
                <w:color w:val="auto"/>
              </w:rPr>
            </w:pPr>
            <w:r>
              <w:rPr>
                <w:rFonts w:ascii="Arial" w:cs="Arial" w:eastAsia="Arial" w:hAnsi="Arial"/>
                <w:sz w:val="16"/>
                <w:szCs w:val="16"/>
                <w:color w:val="auto"/>
              </w:rPr>
              <w:t>By:   /s/ Clifford D. Downs DDS</w:t>
            </w:r>
          </w:p>
        </w:tc>
        <w:tc>
          <w:tcPr>
            <w:tcW w:w="1280" w:type="dxa"/>
            <w:vAlign w:val="bottom"/>
            <w:gridSpan w:val="2"/>
            <w:vMerge w:val="restart"/>
          </w:tcPr>
          <w:p>
            <w:pPr>
              <w:ind w:left="800"/>
              <w:spacing w:after="0"/>
              <w:rPr>
                <w:sz w:val="20"/>
                <w:szCs w:val="20"/>
                <w:color w:val="auto"/>
              </w:rPr>
            </w:pPr>
            <w:r>
              <w:rPr>
                <w:rFonts w:ascii="Arial" w:cs="Arial" w:eastAsia="Arial" w:hAnsi="Arial"/>
                <w:sz w:val="16"/>
                <w:szCs w:val="16"/>
                <w:color w:val="auto"/>
              </w:rPr>
              <w:t>By:</w:t>
            </w:r>
          </w:p>
        </w:tc>
        <w:tc>
          <w:tcPr>
            <w:tcW w:w="4680" w:type="dxa"/>
            <w:vAlign w:val="bottom"/>
            <w:vMerge w:val="restart"/>
          </w:tcPr>
          <w:p>
            <w:pPr>
              <w:jc w:val="right"/>
              <w:ind w:right="3655"/>
              <w:spacing w:after="0"/>
              <w:rPr>
                <w:sz w:val="20"/>
                <w:szCs w:val="20"/>
                <w:color w:val="auto"/>
              </w:rPr>
            </w:pPr>
            <w:r>
              <w:rPr>
                <w:rFonts w:ascii="Arial" w:cs="Arial" w:eastAsia="Arial" w:hAnsi="Arial"/>
                <w:sz w:val="16"/>
                <w:szCs w:val="16"/>
                <w:color w:val="auto"/>
                <w:w w:val="99"/>
              </w:rPr>
              <w:t>/s/ Ron Kurtz</w:t>
            </w:r>
          </w:p>
        </w:tc>
        <w:tc>
          <w:tcPr>
            <w:tcW w:w="0" w:type="dxa"/>
            <w:vAlign w:val="bottom"/>
          </w:tcPr>
          <w:p>
            <w:pPr>
              <w:spacing w:after="0"/>
              <w:rPr>
                <w:sz w:val="1"/>
                <w:szCs w:val="1"/>
                <w:color w:val="auto"/>
              </w:rPr>
            </w:pPr>
          </w:p>
        </w:tc>
      </w:tr>
      <w:tr>
        <w:trPr>
          <w:trHeight w:val="120"/>
        </w:trPr>
        <w:tc>
          <w:tcPr>
            <w:tcW w:w="480" w:type="dxa"/>
            <w:vAlign w:val="bottom"/>
          </w:tcPr>
          <w:p>
            <w:pPr>
              <w:spacing w:after="0"/>
              <w:rPr>
                <w:sz w:val="10"/>
                <w:szCs w:val="10"/>
                <w:color w:val="auto"/>
              </w:rPr>
            </w:pPr>
          </w:p>
        </w:tc>
        <w:tc>
          <w:tcPr>
            <w:tcW w:w="4760" w:type="dxa"/>
            <w:vAlign w:val="bottom"/>
            <w:tcBorders>
              <w:top w:val="single" w:sz="8" w:color="auto"/>
            </w:tcBorders>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46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5240" w:type="dxa"/>
            <w:vAlign w:val="bottom"/>
            <w:gridSpan w:val="2"/>
          </w:tcPr>
          <w:p>
            <w:pPr>
              <w:spacing w:after="0"/>
              <w:rPr>
                <w:sz w:val="20"/>
                <w:szCs w:val="20"/>
                <w:color w:val="auto"/>
              </w:rPr>
            </w:pPr>
            <w:r>
              <w:rPr>
                <w:rFonts w:ascii="Arial" w:cs="Arial" w:eastAsia="Arial" w:hAnsi="Arial"/>
                <w:sz w:val="16"/>
                <w:szCs w:val="16"/>
                <w:color w:val="auto"/>
              </w:rPr>
              <w:t>Name Printed:</w:t>
            </w:r>
          </w:p>
        </w:tc>
        <w:tc>
          <w:tcPr>
            <w:tcW w:w="5960" w:type="dxa"/>
            <w:vAlign w:val="bottom"/>
            <w:gridSpan w:val="3"/>
          </w:tcPr>
          <w:p>
            <w:pPr>
              <w:ind w:left="800"/>
              <w:spacing w:after="0"/>
              <w:rPr>
                <w:sz w:val="20"/>
                <w:szCs w:val="20"/>
                <w:color w:val="auto"/>
              </w:rPr>
            </w:pPr>
            <w:r>
              <w:rPr>
                <w:rFonts w:ascii="Arial" w:cs="Arial" w:eastAsia="Arial" w:hAnsi="Arial"/>
                <w:sz w:val="16"/>
                <w:szCs w:val="16"/>
                <w:color w:val="auto"/>
              </w:rPr>
              <w:t>Name Printed:   Ron Kurtz</w:t>
            </w:r>
          </w:p>
        </w:tc>
        <w:tc>
          <w:tcPr>
            <w:tcW w:w="0" w:type="dxa"/>
            <w:vAlign w:val="bottom"/>
          </w:tcPr>
          <w:p>
            <w:pPr>
              <w:spacing w:after="0"/>
              <w:rPr>
                <w:sz w:val="1"/>
                <w:szCs w:val="1"/>
                <w:color w:val="auto"/>
              </w:rPr>
            </w:pPr>
          </w:p>
        </w:tc>
      </w:tr>
      <w:tr>
        <w:trPr>
          <w:trHeight w:val="365"/>
        </w:trPr>
        <w:tc>
          <w:tcPr>
            <w:tcW w:w="5240" w:type="dxa"/>
            <w:vAlign w:val="bottom"/>
            <w:gridSpan w:val="2"/>
          </w:tcPr>
          <w:p>
            <w:pPr>
              <w:spacing w:after="0"/>
              <w:rPr>
                <w:sz w:val="20"/>
                <w:szCs w:val="20"/>
                <w:color w:val="auto"/>
              </w:rPr>
            </w:pPr>
            <w:r>
              <w:rPr>
                <w:rFonts w:ascii="Arial" w:cs="Arial" w:eastAsia="Arial" w:hAnsi="Arial"/>
                <w:sz w:val="16"/>
                <w:szCs w:val="16"/>
                <w:color w:val="auto"/>
              </w:rPr>
              <w:t>Title:</w:t>
            </w:r>
          </w:p>
        </w:tc>
        <w:tc>
          <w:tcPr>
            <w:tcW w:w="1280" w:type="dxa"/>
            <w:vAlign w:val="bottom"/>
            <w:gridSpan w:val="2"/>
          </w:tcPr>
          <w:p>
            <w:pPr>
              <w:ind w:left="800"/>
              <w:spacing w:after="0"/>
              <w:rPr>
                <w:sz w:val="20"/>
                <w:szCs w:val="20"/>
                <w:color w:val="auto"/>
              </w:rPr>
            </w:pPr>
            <w:r>
              <w:rPr>
                <w:rFonts w:ascii="Arial" w:cs="Arial" w:eastAsia="Arial" w:hAnsi="Arial"/>
                <w:sz w:val="16"/>
                <w:szCs w:val="16"/>
                <w:color w:val="auto"/>
              </w:rPr>
              <w:t>Title:</w:t>
            </w:r>
          </w:p>
        </w:tc>
        <w:tc>
          <w:tcPr>
            <w:tcW w:w="4680" w:type="dxa"/>
            <w:vAlign w:val="bottom"/>
          </w:tcPr>
          <w:p>
            <w:pPr>
              <w:jc w:val="right"/>
              <w:ind w:right="4155"/>
              <w:spacing w:after="0"/>
              <w:rPr>
                <w:sz w:val="20"/>
                <w:szCs w:val="20"/>
                <w:color w:val="auto"/>
              </w:rPr>
            </w:pPr>
            <w:r>
              <w:rPr>
                <w:rFonts w:ascii="Arial" w:cs="Arial" w:eastAsia="Arial" w:hAnsi="Arial"/>
                <w:sz w:val="16"/>
                <w:szCs w:val="16"/>
                <w:color w:val="auto"/>
              </w:rPr>
              <w:t>CEO</w:t>
            </w:r>
          </w:p>
        </w:tc>
        <w:tc>
          <w:tcPr>
            <w:tcW w:w="0" w:type="dxa"/>
            <w:vAlign w:val="bottom"/>
          </w:tcPr>
          <w:p>
            <w:pPr>
              <w:spacing w:after="0"/>
              <w:rPr>
                <w:sz w:val="1"/>
                <w:szCs w:val="1"/>
                <w:color w:val="auto"/>
              </w:rPr>
            </w:pPr>
          </w:p>
        </w:tc>
      </w:tr>
      <w:tr>
        <w:trPr>
          <w:trHeight w:val="364"/>
        </w:trPr>
        <w:tc>
          <w:tcPr>
            <w:tcW w:w="5240" w:type="dxa"/>
            <w:vAlign w:val="bottom"/>
            <w:gridSpan w:val="2"/>
          </w:tcPr>
          <w:p>
            <w:pPr>
              <w:spacing w:after="0"/>
              <w:rPr>
                <w:sz w:val="20"/>
                <w:szCs w:val="20"/>
                <w:color w:val="auto"/>
              </w:rPr>
            </w:pPr>
            <w:r>
              <w:rPr>
                <w:rFonts w:ascii="Arial" w:cs="Arial" w:eastAsia="Arial" w:hAnsi="Arial"/>
                <w:sz w:val="16"/>
                <w:szCs w:val="16"/>
                <w:color w:val="auto"/>
              </w:rPr>
              <w:t>Phone:</w:t>
            </w:r>
          </w:p>
        </w:tc>
        <w:tc>
          <w:tcPr>
            <w:tcW w:w="5960" w:type="dxa"/>
            <w:vAlign w:val="bottom"/>
            <w:gridSpan w:val="3"/>
          </w:tcPr>
          <w:p>
            <w:pPr>
              <w:ind w:left="800"/>
              <w:spacing w:after="0"/>
              <w:rPr>
                <w:sz w:val="20"/>
                <w:szCs w:val="20"/>
                <w:color w:val="auto"/>
              </w:rPr>
            </w:pPr>
            <w:r>
              <w:rPr>
                <w:rFonts w:ascii="Arial" w:cs="Arial" w:eastAsia="Arial" w:hAnsi="Arial"/>
                <w:sz w:val="16"/>
                <w:szCs w:val="16"/>
                <w:color w:val="auto"/>
              </w:rPr>
              <w:t>Phone:</w:t>
            </w:r>
          </w:p>
        </w:tc>
        <w:tc>
          <w:tcPr>
            <w:tcW w:w="0" w:type="dxa"/>
            <w:vAlign w:val="bottom"/>
          </w:tcPr>
          <w:p>
            <w:pPr>
              <w:spacing w:after="0"/>
              <w:rPr>
                <w:sz w:val="1"/>
                <w:szCs w:val="1"/>
                <w:color w:val="auto"/>
              </w:rPr>
            </w:pPr>
          </w:p>
        </w:tc>
      </w:tr>
      <w:tr>
        <w:trPr>
          <w:trHeight w:val="365"/>
        </w:trPr>
        <w:tc>
          <w:tcPr>
            <w:tcW w:w="5240" w:type="dxa"/>
            <w:vAlign w:val="bottom"/>
            <w:gridSpan w:val="2"/>
          </w:tcPr>
          <w:p>
            <w:pPr>
              <w:spacing w:after="0"/>
              <w:rPr>
                <w:sz w:val="20"/>
                <w:szCs w:val="20"/>
                <w:color w:val="auto"/>
              </w:rPr>
            </w:pPr>
            <w:r>
              <w:rPr>
                <w:rFonts w:ascii="Arial" w:cs="Arial" w:eastAsia="Arial" w:hAnsi="Arial"/>
                <w:sz w:val="16"/>
                <w:szCs w:val="16"/>
                <w:color w:val="auto"/>
              </w:rPr>
              <w:t>Fax:</w:t>
            </w:r>
          </w:p>
        </w:tc>
        <w:tc>
          <w:tcPr>
            <w:tcW w:w="1280" w:type="dxa"/>
            <w:vAlign w:val="bottom"/>
            <w:gridSpan w:val="2"/>
          </w:tcPr>
          <w:p>
            <w:pPr>
              <w:ind w:left="800"/>
              <w:spacing w:after="0"/>
              <w:rPr>
                <w:sz w:val="20"/>
                <w:szCs w:val="20"/>
                <w:color w:val="auto"/>
              </w:rPr>
            </w:pPr>
            <w:r>
              <w:rPr>
                <w:rFonts w:ascii="Arial" w:cs="Arial" w:eastAsia="Arial" w:hAnsi="Arial"/>
                <w:sz w:val="16"/>
                <w:szCs w:val="16"/>
                <w:color w:val="auto"/>
              </w:rPr>
              <w:t>Fax:</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240" w:type="dxa"/>
            <w:vAlign w:val="bottom"/>
            <w:gridSpan w:val="2"/>
          </w:tcPr>
          <w:p>
            <w:pPr>
              <w:spacing w:after="0"/>
              <w:rPr>
                <w:sz w:val="20"/>
                <w:szCs w:val="20"/>
                <w:color w:val="auto"/>
              </w:rPr>
            </w:pPr>
            <w:r>
              <w:rPr>
                <w:rFonts w:ascii="Arial" w:cs="Arial" w:eastAsia="Arial" w:hAnsi="Arial"/>
                <w:sz w:val="16"/>
                <w:szCs w:val="16"/>
                <w:color w:val="auto"/>
              </w:rPr>
              <w:t>Email:</w:t>
            </w:r>
          </w:p>
        </w:tc>
        <w:tc>
          <w:tcPr>
            <w:tcW w:w="1280" w:type="dxa"/>
            <w:vAlign w:val="bottom"/>
            <w:gridSpan w:val="2"/>
          </w:tcPr>
          <w:p>
            <w:pPr>
              <w:ind w:left="800"/>
              <w:spacing w:after="0"/>
              <w:rPr>
                <w:sz w:val="20"/>
                <w:szCs w:val="20"/>
                <w:color w:val="auto"/>
              </w:rPr>
            </w:pPr>
            <w:r>
              <w:rPr>
                <w:rFonts w:ascii="Arial" w:cs="Arial" w:eastAsia="Arial" w:hAnsi="Arial"/>
                <w:sz w:val="16"/>
                <w:szCs w:val="16"/>
                <w:color w:val="auto"/>
              </w:rPr>
              <w:t>Email:</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480" w:type="dxa"/>
            <w:vAlign w:val="bottom"/>
          </w:tcPr>
          <w:p>
            <w:pPr>
              <w:spacing w:after="0"/>
              <w:rPr>
                <w:sz w:val="20"/>
                <w:szCs w:val="20"/>
                <w:color w:val="auto"/>
              </w:rPr>
            </w:pPr>
            <w:r>
              <w:rPr>
                <w:rFonts w:ascii="Arial" w:cs="Arial" w:eastAsia="Arial" w:hAnsi="Arial"/>
                <w:sz w:val="16"/>
                <w:szCs w:val="16"/>
                <w:color w:val="auto"/>
              </w:rPr>
              <w:t>By:</w:t>
            </w:r>
          </w:p>
        </w:tc>
        <w:tc>
          <w:tcPr>
            <w:tcW w:w="4760" w:type="dxa"/>
            <w:vAlign w:val="bottom"/>
            <w:tcBorders>
              <w:bottom w:val="single" w:sz="8" w:color="auto"/>
            </w:tcBorders>
          </w:tcPr>
          <w:p>
            <w:pPr>
              <w:spacing w:after="0"/>
              <w:rPr>
                <w:sz w:val="24"/>
                <w:szCs w:val="24"/>
                <w:color w:val="auto"/>
              </w:rPr>
            </w:pPr>
          </w:p>
        </w:tc>
        <w:tc>
          <w:tcPr>
            <w:tcW w:w="1260" w:type="dxa"/>
            <w:vAlign w:val="bottom"/>
          </w:tcPr>
          <w:p>
            <w:pPr>
              <w:ind w:left="800"/>
              <w:spacing w:after="0"/>
              <w:rPr>
                <w:sz w:val="20"/>
                <w:szCs w:val="20"/>
                <w:color w:val="auto"/>
              </w:rPr>
            </w:pPr>
            <w:r>
              <w:rPr>
                <w:rFonts w:ascii="Arial" w:cs="Arial" w:eastAsia="Arial" w:hAnsi="Arial"/>
                <w:sz w:val="16"/>
                <w:szCs w:val="16"/>
                <w:color w:val="auto"/>
              </w:rPr>
              <w:t>By:</w:t>
            </w:r>
          </w:p>
        </w:tc>
        <w:tc>
          <w:tcPr>
            <w:tcW w:w="2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5240" w:type="dxa"/>
            <w:vAlign w:val="bottom"/>
            <w:gridSpan w:val="2"/>
          </w:tcPr>
          <w:p>
            <w:pPr>
              <w:spacing w:after="0"/>
              <w:rPr>
                <w:sz w:val="20"/>
                <w:szCs w:val="20"/>
                <w:color w:val="auto"/>
              </w:rPr>
            </w:pPr>
            <w:r>
              <w:rPr>
                <w:rFonts w:ascii="Arial" w:cs="Arial" w:eastAsia="Arial" w:hAnsi="Arial"/>
                <w:sz w:val="16"/>
                <w:szCs w:val="16"/>
                <w:color w:val="auto"/>
              </w:rPr>
              <w:t>Name Printed:</w:t>
            </w:r>
          </w:p>
        </w:tc>
        <w:tc>
          <w:tcPr>
            <w:tcW w:w="5960" w:type="dxa"/>
            <w:vAlign w:val="bottom"/>
            <w:gridSpan w:val="3"/>
          </w:tcPr>
          <w:p>
            <w:pPr>
              <w:ind w:left="800"/>
              <w:spacing w:after="0"/>
              <w:rPr>
                <w:sz w:val="20"/>
                <w:szCs w:val="20"/>
                <w:color w:val="auto"/>
              </w:rPr>
            </w:pPr>
            <w:r>
              <w:rPr>
                <w:rFonts w:ascii="Arial" w:cs="Arial" w:eastAsia="Arial" w:hAnsi="Arial"/>
                <w:sz w:val="16"/>
                <w:szCs w:val="16"/>
                <w:color w:val="auto"/>
              </w:rPr>
              <w:t>Name Printed:</w:t>
            </w:r>
          </w:p>
        </w:tc>
        <w:tc>
          <w:tcPr>
            <w:tcW w:w="0" w:type="dxa"/>
            <w:vAlign w:val="bottom"/>
          </w:tcPr>
          <w:p>
            <w:pPr>
              <w:spacing w:after="0"/>
              <w:rPr>
                <w:sz w:val="1"/>
                <w:szCs w:val="1"/>
                <w:color w:val="auto"/>
              </w:rPr>
            </w:pPr>
          </w:p>
        </w:tc>
      </w:tr>
      <w:tr>
        <w:trPr>
          <w:trHeight w:val="365"/>
        </w:trPr>
        <w:tc>
          <w:tcPr>
            <w:tcW w:w="5240" w:type="dxa"/>
            <w:vAlign w:val="bottom"/>
            <w:gridSpan w:val="2"/>
          </w:tcPr>
          <w:p>
            <w:pPr>
              <w:spacing w:after="0"/>
              <w:rPr>
                <w:sz w:val="20"/>
                <w:szCs w:val="20"/>
                <w:color w:val="auto"/>
              </w:rPr>
            </w:pPr>
            <w:r>
              <w:rPr>
                <w:rFonts w:ascii="Arial" w:cs="Arial" w:eastAsia="Arial" w:hAnsi="Arial"/>
                <w:sz w:val="16"/>
                <w:szCs w:val="16"/>
                <w:color w:val="auto"/>
              </w:rPr>
              <w:t>Title:</w:t>
            </w:r>
          </w:p>
        </w:tc>
        <w:tc>
          <w:tcPr>
            <w:tcW w:w="1280" w:type="dxa"/>
            <w:vAlign w:val="bottom"/>
            <w:gridSpan w:val="2"/>
          </w:tcPr>
          <w:p>
            <w:pPr>
              <w:ind w:left="800"/>
              <w:spacing w:after="0"/>
              <w:rPr>
                <w:sz w:val="20"/>
                <w:szCs w:val="20"/>
                <w:color w:val="auto"/>
              </w:rPr>
            </w:pPr>
            <w:r>
              <w:rPr>
                <w:rFonts w:ascii="Arial" w:cs="Arial" w:eastAsia="Arial" w:hAnsi="Arial"/>
                <w:sz w:val="16"/>
                <w:szCs w:val="16"/>
                <w:color w:val="auto"/>
              </w:rPr>
              <w:t>Title:</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240" w:type="dxa"/>
            <w:vAlign w:val="bottom"/>
            <w:gridSpan w:val="2"/>
          </w:tcPr>
          <w:p>
            <w:pPr>
              <w:spacing w:after="0"/>
              <w:rPr>
                <w:sz w:val="20"/>
                <w:szCs w:val="20"/>
                <w:color w:val="auto"/>
              </w:rPr>
            </w:pPr>
            <w:r>
              <w:rPr>
                <w:rFonts w:ascii="Arial" w:cs="Arial" w:eastAsia="Arial" w:hAnsi="Arial"/>
                <w:sz w:val="16"/>
                <w:szCs w:val="16"/>
                <w:color w:val="auto"/>
              </w:rPr>
              <w:t>Phone:</w:t>
            </w:r>
          </w:p>
        </w:tc>
        <w:tc>
          <w:tcPr>
            <w:tcW w:w="5960" w:type="dxa"/>
            <w:vAlign w:val="bottom"/>
            <w:gridSpan w:val="3"/>
          </w:tcPr>
          <w:p>
            <w:pPr>
              <w:ind w:left="800"/>
              <w:spacing w:after="0"/>
              <w:rPr>
                <w:sz w:val="20"/>
                <w:szCs w:val="20"/>
                <w:color w:val="auto"/>
              </w:rPr>
            </w:pPr>
            <w:r>
              <w:rPr>
                <w:rFonts w:ascii="Arial" w:cs="Arial" w:eastAsia="Arial" w:hAnsi="Arial"/>
                <w:sz w:val="16"/>
                <w:szCs w:val="16"/>
                <w:color w:val="auto"/>
              </w:rPr>
              <w:t>Phone:</w:t>
            </w:r>
          </w:p>
        </w:tc>
        <w:tc>
          <w:tcPr>
            <w:tcW w:w="0" w:type="dxa"/>
            <w:vAlign w:val="bottom"/>
          </w:tcPr>
          <w:p>
            <w:pPr>
              <w:spacing w:after="0"/>
              <w:rPr>
                <w:sz w:val="1"/>
                <w:szCs w:val="1"/>
                <w:color w:val="auto"/>
              </w:rPr>
            </w:pPr>
          </w:p>
        </w:tc>
      </w:tr>
      <w:tr>
        <w:trPr>
          <w:trHeight w:val="365"/>
        </w:trPr>
        <w:tc>
          <w:tcPr>
            <w:tcW w:w="5240" w:type="dxa"/>
            <w:vAlign w:val="bottom"/>
            <w:gridSpan w:val="2"/>
          </w:tcPr>
          <w:p>
            <w:pPr>
              <w:spacing w:after="0"/>
              <w:rPr>
                <w:sz w:val="20"/>
                <w:szCs w:val="20"/>
                <w:color w:val="auto"/>
              </w:rPr>
            </w:pPr>
            <w:r>
              <w:rPr>
                <w:rFonts w:ascii="Arial" w:cs="Arial" w:eastAsia="Arial" w:hAnsi="Arial"/>
                <w:sz w:val="16"/>
                <w:szCs w:val="16"/>
                <w:color w:val="auto"/>
              </w:rPr>
              <w:t>Fax:</w:t>
            </w:r>
          </w:p>
        </w:tc>
        <w:tc>
          <w:tcPr>
            <w:tcW w:w="1280" w:type="dxa"/>
            <w:vAlign w:val="bottom"/>
            <w:gridSpan w:val="2"/>
          </w:tcPr>
          <w:p>
            <w:pPr>
              <w:ind w:left="800"/>
              <w:spacing w:after="0"/>
              <w:rPr>
                <w:sz w:val="20"/>
                <w:szCs w:val="20"/>
                <w:color w:val="auto"/>
              </w:rPr>
            </w:pPr>
            <w:r>
              <w:rPr>
                <w:rFonts w:ascii="Arial" w:cs="Arial" w:eastAsia="Arial" w:hAnsi="Arial"/>
                <w:sz w:val="16"/>
                <w:szCs w:val="16"/>
                <w:color w:val="auto"/>
              </w:rPr>
              <w:t>Fax:</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240" w:type="dxa"/>
            <w:vAlign w:val="bottom"/>
            <w:gridSpan w:val="2"/>
          </w:tcPr>
          <w:p>
            <w:pPr>
              <w:spacing w:after="0"/>
              <w:rPr>
                <w:sz w:val="20"/>
                <w:szCs w:val="20"/>
                <w:color w:val="auto"/>
              </w:rPr>
            </w:pPr>
            <w:r>
              <w:rPr>
                <w:rFonts w:ascii="Arial" w:cs="Arial" w:eastAsia="Arial" w:hAnsi="Arial"/>
                <w:sz w:val="16"/>
                <w:szCs w:val="16"/>
                <w:color w:val="auto"/>
              </w:rPr>
              <w:t>Email:</w:t>
            </w:r>
          </w:p>
        </w:tc>
        <w:tc>
          <w:tcPr>
            <w:tcW w:w="1280" w:type="dxa"/>
            <w:vAlign w:val="bottom"/>
            <w:gridSpan w:val="2"/>
          </w:tcPr>
          <w:p>
            <w:pPr>
              <w:ind w:left="800"/>
              <w:spacing w:after="0"/>
              <w:rPr>
                <w:sz w:val="20"/>
                <w:szCs w:val="20"/>
                <w:color w:val="auto"/>
              </w:rPr>
            </w:pPr>
            <w:r>
              <w:rPr>
                <w:rFonts w:ascii="Arial" w:cs="Arial" w:eastAsia="Arial" w:hAnsi="Arial"/>
                <w:sz w:val="16"/>
                <w:szCs w:val="16"/>
                <w:color w:val="auto"/>
              </w:rPr>
              <w:t>Email:</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5240" w:type="dxa"/>
            <w:vAlign w:val="bottom"/>
            <w:gridSpan w:val="2"/>
          </w:tcPr>
          <w:p>
            <w:pPr>
              <w:spacing w:after="0"/>
              <w:rPr>
                <w:sz w:val="20"/>
                <w:szCs w:val="20"/>
                <w:color w:val="auto"/>
              </w:rPr>
            </w:pPr>
            <w:r>
              <w:rPr>
                <w:rFonts w:ascii="Arial" w:cs="Arial" w:eastAsia="Arial" w:hAnsi="Arial"/>
                <w:sz w:val="16"/>
                <w:szCs w:val="16"/>
                <w:color w:val="auto"/>
              </w:rPr>
              <w:t>Address:</w:t>
            </w:r>
          </w:p>
        </w:tc>
        <w:tc>
          <w:tcPr>
            <w:tcW w:w="5960" w:type="dxa"/>
            <w:vAlign w:val="bottom"/>
            <w:gridSpan w:val="3"/>
          </w:tcPr>
          <w:p>
            <w:pPr>
              <w:ind w:left="800"/>
              <w:spacing w:after="0"/>
              <w:rPr>
                <w:sz w:val="20"/>
                <w:szCs w:val="20"/>
                <w:color w:val="auto"/>
              </w:rPr>
            </w:pPr>
            <w:r>
              <w:rPr>
                <w:rFonts w:ascii="Arial" w:cs="Arial" w:eastAsia="Arial" w:hAnsi="Arial"/>
                <w:sz w:val="16"/>
                <w:szCs w:val="16"/>
                <w:color w:val="auto"/>
              </w:rPr>
              <w:t>Address:</w:t>
            </w:r>
          </w:p>
        </w:tc>
        <w:tc>
          <w:tcPr>
            <w:tcW w:w="0" w:type="dxa"/>
            <w:vAlign w:val="bottom"/>
          </w:tcPr>
          <w:p>
            <w:pPr>
              <w:spacing w:after="0"/>
              <w:rPr>
                <w:sz w:val="1"/>
                <w:szCs w:val="1"/>
                <w:color w:val="auto"/>
              </w:rPr>
            </w:pPr>
          </w:p>
        </w:tc>
      </w:tr>
      <w:tr>
        <w:trPr>
          <w:trHeight w:val="364"/>
        </w:trPr>
        <w:tc>
          <w:tcPr>
            <w:tcW w:w="5240" w:type="dxa"/>
            <w:vAlign w:val="bottom"/>
            <w:gridSpan w:val="2"/>
          </w:tcPr>
          <w:p>
            <w:pPr>
              <w:spacing w:after="0"/>
              <w:rPr>
                <w:sz w:val="20"/>
                <w:szCs w:val="20"/>
                <w:color w:val="auto"/>
              </w:rPr>
            </w:pPr>
            <w:r>
              <w:rPr>
                <w:rFonts w:ascii="Arial" w:cs="Arial" w:eastAsia="Arial" w:hAnsi="Arial"/>
                <w:sz w:val="16"/>
                <w:szCs w:val="16"/>
                <w:color w:val="auto"/>
              </w:rPr>
              <w:t>Federal ID No:</w:t>
            </w:r>
          </w:p>
        </w:tc>
        <w:tc>
          <w:tcPr>
            <w:tcW w:w="5960" w:type="dxa"/>
            <w:vAlign w:val="bottom"/>
            <w:gridSpan w:val="3"/>
          </w:tcPr>
          <w:p>
            <w:pPr>
              <w:ind w:left="800"/>
              <w:spacing w:after="0"/>
              <w:rPr>
                <w:sz w:val="20"/>
                <w:szCs w:val="20"/>
                <w:color w:val="auto"/>
              </w:rPr>
            </w:pPr>
            <w:r>
              <w:rPr>
                <w:rFonts w:ascii="Arial" w:cs="Arial" w:eastAsia="Arial" w:hAnsi="Arial"/>
                <w:sz w:val="16"/>
                <w:szCs w:val="16"/>
                <w:color w:val="auto"/>
              </w:rPr>
              <w:t>Federal ID No:</w:t>
            </w:r>
          </w:p>
        </w:tc>
        <w:tc>
          <w:tcPr>
            <w:tcW w:w="0" w:type="dxa"/>
            <w:vAlign w:val="bottom"/>
          </w:tcPr>
          <w:p>
            <w:pPr>
              <w:spacing w:after="0"/>
              <w:rPr>
                <w:sz w:val="1"/>
                <w:szCs w:val="1"/>
                <w:color w:val="auto"/>
              </w:rPr>
            </w:pPr>
          </w:p>
        </w:tc>
      </w:tr>
      <w:tr>
        <w:trPr>
          <w:trHeight w:val="500"/>
        </w:trPr>
        <w:tc>
          <w:tcPr>
            <w:tcW w:w="480" w:type="dxa"/>
            <w:vAlign w:val="bottom"/>
          </w:tcPr>
          <w:p>
            <w:pPr>
              <w:spacing w:after="0"/>
              <w:rPr>
                <w:sz w:val="24"/>
                <w:szCs w:val="24"/>
                <w:color w:val="auto"/>
              </w:rPr>
            </w:pPr>
          </w:p>
        </w:tc>
        <w:tc>
          <w:tcPr>
            <w:tcW w:w="10720" w:type="dxa"/>
            <w:vAlign w:val="bottom"/>
            <w:gridSpan w:val="4"/>
          </w:tcPr>
          <w:p>
            <w:pPr>
              <w:jc w:val="right"/>
              <w:ind w:right="1635"/>
              <w:spacing w:after="0"/>
              <w:rPr>
                <w:sz w:val="20"/>
                <w:szCs w:val="20"/>
                <w:color w:val="auto"/>
              </w:rPr>
            </w:pPr>
            <w:r>
              <w:rPr>
                <w:rFonts w:ascii="Arial" w:cs="Arial" w:eastAsia="Arial" w:hAnsi="Arial"/>
                <w:sz w:val="18"/>
                <w:szCs w:val="18"/>
                <w:b w:val="1"/>
                <w:bCs w:val="1"/>
                <w:color w:val="auto"/>
              </w:rPr>
              <w:t>AIR CRE. 500 North Brand Blvd, Suite 900, Glendale, CA 91203, Tel 213-687-8777, Email [***]</w:t>
            </w:r>
          </w:p>
        </w:tc>
        <w:tc>
          <w:tcPr>
            <w:tcW w:w="0" w:type="dxa"/>
            <w:vAlign w:val="bottom"/>
          </w:tcPr>
          <w:p>
            <w:pPr>
              <w:spacing w:after="0"/>
              <w:rPr>
                <w:sz w:val="1"/>
                <w:szCs w:val="1"/>
                <w:color w:val="auto"/>
              </w:rPr>
            </w:pPr>
          </w:p>
        </w:tc>
      </w:tr>
      <w:tr>
        <w:trPr>
          <w:trHeight w:val="577"/>
        </w:trPr>
        <w:tc>
          <w:tcPr>
            <w:tcW w:w="5240" w:type="dxa"/>
            <w:vAlign w:val="bottom"/>
            <w:gridSpan w:val="2"/>
          </w:tcPr>
          <w:p>
            <w:pPr>
              <w:spacing w:after="0"/>
              <w:rPr>
                <w:sz w:val="20"/>
                <w:szCs w:val="20"/>
                <w:color w:val="auto"/>
              </w:rPr>
            </w:pPr>
            <w:r>
              <w:rPr>
                <w:rFonts w:ascii="Arial" w:cs="Arial" w:eastAsia="Arial" w:hAnsi="Arial"/>
                <w:sz w:val="18"/>
                <w:szCs w:val="18"/>
                <w:color w:val="auto"/>
              </w:rPr>
              <w:t>INITIALS</w:t>
            </w:r>
          </w:p>
        </w:tc>
        <w:tc>
          <w:tcPr>
            <w:tcW w:w="1280" w:type="dxa"/>
            <w:vAlign w:val="bottom"/>
            <w:gridSpan w:val="2"/>
          </w:tcPr>
          <w:p>
            <w:pPr>
              <w:ind w:left="140"/>
              <w:spacing w:after="0"/>
              <w:rPr>
                <w:sz w:val="20"/>
                <w:szCs w:val="20"/>
                <w:color w:val="auto"/>
              </w:rPr>
            </w:pPr>
            <w:r>
              <w:rPr>
                <w:rFonts w:ascii="Arial" w:cs="Arial" w:eastAsia="Arial" w:hAnsi="Arial"/>
                <w:sz w:val="18"/>
                <w:szCs w:val="18"/>
                <w:color w:val="auto"/>
              </w:rPr>
              <w:t>Page 1 of 1</w:t>
            </w:r>
          </w:p>
        </w:tc>
        <w:tc>
          <w:tcPr>
            <w:tcW w:w="4680" w:type="dxa"/>
            <w:vAlign w:val="bottom"/>
            <w:vMerge w:val="restart"/>
          </w:tcPr>
          <w:p>
            <w:pPr>
              <w:jc w:val="right"/>
              <w:spacing w:after="0"/>
              <w:rPr>
                <w:sz w:val="20"/>
                <w:szCs w:val="20"/>
                <w:color w:val="auto"/>
              </w:rPr>
            </w:pPr>
            <w:r>
              <w:rPr>
                <w:rFonts w:ascii="Arial" w:cs="Arial" w:eastAsia="Arial" w:hAnsi="Arial"/>
                <w:sz w:val="18"/>
                <w:szCs w:val="18"/>
                <w:color w:val="auto"/>
              </w:rPr>
              <w:t>INITIALS</w:t>
            </w:r>
          </w:p>
        </w:tc>
        <w:tc>
          <w:tcPr>
            <w:tcW w:w="0" w:type="dxa"/>
            <w:vAlign w:val="bottom"/>
          </w:tcPr>
          <w:p>
            <w:pPr>
              <w:spacing w:after="0"/>
              <w:rPr>
                <w:sz w:val="1"/>
                <w:szCs w:val="1"/>
                <w:color w:val="auto"/>
              </w:rPr>
            </w:pPr>
          </w:p>
        </w:tc>
      </w:tr>
      <w:tr>
        <w:trPr>
          <w:trHeight w:val="108"/>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 2017 AIR CRE. All Rights Reserved.</w:t>
            </w: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4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5240" w:type="dxa"/>
            <w:vAlign w:val="bottom"/>
            <w:gridSpan w:val="2"/>
            <w:vMerge w:val="continue"/>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80" w:type="dxa"/>
            <w:vAlign w:val="bottom"/>
            <w:vMerge w:val="restart"/>
          </w:tcPr>
          <w:p>
            <w:pPr>
              <w:jc w:val="right"/>
              <w:spacing w:after="0"/>
              <w:rPr>
                <w:sz w:val="20"/>
                <w:szCs w:val="20"/>
                <w:color w:val="auto"/>
              </w:rPr>
            </w:pPr>
            <w:r>
              <w:rPr>
                <w:rFonts w:ascii="Arial" w:cs="Arial" w:eastAsia="Arial" w:hAnsi="Arial"/>
                <w:sz w:val="18"/>
                <w:szCs w:val="18"/>
                <w:color w:val="auto"/>
              </w:rPr>
              <w:t>CDM-2.00, Revised 01-03-2017</w:t>
            </w:r>
          </w:p>
        </w:tc>
        <w:tc>
          <w:tcPr>
            <w:tcW w:w="0" w:type="dxa"/>
            <w:vAlign w:val="bottom"/>
          </w:tcPr>
          <w:p>
            <w:pPr>
              <w:spacing w:after="0"/>
              <w:rPr>
                <w:sz w:val="1"/>
                <w:szCs w:val="1"/>
                <w:color w:val="auto"/>
              </w:rPr>
            </w:pPr>
          </w:p>
        </w:tc>
      </w:tr>
      <w:tr>
        <w:trPr>
          <w:trHeight w:val="108"/>
        </w:trPr>
        <w:tc>
          <w:tcPr>
            <w:tcW w:w="480" w:type="dxa"/>
            <w:vAlign w:val="bottom"/>
          </w:tcPr>
          <w:p>
            <w:pPr>
              <w:spacing w:after="0"/>
              <w:rPr>
                <w:sz w:val="9"/>
                <w:szCs w:val="9"/>
                <w:color w:val="auto"/>
              </w:rPr>
            </w:pPr>
          </w:p>
        </w:tc>
        <w:tc>
          <w:tcPr>
            <w:tcW w:w="47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4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55" w:orient="portrait"/>
          <w:cols w:equalWidth="0" w:num="1">
            <w:col w:w="11220"/>
          </w:cols>
          <w:pgMar w:left="320" w:top="742" w:right="359" w:bottom="0" w:gutter="0" w:footer="0" w:header="0"/>
          <w:type w:val="continuous"/>
        </w:sectPr>
      </w:pPr>
    </w:p>
    <w:bookmarkStart w:id="163" w:name="page164"/>
    <w:bookmarkEnd w:id="1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jc w:val="center"/>
        <w:ind w:right="40"/>
        <w:spacing w:after="0"/>
        <w:rPr>
          <w:sz w:val="20"/>
          <w:szCs w:val="20"/>
          <w:color w:val="auto"/>
        </w:rPr>
      </w:pPr>
      <w:r>
        <w:rPr>
          <w:rFonts w:ascii="Arial" w:cs="Arial" w:eastAsia="Arial" w:hAnsi="Arial"/>
          <w:sz w:val="18"/>
          <w:szCs w:val="18"/>
          <w:b w:val="1"/>
          <w:bCs w:val="1"/>
          <w:color w:val="auto"/>
        </w:rPr>
        <w:t>NOTICE: No part of these works may be reproduced in any form without permission in writing.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60" w:type="dxa"/>
            <w:vAlign w:val="bottom"/>
          </w:tcPr>
          <w:p>
            <w:pPr>
              <w:ind w:left="20"/>
              <w:spacing w:after="0"/>
              <w:rPr>
                <w:sz w:val="20"/>
                <w:szCs w:val="20"/>
                <w:color w:val="auto"/>
              </w:rPr>
            </w:pPr>
            <w:r>
              <w:rPr>
                <w:rFonts w:ascii="Arial" w:cs="Arial" w:eastAsia="Arial" w:hAnsi="Arial"/>
                <w:sz w:val="18"/>
                <w:szCs w:val="18"/>
                <w:color w:val="auto"/>
              </w:rPr>
              <w:t>INITIALS</w:t>
            </w:r>
          </w:p>
        </w:tc>
        <w:tc>
          <w:tcPr>
            <w:tcW w:w="3240" w:type="dxa"/>
            <w:vAlign w:val="bottom"/>
          </w:tcPr>
          <w:p>
            <w:pPr>
              <w:ind w:left="1140"/>
              <w:spacing w:after="0"/>
              <w:rPr>
                <w:sz w:val="20"/>
                <w:szCs w:val="20"/>
                <w:color w:val="auto"/>
              </w:rPr>
            </w:pPr>
            <w:r>
              <w:rPr>
                <w:rFonts w:ascii="Arial" w:cs="Arial" w:eastAsia="Arial" w:hAnsi="Arial"/>
                <w:sz w:val="18"/>
                <w:szCs w:val="18"/>
                <w:color w:val="auto"/>
              </w:rPr>
              <w:t>Page 1 of 1</w:t>
            </w:r>
          </w:p>
        </w:tc>
        <w:tc>
          <w:tcPr>
            <w:tcW w:w="3740" w:type="dxa"/>
            <w:vAlign w:val="bottom"/>
            <w:vMerge w:val="restart"/>
          </w:tcPr>
          <w:p>
            <w:pPr>
              <w:jc w:val="right"/>
              <w:spacing w:after="0"/>
              <w:rPr>
                <w:sz w:val="20"/>
                <w:szCs w:val="20"/>
                <w:color w:val="auto"/>
              </w:rPr>
            </w:pPr>
            <w:r>
              <w:rPr>
                <w:rFonts w:ascii="Arial" w:cs="Arial" w:eastAsia="Arial" w:hAnsi="Arial"/>
                <w:sz w:val="18"/>
                <w:szCs w:val="18"/>
                <w:color w:val="auto"/>
              </w:rPr>
              <w:t>INITIALS</w:t>
            </w:r>
          </w:p>
        </w:tc>
        <w:tc>
          <w:tcPr>
            <w:tcW w:w="0" w:type="dxa"/>
            <w:vAlign w:val="bottom"/>
          </w:tcPr>
          <w:p>
            <w:pPr>
              <w:spacing w:after="0"/>
              <w:rPr>
                <w:sz w:val="1"/>
                <w:szCs w:val="1"/>
                <w:color w:val="auto"/>
              </w:rPr>
            </w:pPr>
          </w:p>
        </w:tc>
      </w:tr>
      <w:tr>
        <w:trPr>
          <w:trHeight w:val="122"/>
        </w:trPr>
        <w:tc>
          <w:tcPr>
            <w:tcW w:w="4260" w:type="dxa"/>
            <w:vAlign w:val="bottom"/>
            <w:vMerge w:val="restart"/>
          </w:tcPr>
          <w:p>
            <w:pPr>
              <w:ind w:left="20"/>
              <w:spacing w:after="0"/>
              <w:rPr>
                <w:sz w:val="20"/>
                <w:szCs w:val="20"/>
                <w:color w:val="auto"/>
              </w:rPr>
            </w:pPr>
            <w:r>
              <w:rPr>
                <w:rFonts w:ascii="Arial" w:cs="Arial" w:eastAsia="Arial" w:hAnsi="Arial"/>
                <w:sz w:val="18"/>
                <w:szCs w:val="18"/>
                <w:color w:val="auto"/>
              </w:rPr>
              <w:t>© 2017 AIR CRE. All Rights Reserved.</w:t>
            </w:r>
          </w:p>
        </w:tc>
        <w:tc>
          <w:tcPr>
            <w:tcW w:w="3240" w:type="dxa"/>
            <w:vAlign w:val="bottom"/>
          </w:tcPr>
          <w:p>
            <w:pPr>
              <w:spacing w:after="0"/>
              <w:rPr>
                <w:sz w:val="10"/>
                <w:szCs w:val="10"/>
                <w:color w:val="auto"/>
              </w:rPr>
            </w:pPr>
          </w:p>
        </w:tc>
        <w:tc>
          <w:tcPr>
            <w:tcW w:w="3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260" w:type="dxa"/>
            <w:vAlign w:val="bottom"/>
            <w:vMerge w:val="continue"/>
          </w:tcPr>
          <w:p>
            <w:pPr>
              <w:spacing w:after="0"/>
              <w:rPr>
                <w:sz w:val="10"/>
                <w:szCs w:val="10"/>
                <w:color w:val="auto"/>
              </w:rPr>
            </w:pPr>
          </w:p>
        </w:tc>
        <w:tc>
          <w:tcPr>
            <w:tcW w:w="3240" w:type="dxa"/>
            <w:vAlign w:val="bottom"/>
          </w:tcPr>
          <w:p>
            <w:pPr>
              <w:spacing w:after="0"/>
              <w:rPr>
                <w:sz w:val="10"/>
                <w:szCs w:val="10"/>
                <w:color w:val="auto"/>
              </w:rPr>
            </w:pPr>
          </w:p>
        </w:tc>
        <w:tc>
          <w:tcPr>
            <w:tcW w:w="3740" w:type="dxa"/>
            <w:vAlign w:val="bottom"/>
            <w:vMerge w:val="restart"/>
          </w:tcPr>
          <w:p>
            <w:pPr>
              <w:jc w:val="right"/>
              <w:spacing w:after="0"/>
              <w:rPr>
                <w:sz w:val="20"/>
                <w:szCs w:val="20"/>
                <w:color w:val="auto"/>
              </w:rPr>
            </w:pPr>
            <w:r>
              <w:rPr>
                <w:rFonts w:ascii="Arial" w:cs="Arial" w:eastAsia="Arial" w:hAnsi="Arial"/>
                <w:sz w:val="18"/>
                <w:szCs w:val="18"/>
                <w:color w:val="auto"/>
              </w:rPr>
              <w:t>CDM-2.00, Revised 01-03-2017</w:t>
            </w:r>
          </w:p>
        </w:tc>
        <w:tc>
          <w:tcPr>
            <w:tcW w:w="0" w:type="dxa"/>
            <w:vAlign w:val="bottom"/>
          </w:tcPr>
          <w:p>
            <w:pPr>
              <w:spacing w:after="0"/>
              <w:rPr>
                <w:sz w:val="1"/>
                <w:szCs w:val="1"/>
                <w:color w:val="auto"/>
              </w:rPr>
            </w:pPr>
          </w:p>
        </w:tc>
      </w:tr>
      <w:tr>
        <w:trPr>
          <w:trHeight w:val="122"/>
        </w:trPr>
        <w:tc>
          <w:tcPr>
            <w:tcW w:w="426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3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4260" w:type="dxa"/>
            <w:vAlign w:val="bottom"/>
            <w:tcBorders>
              <w:bottom w:val="single" w:sz="8" w:color="9A9A9A"/>
            </w:tcBorders>
          </w:tcPr>
          <w:p>
            <w:pPr>
              <w:spacing w:after="0"/>
              <w:rPr>
                <w:sz w:val="13"/>
                <w:szCs w:val="13"/>
                <w:color w:val="auto"/>
              </w:rPr>
            </w:pPr>
          </w:p>
        </w:tc>
        <w:tc>
          <w:tcPr>
            <w:tcW w:w="3240" w:type="dxa"/>
            <w:vAlign w:val="bottom"/>
            <w:tcBorders>
              <w:bottom w:val="single" w:sz="8" w:color="9A9A9A"/>
            </w:tcBorders>
          </w:tcPr>
          <w:p>
            <w:pPr>
              <w:spacing w:after="0"/>
              <w:rPr>
                <w:sz w:val="13"/>
                <w:szCs w:val="13"/>
                <w:color w:val="auto"/>
              </w:rPr>
            </w:pPr>
          </w:p>
        </w:tc>
        <w:tc>
          <w:tcPr>
            <w:tcW w:w="37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LEASE ADDENDUM</w:t>
      </w:r>
    </w:p>
    <w:p>
      <w:pPr>
        <w:spacing w:after="0" w:line="162" w:lineRule="exact"/>
        <w:rPr>
          <w:sz w:val="20"/>
          <w:szCs w:val="20"/>
          <w:color w:val="auto"/>
        </w:rPr>
      </w:pPr>
    </w:p>
    <w:p>
      <w:pPr>
        <w:ind w:right="320"/>
        <w:spacing w:after="0" w:line="297" w:lineRule="auto"/>
        <w:rPr>
          <w:sz w:val="20"/>
          <w:szCs w:val="20"/>
          <w:color w:val="auto"/>
        </w:rPr>
      </w:pPr>
      <w:r>
        <w:rPr>
          <w:rFonts w:ascii="Times New Roman" w:cs="Times New Roman" w:eastAsia="Times New Roman" w:hAnsi="Times New Roman"/>
          <w:sz w:val="18"/>
          <w:szCs w:val="18"/>
          <w:color w:val="auto"/>
        </w:rPr>
        <w:t>The following shall be deemed added to the Lease Agreement dated January 10, 2018, by and between Clifford D. Downs (Lessor) and RxSight, Inc., a Delaware Corporation (Lessee) for the property located at 5 Columbia, Aliso Viejo, CA 92656, with an effective date of April 5, 2022.</w:t>
      </w:r>
    </w:p>
    <w:p>
      <w:pPr>
        <w:spacing w:after="0" w:line="163" w:lineRule="exact"/>
        <w:rPr>
          <w:sz w:val="20"/>
          <w:szCs w:val="20"/>
          <w:color w:val="auto"/>
        </w:rPr>
      </w:pPr>
    </w:p>
    <w:p>
      <w:pPr>
        <w:ind w:left="760" w:hanging="378"/>
        <w:spacing w:after="0"/>
        <w:tabs>
          <w:tab w:leader="none" w:pos="7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Lessor and Lessee agree to a 24-month lease extension effective April 1, 2023, and ending March 31, 2025 (the “Extension”).</w:t>
      </w:r>
    </w:p>
    <w:p>
      <w:pPr>
        <w:spacing w:after="0" w:line="265" w:lineRule="exact"/>
        <w:rPr>
          <w:rFonts w:ascii="Times New Roman" w:cs="Times New Roman" w:eastAsia="Times New Roman" w:hAnsi="Times New Roman"/>
          <w:sz w:val="18"/>
          <w:szCs w:val="18"/>
          <w:color w:val="auto"/>
        </w:rPr>
      </w:pPr>
    </w:p>
    <w:p>
      <w:pPr>
        <w:ind w:left="760" w:right="520" w:hanging="378"/>
        <w:spacing w:after="0" w:line="282" w:lineRule="auto"/>
        <w:tabs>
          <w:tab w:leader="none" w:pos="7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monthly lease rate shall continue as a Net Net Net lease per the current Lease Agreement terms with the new base rent rate payable as follows:</w:t>
      </w:r>
    </w:p>
    <w:p>
      <w:pPr>
        <w:spacing w:after="0" w:line="175" w:lineRule="exact"/>
        <w:rPr>
          <w:rFonts w:ascii="Times New Roman" w:cs="Times New Roman" w:eastAsia="Times New Roman" w:hAnsi="Times New Roman"/>
          <w:sz w:val="18"/>
          <w:szCs w:val="18"/>
          <w:color w:val="auto"/>
        </w:rPr>
      </w:pPr>
    </w:p>
    <w:p>
      <w:pPr>
        <w:ind w:left="1880" w:hanging="375"/>
        <w:spacing w:after="0"/>
        <w:tabs>
          <w:tab w:leader="none" w:pos="188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1-12  $29,520.00/mo. Plus tenant’s NNN expenses</w:t>
      </w:r>
    </w:p>
    <w:p>
      <w:pPr>
        <w:spacing w:after="0" w:line="27" w:lineRule="exact"/>
        <w:rPr>
          <w:rFonts w:ascii="Times New Roman" w:cs="Times New Roman" w:eastAsia="Times New Roman" w:hAnsi="Times New Roman"/>
          <w:sz w:val="18"/>
          <w:szCs w:val="18"/>
          <w:color w:val="auto"/>
        </w:rPr>
      </w:pPr>
    </w:p>
    <w:p>
      <w:pPr>
        <w:ind w:left="1880" w:hanging="375"/>
        <w:spacing w:after="0"/>
        <w:tabs>
          <w:tab w:leader="none" w:pos="188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12-24</w:t>
      </w:r>
      <w:r>
        <w:rPr>
          <w:rFonts w:ascii="Times New Roman" w:cs="Times New Roman" w:eastAsia="Times New Roman" w:hAnsi="Times New Roman"/>
          <w:sz w:val="17"/>
          <w:szCs w:val="17"/>
          <w:color w:val="auto"/>
        </w:rPr>
        <w:t>$30,700.80/mo. Plus tenant’s NNN expenses</w:t>
      </w:r>
    </w:p>
    <w:p>
      <w:pPr>
        <w:spacing w:after="0" w:line="23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execution of the Lease Addendum, Lessee shall pay $5,431.68 as additional security deposit.</w:t>
      </w:r>
    </w:p>
    <w:p>
      <w:pPr>
        <w:spacing w:after="0" w:line="238" w:lineRule="exact"/>
        <w:rPr>
          <w:rFonts w:ascii="Times New Roman" w:cs="Times New Roman" w:eastAsia="Times New Roman" w:hAnsi="Times New Roman"/>
          <w:sz w:val="18"/>
          <w:szCs w:val="18"/>
          <w:color w:val="auto"/>
        </w:rPr>
      </w:pPr>
    </w:p>
    <w:p>
      <w:pPr>
        <w:ind w:left="760" w:right="240" w:hanging="378"/>
        <w:spacing w:after="0" w:line="274" w:lineRule="auto"/>
        <w:tabs>
          <w:tab w:leader="none" w:pos="7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Lessor hereby grants Lessee the option to extend the term of the Extension for an additional three (3) years beginning April 1, 2025 (the “Option”), by providing written notice to Lessor not less than nine (9) months prior to the option period commencing. If proper notification is not received than the Option shall automatically expire. The Option supersedes the previous Lease Addendum Option(s) to Extend.</w:t>
      </w:r>
    </w:p>
    <w:p>
      <w:pPr>
        <w:spacing w:after="0" w:line="3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the Lease Agreement, Lessor maintains it’s right to market the property.</w:t>
      </w:r>
    </w:p>
    <w:p>
      <w:pPr>
        <w:spacing w:after="0" w:line="200" w:lineRule="exact"/>
        <w:rPr>
          <w:rFonts w:ascii="Times New Roman" w:cs="Times New Roman" w:eastAsia="Times New Roman" w:hAnsi="Times New Roman"/>
          <w:sz w:val="18"/>
          <w:szCs w:val="18"/>
          <w:color w:val="auto"/>
        </w:rPr>
      </w:pPr>
    </w:p>
    <w:p>
      <w:pPr>
        <w:spacing w:after="0" w:line="21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Lessor agrees to pay Lessee’s Broker a leasing commission of $7,500.00.</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Lessor consents to Lessee subleasing a portion of the premises as described in the Sublease Agreement attached as EXHIBIT A.</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terms and conditions of the Lease Agreement shall remain in full force and effect.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&amp; ACCEPTED:</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LESSOR</w:t>
            </w:r>
          </w:p>
        </w:tc>
        <w:tc>
          <w:tcPr>
            <w:tcW w:w="2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LESSEE:</w:t>
            </w:r>
          </w:p>
        </w:tc>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6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RxSight, INC. a Delaware Corporation</w:t>
            </w:r>
          </w:p>
        </w:tc>
        <w:tc>
          <w:tcPr>
            <w:tcW w:w="1800" w:type="dxa"/>
            <w:vAlign w:val="bottom"/>
          </w:tcPr>
          <w:p>
            <w:pPr>
              <w:spacing w:after="0"/>
              <w:rPr>
                <w:sz w:val="20"/>
                <w:szCs w:val="20"/>
                <w:color w:val="auto"/>
              </w:rPr>
            </w:pPr>
          </w:p>
        </w:tc>
      </w:tr>
      <w:tr>
        <w:trPr>
          <w:trHeight w:val="445"/>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240" w:type="dxa"/>
            <w:vAlign w:val="bottom"/>
          </w:tcPr>
          <w:p>
            <w:pPr>
              <w:spacing w:after="0"/>
              <w:rPr>
                <w:sz w:val="24"/>
                <w:szCs w:val="24"/>
                <w:color w:val="auto"/>
              </w:rPr>
            </w:pPr>
          </w:p>
        </w:tc>
        <w:tc>
          <w:tcPr>
            <w:tcW w:w="26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/s/ Clifford D Downs</w:t>
            </w:r>
          </w:p>
        </w:tc>
        <w:tc>
          <w:tcPr>
            <w:tcW w:w="1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By:</w:t>
            </w:r>
          </w:p>
        </w:tc>
        <w:tc>
          <w:tcPr>
            <w:tcW w:w="2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 Ron Kurtz, M.D.</w:t>
            </w:r>
          </w:p>
        </w:tc>
        <w:tc>
          <w:tcPr>
            <w:tcW w:w="1800" w:type="dxa"/>
            <w:vAlign w:val="bottom"/>
          </w:tcPr>
          <w:p>
            <w:pPr>
              <w:spacing w:after="0"/>
              <w:rPr>
                <w:sz w:val="24"/>
                <w:szCs w:val="24"/>
                <w:color w:val="auto"/>
              </w:rPr>
            </w:pPr>
          </w:p>
        </w:tc>
      </w:tr>
      <w:tr>
        <w:trPr>
          <w:trHeight w:val="191"/>
        </w:trPr>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Clifford D Downs</w:t>
            </w:r>
          </w:p>
        </w:tc>
        <w:tc>
          <w:tcPr>
            <w:tcW w:w="112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Print:</w:t>
            </w:r>
          </w:p>
        </w:tc>
        <w:tc>
          <w:tcPr>
            <w:tcW w:w="20" w:type="dxa"/>
            <w:vAlign w:val="bottom"/>
          </w:tcPr>
          <w:p>
            <w:pPr>
              <w:spacing w:after="0"/>
              <w:rPr>
                <w:sz w:val="16"/>
                <w:szCs w:val="16"/>
                <w:color w:val="auto"/>
              </w:rPr>
            </w:pPr>
          </w:p>
        </w:tc>
        <w:tc>
          <w:tcPr>
            <w:tcW w:w="4480" w:type="dxa"/>
            <w:vAlign w:val="bottom"/>
            <w:gridSpan w:val="2"/>
          </w:tcPr>
          <w:p>
            <w:pPr>
              <w:jc w:val="center"/>
              <w:ind w:right="60"/>
              <w:spacing w:after="0" w:line="191" w:lineRule="exact"/>
              <w:rPr>
                <w:sz w:val="20"/>
                <w:szCs w:val="20"/>
                <w:color w:val="auto"/>
              </w:rPr>
            </w:pPr>
            <w:r>
              <w:rPr>
                <w:rFonts w:ascii="Times New Roman" w:cs="Times New Roman" w:eastAsia="Times New Roman" w:hAnsi="Times New Roman"/>
                <w:sz w:val="18"/>
                <w:szCs w:val="18"/>
                <w:color w:val="auto"/>
                <w:w w:val="99"/>
              </w:rPr>
              <w:t>Ron Kurtz, M.D.</w:t>
            </w:r>
          </w:p>
        </w:tc>
        <w:tc>
          <w:tcPr>
            <w:tcW w:w="1800" w:type="dxa"/>
            <w:vAlign w:val="bottom"/>
          </w:tcPr>
          <w:p>
            <w:pPr>
              <w:spacing w:after="0"/>
              <w:rPr>
                <w:sz w:val="16"/>
                <w:szCs w:val="16"/>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Title</w:t>
            </w:r>
          </w:p>
        </w:tc>
        <w:tc>
          <w:tcPr>
            <w:tcW w:w="20" w:type="dxa"/>
            <w:vAlign w:val="bottom"/>
          </w:tcPr>
          <w:p>
            <w:pPr>
              <w:spacing w:after="0"/>
              <w:rPr>
                <w:sz w:val="18"/>
                <w:szCs w:val="18"/>
                <w:color w:val="auto"/>
              </w:rPr>
            </w:pPr>
          </w:p>
        </w:tc>
        <w:tc>
          <w:tcPr>
            <w:tcW w:w="44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Chief Executive Officer</w:t>
            </w:r>
          </w:p>
        </w:tc>
        <w:tc>
          <w:tcPr>
            <w:tcW w:w="1800" w:type="dxa"/>
            <w:vAlign w:val="bottom"/>
          </w:tcPr>
          <w:p>
            <w:pPr>
              <w:spacing w:after="0"/>
              <w:rPr>
                <w:sz w:val="18"/>
                <w:szCs w:val="18"/>
                <w:color w:val="auto"/>
              </w:rPr>
            </w:pPr>
          </w:p>
        </w:tc>
      </w:tr>
      <w:tr>
        <w:trPr>
          <w:trHeight w:val="248"/>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240" w:type="dxa"/>
            <w:vAlign w:val="bottom"/>
          </w:tcPr>
          <w:p>
            <w:pPr>
              <w:spacing w:after="0"/>
              <w:rPr>
                <w:sz w:val="21"/>
                <w:szCs w:val="21"/>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11, 2022</w:t>
            </w:r>
          </w:p>
        </w:tc>
        <w:tc>
          <w:tcPr>
            <w:tcW w:w="1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Date:</w:t>
            </w:r>
          </w:p>
        </w:tc>
        <w:tc>
          <w:tcPr>
            <w:tcW w:w="20" w:type="dxa"/>
            <w:vAlign w:val="bottom"/>
          </w:tcPr>
          <w:p>
            <w:pPr>
              <w:spacing w:after="0"/>
              <w:rPr>
                <w:sz w:val="21"/>
                <w:szCs w:val="21"/>
                <w:color w:val="auto"/>
              </w:rPr>
            </w:pPr>
          </w:p>
        </w:tc>
        <w:tc>
          <w:tcPr>
            <w:tcW w:w="44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April 11, 2022</w:t>
            </w:r>
          </w:p>
        </w:tc>
        <w:tc>
          <w:tcPr>
            <w:tcW w:w="1800" w:type="dxa"/>
            <w:vAlign w:val="bottom"/>
          </w:tcPr>
          <w:p>
            <w:pPr>
              <w:spacing w:after="0"/>
              <w:rPr>
                <w:sz w:val="21"/>
                <w:szCs w:val="21"/>
                <w:color w:val="auto"/>
              </w:rPr>
            </w:pPr>
          </w:p>
        </w:tc>
      </w:tr>
      <w:tr>
        <w:trPr>
          <w:trHeight w:val="554"/>
        </w:trPr>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60" w:type="dxa"/>
            <w:vAlign w:val="bottom"/>
            <w:tcBorders>
              <w:top w:val="single" w:sz="8" w:color="auto"/>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60" w:type="dxa"/>
            <w:vAlign w:val="bottom"/>
            <w:tcBorders>
              <w:top w:val="single" w:sz="8" w:color="auto"/>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6" w:name="page167"/>
    <w:bookmarkEnd w:id="16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HAS BEEN OMITTED BECAUSE IT IS BOTH (I) NOT</w:t>
      </w:r>
    </w:p>
    <w:p>
      <w:pPr>
        <w:spacing w:after="0" w:line="20" w:lineRule="exact"/>
        <w:rPr>
          <w:sz w:val="20"/>
          <w:szCs w:val="20"/>
          <w:color w:val="auto"/>
        </w:rPr>
      </w:pPr>
    </w:p>
    <w:p>
      <w:pPr>
        <w:jc w:val="center"/>
        <w:ind w:right="40"/>
        <w:spacing w:after="0" w:line="258" w:lineRule="auto"/>
        <w:rPr>
          <w:sz w:val="20"/>
          <w:szCs w:val="20"/>
          <w:color w:val="auto"/>
        </w:rPr>
      </w:pPr>
      <w:r>
        <w:rPr>
          <w:rFonts w:ascii="Times New Roman" w:cs="Times New Roman" w:eastAsia="Times New Roman" w:hAnsi="Times New Roman"/>
          <w:sz w:val="18"/>
          <w:szCs w:val="18"/>
          <w:b w:val="1"/>
          <w:bCs w:val="1"/>
          <w:color w:val="auto"/>
        </w:rPr>
        <w:t>MATERIAL AND (II) WOULD BE COMPETITIVELY HARMFUL IF PUBLICLY DISCLOSED. INFORMATION THAT HAS BEEN OMITTED HAS BEEN NOTED IN THIS DOCUMENT WITH A PLACEHOLDER IDENTIFIED BY THE MARK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AMENDMENT TO LOAN AND SECURITY AGREEMENT</w:t>
      </w:r>
    </w:p>
    <w:p>
      <w:pPr>
        <w:spacing w:after="0" w:line="212"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18"/>
          <w:szCs w:val="18"/>
          <w:color w:val="auto"/>
        </w:rPr>
        <w:t>THIS SECOND AMENDMENT TO LOAN AND SECURITY AGREEMENT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is entered into as of May 3, 2022, by and among OXFORD FINANCE LLC, a Delaware limited liability company with an office located at 115 South Union Street, Suite 300, Alexandria, Virginia 22314 (“</w:t>
      </w:r>
      <w:r>
        <w:rPr>
          <w:rFonts w:ascii="Times New Roman" w:cs="Times New Roman" w:eastAsia="Times New Roman" w:hAnsi="Times New Roman"/>
          <w:sz w:val="18"/>
          <w:szCs w:val="18"/>
          <w:b w:val="1"/>
          <w:bCs w:val="1"/>
          <w:color w:val="auto"/>
        </w:rPr>
        <w:t>Oxford</w:t>
      </w:r>
      <w:r>
        <w:rPr>
          <w:rFonts w:ascii="Times New Roman" w:cs="Times New Roman" w:eastAsia="Times New Roman" w:hAnsi="Times New Roman"/>
          <w:sz w:val="18"/>
          <w:szCs w:val="18"/>
          <w:color w:val="auto"/>
        </w:rPr>
        <w:t>”), as collateral agent (in such capacity, “</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xml:space="preserve">”), the Lenders listed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to the Loan Agreement (as defined below) or otherwise a party thereto from time to time including Oxford in its capacity as a Lender (each a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and RXSIGHT, INC., a Delaware corporation with offices located at 100 Columbia, Aliso Viejo, California 92656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jc w:val="both"/>
        <w:ind w:firstLine="757"/>
        <w:spacing w:after="0" w:line="250" w:lineRule="auto"/>
        <w:tabs>
          <w:tab w:leader="none" w:pos="1109"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Collateral Agent, Borrower and Lenders have entered into that certain Loan and Security Agreement dated as of October 29, 2021, as amended by that certain Consent and First Amendment to Loan and Security Agreement dated as of July 6, 2021 (the “</w:t>
      </w:r>
      <w:r>
        <w:rPr>
          <w:rFonts w:ascii="Times New Roman" w:cs="Times New Roman" w:eastAsia="Times New Roman" w:hAnsi="Times New Roman"/>
          <w:sz w:val="18"/>
          <w:szCs w:val="18"/>
          <w:b w:val="1"/>
          <w:bCs w:val="1"/>
          <w:color w:val="auto"/>
        </w:rPr>
        <w:t>First Amendment</w:t>
      </w:r>
      <w:r>
        <w:rPr>
          <w:rFonts w:ascii="Times New Roman" w:cs="Times New Roman" w:eastAsia="Times New Roman" w:hAnsi="Times New Roman"/>
          <w:sz w:val="18"/>
          <w:szCs w:val="18"/>
          <w:color w:val="auto"/>
        </w:rPr>
        <w:t>”) (as further amended, supplemented or otherwise modified from time to time, the “</w:t>
      </w:r>
      <w:r>
        <w:rPr>
          <w:rFonts w:ascii="Times New Roman" w:cs="Times New Roman" w:eastAsia="Times New Roman" w:hAnsi="Times New Roman"/>
          <w:sz w:val="18"/>
          <w:szCs w:val="18"/>
          <w:b w:val="1"/>
          <w:bCs w:val="1"/>
          <w:color w:val="auto"/>
        </w:rPr>
        <w:t>Loan Agreement</w:t>
      </w:r>
      <w:r>
        <w:rPr>
          <w:rFonts w:ascii="Times New Roman" w:cs="Times New Roman" w:eastAsia="Times New Roman" w:hAnsi="Times New Roman"/>
          <w:sz w:val="18"/>
          <w:szCs w:val="18"/>
          <w:color w:val="auto"/>
        </w:rPr>
        <w:t>”) pursuant to which Lenders have provided to Borrower certain loans in accordance with the terms and conditions thereof;</w:t>
      </w:r>
    </w:p>
    <w:p>
      <w:pPr>
        <w:spacing w:after="0" w:line="177"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has requested that Collateral Agent and the Required Lenders modify certain provisions of the Loan Agreement; and</w:t>
      </w:r>
    </w:p>
    <w:p>
      <w:pPr>
        <w:spacing w:after="0" w:line="225" w:lineRule="exact"/>
        <w:rPr>
          <w:rFonts w:ascii="Times New Roman" w:cs="Times New Roman" w:eastAsia="Times New Roman" w:hAnsi="Times New Roman"/>
          <w:sz w:val="18"/>
          <w:szCs w:val="18"/>
          <w:color w:val="auto"/>
        </w:rPr>
      </w:pPr>
    </w:p>
    <w:p>
      <w:pPr>
        <w:ind w:right="20" w:firstLine="757"/>
        <w:spacing w:after="0" w:line="266" w:lineRule="auto"/>
        <w:tabs>
          <w:tab w:leader="none" w:pos="1109"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Collateral Agent and the Required Lenders have agreed to amend certain provisions of the Loan Agreement, subject to, and in accordance with, the terms and conditions set forth herein, and in reliance upon the representations and warranties set forth herein.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greement</w:t>
      </w:r>
    </w:p>
    <w:p>
      <w:pPr>
        <w:spacing w:after="0" w:line="229" w:lineRule="exact"/>
        <w:rPr>
          <w:sz w:val="20"/>
          <w:szCs w:val="20"/>
          <w:color w:val="auto"/>
        </w:rPr>
      </w:pPr>
    </w:p>
    <w:p>
      <w:pPr>
        <w:ind w:right="20" w:firstLine="360"/>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promises, covenants and agreements contained herein, and other good and valuable consideration, the receipt and adequacy of which are hereby acknowledged, Borrower, the Required Lenders and Collateral Agent hereby agree as follows: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1.Definitions</w:t>
      </w:r>
      <w:r>
        <w:rPr>
          <w:rFonts w:ascii="Times New Roman" w:cs="Times New Roman" w:eastAsia="Times New Roman" w:hAnsi="Times New Roman"/>
          <w:sz w:val="18"/>
          <w:szCs w:val="18"/>
          <w:color w:val="auto"/>
        </w:rPr>
        <w:t>. Capitalized terms used but not defined in this Amendment shall have the meanings given to them in the Loan Agreement.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2.Amendments to Loan Agreement.</w:t>
      </w:r>
    </w:p>
    <w:p>
      <w:pPr>
        <w:spacing w:after="0" w:line="225"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8"/>
          <w:szCs w:val="18"/>
          <w:b w:val="1"/>
          <w:bCs w:val="1"/>
          <w:color w:val="auto"/>
        </w:rPr>
        <w:t>Preamble</w:t>
      </w:r>
      <w:r>
        <w:rPr>
          <w:rFonts w:ascii="Times New Roman" w:cs="Times New Roman" w:eastAsia="Times New Roman" w:hAnsi="Times New Roman"/>
          <w:sz w:val="18"/>
          <w:szCs w:val="18"/>
          <w:color w:val="auto"/>
        </w:rPr>
        <w:t>. The preamble of the Loan Agreement is amended to (a) replace the address of Oxford with “115 South Union Street, Suite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Alexandria, VA 22314” and (b) replace the jurisdiction of formation of Borrower with Delaware.</w:t>
      </w:r>
    </w:p>
    <w:p>
      <w:pPr>
        <w:sectPr>
          <w:pgSz w:w="11900" w:h="16838" w:orient="portrait"/>
          <w:cols w:equalWidth="0" w:num="1">
            <w:col w:w="11240"/>
          </w:cols>
          <w:pgMar w:left="320" w:top="117" w:right="339" w:bottom="1440" w:gutter="0" w:footer="0" w:header="0"/>
        </w:sectPr>
      </w:pPr>
    </w:p>
    <w:p>
      <w:pPr>
        <w:spacing w:after="0" w:line="188"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8"/>
          <w:szCs w:val="18"/>
          <w:b w:val="1"/>
          <w:bCs w:val="1"/>
          <w:color w:val="auto"/>
        </w:rPr>
        <w:t>Section 2.2(a) (Term Loans - Availability)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Clauses (iv) through (vi) of Section 2.2(a) of the Loan Agreement are amended and</w:t>
      </w:r>
    </w:p>
    <w:p>
      <w:pPr>
        <w:spacing w:after="0" w:line="27" w:lineRule="exact"/>
        <w:rPr>
          <w:sz w:val="20"/>
          <w:szCs w:val="20"/>
          <w:color w:val="auto"/>
        </w:rPr>
      </w:pPr>
    </w:p>
    <w:p>
      <w:pPr>
        <w:sectPr>
          <w:pgSz w:w="11900" w:h="16838" w:orient="portrait"/>
          <w:cols w:equalWidth="0" w:num="2">
            <w:col w:w="4820" w:space="120"/>
            <w:col w:w="6300"/>
          </w:cols>
          <w:pgMar w:left="320" w:top="11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restated as follows:</w:t>
      </w:r>
    </w:p>
    <w:p>
      <w:pPr>
        <w:spacing w:after="0" w:line="193" w:lineRule="exact"/>
        <w:rPr>
          <w:sz w:val="20"/>
          <w:szCs w:val="20"/>
          <w:color w:val="auto"/>
        </w:rPr>
      </w:pPr>
    </w:p>
    <w:p>
      <w:pPr>
        <w:ind w:left="1500"/>
        <w:spacing w:after="0"/>
        <w:tabs>
          <w:tab w:leader="none" w:pos="2200" w:val="left"/>
        </w:tabs>
        <w:rPr>
          <w:sz w:val="20"/>
          <w:szCs w:val="20"/>
          <w:color w:val="auto"/>
        </w:rPr>
      </w:pPr>
      <w:r>
        <w:rPr>
          <w:rFonts w:ascii="Times New Roman" w:cs="Times New Roman" w:eastAsia="Times New Roman" w:hAnsi="Times New Roman"/>
          <w:sz w:val="18"/>
          <w:szCs w:val="18"/>
          <w:color w:val="auto"/>
        </w:rPr>
        <w:t>“(iv)</w:t>
      </w:r>
      <w:r>
        <w:rPr>
          <w:sz w:val="20"/>
          <w:szCs w:val="20"/>
          <w:color w:val="auto"/>
        </w:rPr>
        <w:tab/>
      </w:r>
      <w:r>
        <w:rPr>
          <w:rFonts w:ascii="Times New Roman" w:cs="Times New Roman" w:eastAsia="Times New Roman" w:hAnsi="Times New Roman"/>
          <w:sz w:val="18"/>
          <w:szCs w:val="18"/>
          <w:color w:val="auto"/>
        </w:rPr>
        <w:t>Subject to the terms and conditions of this Agreement, the Lenders agree, severally and not jointly, during the Fourth Draw</w:t>
      </w:r>
    </w:p>
    <w:p>
      <w:pPr>
        <w:sectPr>
          <w:pgSz w:w="11900" w:h="16838" w:orient="portrait"/>
          <w:cols w:equalWidth="0" w:num="1">
            <w:col w:w="11240"/>
          </w:cols>
          <w:pgMar w:left="320" w:top="117" w:right="339" w:bottom="1440" w:gutter="0" w:footer="0" w:header="0"/>
          <w:type w:val="continuous"/>
        </w:sectPr>
      </w:pPr>
    </w:p>
    <w:p>
      <w:pPr>
        <w:spacing w:after="0" w:line="2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 xml:space="preserve">Period, to make term loans to Borrower in an aggregate amount up to Ten Million Dollars ($10,000,000.00) and disbursed in a single advance according to each Lender’s Term D Loan Commitment as set forth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hereto (such term loans are hereinafter referred to singly as a “</w:t>
      </w:r>
      <w:r>
        <w:rPr>
          <w:rFonts w:ascii="Times New Roman" w:cs="Times New Roman" w:eastAsia="Times New Roman" w:hAnsi="Times New Roman"/>
          <w:sz w:val="18"/>
          <w:szCs w:val="18"/>
          <w:b w:val="1"/>
          <w:bCs w:val="1"/>
          <w:color w:val="auto"/>
        </w:rPr>
        <w:t>Term D Loan</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Term D Loans</w:t>
      </w:r>
      <w:r>
        <w:rPr>
          <w:rFonts w:ascii="Times New Roman" w:cs="Times New Roman" w:eastAsia="Times New Roman" w:hAnsi="Times New Roman"/>
          <w:sz w:val="18"/>
          <w:szCs w:val="18"/>
          <w:color w:val="auto"/>
        </w:rPr>
        <w:t>”). After repayment, no Term D Loan may be re-borrowed.</w:t>
      </w:r>
    </w:p>
    <w:p>
      <w:pPr>
        <w:spacing w:after="0" w:line="184" w:lineRule="exact"/>
        <w:rPr>
          <w:sz w:val="20"/>
          <w:szCs w:val="20"/>
          <w:color w:val="auto"/>
        </w:rPr>
      </w:pPr>
    </w:p>
    <w:p>
      <w:pPr>
        <w:jc w:val="both"/>
        <w:ind w:firstLine="1505"/>
        <w:spacing w:after="0" w:line="250" w:lineRule="auto"/>
        <w:tabs>
          <w:tab w:leader="none" w:pos="1857"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of this Agreement, the Lenders agree, severally and not jointly, during the Fifth Draw Period, to make term loans to Borrower in an aggregate amount up to Ten Million Dollars ($10,000,000.00) and disbursed in a single advance according to each Lender’s Term E Loan Commitment as set forth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hereto (such term loans are hereinafter referred to singly as a “</w:t>
      </w:r>
      <w:r>
        <w:rPr>
          <w:rFonts w:ascii="Times New Roman" w:cs="Times New Roman" w:eastAsia="Times New Roman" w:hAnsi="Times New Roman"/>
          <w:sz w:val="18"/>
          <w:szCs w:val="18"/>
          <w:b w:val="1"/>
          <w:bCs w:val="1"/>
          <w:color w:val="auto"/>
        </w:rPr>
        <w:t>Term E Loan</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Term E Loans</w:t>
      </w:r>
      <w:r>
        <w:rPr>
          <w:rFonts w:ascii="Times New Roman" w:cs="Times New Roman" w:eastAsia="Times New Roman" w:hAnsi="Times New Roman"/>
          <w:sz w:val="18"/>
          <w:szCs w:val="18"/>
          <w:color w:val="auto"/>
        </w:rPr>
        <w:t>”; each Term A Loan, Term B Loan, Term</w:t>
      </w:r>
    </w:p>
    <w:p>
      <w:pPr>
        <w:spacing w:after="0" w:line="181"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confidential information contained in this document, marked by brackets, has been omitted because it is both (i) not material and (ii)</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67" w:name="page168"/>
    <w:bookmarkEnd w:id="16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HAS BEEN OMITTED BECAUSE IT IS BOTH (I) NOT</w:t>
      </w:r>
    </w:p>
    <w:p>
      <w:pPr>
        <w:spacing w:after="0" w:line="20" w:lineRule="exact"/>
        <w:rPr>
          <w:sz w:val="20"/>
          <w:szCs w:val="20"/>
          <w:color w:val="auto"/>
        </w:rPr>
      </w:pPr>
    </w:p>
    <w:p>
      <w:pPr>
        <w:jc w:val="center"/>
        <w:ind w:right="40"/>
        <w:spacing w:after="0" w:line="258" w:lineRule="auto"/>
        <w:rPr>
          <w:sz w:val="20"/>
          <w:szCs w:val="20"/>
          <w:color w:val="auto"/>
        </w:rPr>
      </w:pPr>
      <w:r>
        <w:rPr>
          <w:rFonts w:ascii="Times New Roman" w:cs="Times New Roman" w:eastAsia="Times New Roman" w:hAnsi="Times New Roman"/>
          <w:sz w:val="18"/>
          <w:szCs w:val="18"/>
          <w:b w:val="1"/>
          <w:bCs w:val="1"/>
          <w:color w:val="auto"/>
        </w:rPr>
        <w:t>MATERIAL AND (II) WOULD BE COMPETITIVELY HARMFUL IF PUBLICLY DISCLOSED. INFORMATION THAT HAS BEEN OMITTED HAS BEEN NOTED IN THIS DOCUMENT WITH A PLACEHOLDER IDENTIFIED BY THE MARK “[***]”.</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C Loan, Term D Loan and Term E Loan is hereinafter referred to singly as a “</w:t>
      </w:r>
      <w:r>
        <w:rPr>
          <w:rFonts w:ascii="Times New Roman" w:cs="Times New Roman" w:eastAsia="Times New Roman" w:hAnsi="Times New Roman"/>
          <w:sz w:val="18"/>
          <w:szCs w:val="18"/>
          <w:b w:val="1"/>
          <w:bCs w:val="1"/>
          <w:color w:val="auto"/>
        </w:rPr>
        <w:t>Term Loan</w:t>
      </w:r>
      <w:r>
        <w:rPr>
          <w:rFonts w:ascii="Times New Roman" w:cs="Times New Roman" w:eastAsia="Times New Roman" w:hAnsi="Times New Roman"/>
          <w:sz w:val="18"/>
          <w:szCs w:val="18"/>
          <w:color w:val="auto"/>
        </w:rPr>
        <w:t>” and the Term A Loans, Term B Loans, Term C Loans, Term D Loans and Term E Loans are hereinafter referred to collectively as the “</w:t>
      </w:r>
      <w:r>
        <w:rPr>
          <w:rFonts w:ascii="Times New Roman" w:cs="Times New Roman" w:eastAsia="Times New Roman" w:hAnsi="Times New Roman"/>
          <w:sz w:val="18"/>
          <w:szCs w:val="18"/>
          <w:b w:val="1"/>
          <w:bCs w:val="1"/>
          <w:color w:val="auto"/>
        </w:rPr>
        <w:t>Term Loans</w:t>
      </w:r>
      <w:r>
        <w:rPr>
          <w:rFonts w:ascii="Times New Roman" w:cs="Times New Roman" w:eastAsia="Times New Roman" w:hAnsi="Times New Roman"/>
          <w:sz w:val="18"/>
          <w:szCs w:val="18"/>
          <w:color w:val="auto"/>
        </w:rPr>
        <w:t>”). After repayment, no Term E Loan may be re-borrowed.”</w:t>
      </w:r>
    </w:p>
    <w:p>
      <w:pPr>
        <w:spacing w:after="0" w:line="154"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8"/>
          <w:szCs w:val="18"/>
          <w:b w:val="1"/>
          <w:bCs w:val="1"/>
          <w:color w:val="auto"/>
        </w:rPr>
        <w:t>Section 2.2(b) (Term Loans – Repayment)</w:t>
      </w:r>
      <w:r>
        <w:rPr>
          <w:rFonts w:ascii="Times New Roman" w:cs="Times New Roman" w:eastAsia="Times New Roman" w:hAnsi="Times New Roman"/>
          <w:sz w:val="18"/>
          <w:szCs w:val="18"/>
          <w:color w:val="auto"/>
        </w:rPr>
        <w:t>. Section 2.2(b) of the Loan Agreement is amended and restated as follows:</w:t>
      </w:r>
    </w:p>
    <w:p>
      <w:pPr>
        <w:spacing w:after="0" w:line="216"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18"/>
          <w:szCs w:val="18"/>
          <w:color w:val="auto"/>
        </w:rPr>
        <w:t xml:space="preserve">“(b) Borrower shall make monthly payments of interest only commencing on the first (1 </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Payment Date following the first full calendar month to occur after the Funding Date of each Term Loan, and continuing on the Payment Date of each successive month thereafter through and including the Payment Date immediately preceding the Amortization Date. Borrower agrees to pay, on the Funding Date of each Term Loan, any initial partial monthly interest payment otherwise due for the period between the Funding Date of such Term Loan and the last calendar day of the calendar month in which such Funding Date occurs. Commencing on the Amortization Date, and continuing on the Payment Date of each month thereafter, Borrower shall make consecutive equal monthly payments of principal, together with applicable interest, in arrears, to each Lender, as calculated by Collateral Agent (which calculations shall be deemed correct absent manifest error) based upon: (1) the amount of such Lender’s Term Loan, (2) the effective rate of interest, as determined in Section 2.3(a), and (3) a repayment schedule equal to (x) twenty-two (22) months if the Amortization Date is May 1, 2025, and</w:t>
      </w:r>
    </w:p>
    <w:p>
      <w:pPr>
        <w:spacing w:after="0" w:line="6" w:lineRule="exact"/>
        <w:rPr>
          <w:sz w:val="20"/>
          <w:szCs w:val="20"/>
          <w:color w:val="auto"/>
        </w:rPr>
      </w:pPr>
    </w:p>
    <w:p>
      <w:pPr>
        <w:ind w:firstLine="8"/>
        <w:spacing w:after="0" w:line="243" w:lineRule="auto"/>
        <w:tabs>
          <w:tab w:leader="none" w:pos="262"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 (10) months if the Amortization Date is May 1, 2026. All unpaid principal and accrued and unpaid interest with respect to each Term Loan is due and payable in full on the Maturity Date. Each Term Loan may only be prepaid in accordance with Sections 2.2(c) and 2.2(d).”</w:t>
      </w:r>
    </w:p>
    <w:p>
      <w:pPr>
        <w:spacing w:after="0" w:line="191"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8"/>
          <w:szCs w:val="18"/>
          <w:b w:val="1"/>
          <w:bCs w:val="1"/>
          <w:color w:val="auto"/>
        </w:rPr>
        <w:t>Section 2.5 (Fees)</w:t>
      </w:r>
      <w:r>
        <w:rPr>
          <w:rFonts w:ascii="Times New Roman" w:cs="Times New Roman" w:eastAsia="Times New Roman" w:hAnsi="Times New Roman"/>
          <w:sz w:val="18"/>
          <w:szCs w:val="18"/>
          <w:color w:val="auto"/>
        </w:rPr>
        <w:t>. Section 2.5 of the Loan Agreement is amended by adding the following new subsection (d):</w:t>
      </w:r>
    </w:p>
    <w:p>
      <w:pPr>
        <w:spacing w:after="0" w:line="21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Second Amendment Fee</w:t>
      </w:r>
      <w:r>
        <w:rPr>
          <w:rFonts w:ascii="Times New Roman" w:cs="Times New Roman" w:eastAsia="Times New Roman" w:hAnsi="Times New Roman"/>
          <w:sz w:val="18"/>
          <w:szCs w:val="18"/>
          <w:color w:val="auto"/>
        </w:rPr>
        <w:t>. A fully-earned, non-refundable amendment fee in the amount of One Hundred Twenty-Five Thousand Dollars ($125,000.00) (the “</w:t>
      </w:r>
      <w:r>
        <w:rPr>
          <w:rFonts w:ascii="Times New Roman" w:cs="Times New Roman" w:eastAsia="Times New Roman" w:hAnsi="Times New Roman"/>
          <w:sz w:val="18"/>
          <w:szCs w:val="18"/>
          <w:b w:val="1"/>
          <w:bCs w:val="1"/>
          <w:color w:val="auto"/>
        </w:rPr>
        <w:t>Second Amendment Fee</w:t>
      </w:r>
      <w:r>
        <w:rPr>
          <w:rFonts w:ascii="Times New Roman" w:cs="Times New Roman" w:eastAsia="Times New Roman" w:hAnsi="Times New Roman"/>
          <w:sz w:val="18"/>
          <w:szCs w:val="18"/>
          <w:color w:val="auto"/>
        </w:rPr>
        <w:t>”) to be shared between the Lenders in accordance with their respective Pro Rata Shares due and payable on the Second Amendment Effective Date.”</w:t>
      </w:r>
    </w:p>
    <w:p>
      <w:pPr>
        <w:spacing w:after="0" w:line="165"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8"/>
          <w:szCs w:val="18"/>
          <w:b w:val="1"/>
          <w:bCs w:val="1"/>
          <w:color w:val="auto"/>
        </w:rPr>
        <w:t>Section 5.10 (Shares)</w:t>
      </w:r>
      <w:r>
        <w:rPr>
          <w:rFonts w:ascii="Times New Roman" w:cs="Times New Roman" w:eastAsia="Times New Roman" w:hAnsi="Times New Roman"/>
          <w:sz w:val="18"/>
          <w:szCs w:val="18"/>
          <w:color w:val="auto"/>
        </w:rPr>
        <w:t>. Section 5.10 of the Loan Agreement is amended and restated as follows:</w:t>
      </w:r>
    </w:p>
    <w:p>
      <w:pPr>
        <w:spacing w:after="0" w:line="212" w:lineRule="exact"/>
        <w:rPr>
          <w:sz w:val="20"/>
          <w:szCs w:val="20"/>
          <w:color w:val="auto"/>
        </w:rPr>
      </w:pPr>
    </w:p>
    <w:p>
      <w:pPr>
        <w:jc w:val="both"/>
        <w:ind w:firstLine="1497"/>
        <w:spacing w:after="0" w:line="213" w:lineRule="exact"/>
        <w:rPr>
          <w:sz w:val="20"/>
          <w:szCs w:val="20"/>
          <w:color w:val="auto"/>
        </w:rPr>
      </w:pPr>
      <w:r>
        <w:rPr>
          <w:rFonts w:ascii="Times New Roman" w:cs="Times New Roman" w:eastAsia="Times New Roman" w:hAnsi="Times New Roman"/>
          <w:sz w:val="18"/>
          <w:szCs w:val="18"/>
          <w:b w:val="1"/>
          <w:bCs w:val="1"/>
          <w:color w:val="auto"/>
        </w:rPr>
        <w:t xml:space="preserve">“5.10 Shares. </w:t>
      </w:r>
      <w:r>
        <w:rPr>
          <w:rFonts w:ascii="Times New Roman" w:cs="Times New Roman" w:eastAsia="Times New Roman" w:hAnsi="Times New Roman"/>
          <w:sz w:val="18"/>
          <w:szCs w:val="18"/>
          <w:color w:val="auto"/>
        </w:rPr>
        <w:t>Borrower has full power and authority to create a first lien on the Shares constituting Collateral and no contractual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exists that would prohibit Borrower from pledging the Shares constituting Collateral pursuant to this Agreement. To Borrower’s knowledge, there are no subscriptions, warrants, rights of first refusal or other restrictions on transfer relative to, or options exercisable with respect to the Shares constituting Collateral. The Shares have been and will be duly authorized and validly issued, and are fully paid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assessable. To Borrower’s knowledge, the Shares are not the subject of any present or threatened suit, action, arbitration, administrative or other proceeding, and Borrower knows of no reasonable grounds for the institution of any such proceedings.”</w:t>
      </w:r>
    </w:p>
    <w:p>
      <w:pPr>
        <w:spacing w:after="0" w:line="185"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8"/>
          <w:szCs w:val="18"/>
          <w:b w:val="1"/>
          <w:bCs w:val="1"/>
          <w:color w:val="auto"/>
        </w:rPr>
        <w:t>Section 6.2(a) (Financial Statements, Budget)</w:t>
      </w:r>
      <w:r>
        <w:rPr>
          <w:rFonts w:ascii="Times New Roman" w:cs="Times New Roman" w:eastAsia="Times New Roman" w:hAnsi="Times New Roman"/>
          <w:sz w:val="18"/>
          <w:szCs w:val="18"/>
          <w:color w:val="auto"/>
        </w:rPr>
        <w:t>. Clauses (ii) and (iii) of Section 6.2(a) are amended and restated as follows:</w:t>
      </w:r>
    </w:p>
    <w:p>
      <w:pPr>
        <w:spacing w:after="0" w:line="216" w:lineRule="exact"/>
        <w:rPr>
          <w:sz w:val="20"/>
          <w:szCs w:val="20"/>
          <w:color w:val="auto"/>
        </w:rPr>
      </w:pPr>
    </w:p>
    <w:p>
      <w:pPr>
        <w:jc w:val="both"/>
        <w:ind w:firstLine="1497"/>
        <w:spacing w:after="0" w:line="250" w:lineRule="auto"/>
        <w:rPr>
          <w:sz w:val="20"/>
          <w:szCs w:val="20"/>
          <w:color w:val="auto"/>
        </w:rPr>
      </w:pPr>
      <w:r>
        <w:rPr>
          <w:rFonts w:ascii="Times New Roman" w:cs="Times New Roman" w:eastAsia="Times New Roman" w:hAnsi="Times New Roman"/>
          <w:sz w:val="18"/>
          <w:szCs w:val="18"/>
          <w:color w:val="auto"/>
        </w:rPr>
        <w:t>“(ii) as soon as available, but no later than ninety (90) days after the last day of Borrower’s fiscal year or within five (5) days of filing with the SEC, audited consolidated financial statements prepared under GAAP, consistently applied, together with an unqualified (other than a qualification with respect to going concern with respect to Borrower’s liquidity position) opinion on the financial statements from an independent certified public accounting firm acceptable to Collateral Agent in its reasonable discretion;</w:t>
      </w:r>
    </w:p>
    <w:p>
      <w:pPr>
        <w:spacing w:after="0" w:line="191" w:lineRule="exact"/>
        <w:rPr>
          <w:sz w:val="20"/>
          <w:szCs w:val="20"/>
          <w:color w:val="auto"/>
        </w:rPr>
      </w:pPr>
    </w:p>
    <w:p>
      <w:pPr>
        <w:jc w:val="both"/>
        <w:ind w:firstLine="1505"/>
        <w:spacing w:after="0" w:line="212" w:lineRule="exact"/>
        <w:tabs>
          <w:tab w:leader="none" w:pos="1857"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after approval thereof by Borrower’s Board of Directors, but by no later than thirty (30) days after the last day of each of Borrower’s fiscal years, Borrower’s annual financial projections for the entire current fiscal year as approved by Borrower’s Board of Directors, which such annual financial projections shall be set forth in a month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format (such annual financial projections as originally delivered to Collateral Agent are referred to herein as the “</w:t>
      </w:r>
      <w:r>
        <w:rPr>
          <w:rFonts w:ascii="Times New Roman" w:cs="Times New Roman" w:eastAsia="Times New Roman" w:hAnsi="Times New Roman"/>
          <w:sz w:val="18"/>
          <w:szCs w:val="18"/>
          <w:b w:val="1"/>
          <w:bCs w:val="1"/>
          <w:color w:val="auto"/>
        </w:rPr>
        <w:t>Annual Projections</w:t>
      </w:r>
      <w:r>
        <w:rPr>
          <w:rFonts w:ascii="Times New Roman" w:cs="Times New Roman" w:eastAsia="Times New Roman" w:hAnsi="Times New Roman"/>
          <w:sz w:val="18"/>
          <w:szCs w:val="18"/>
          <w:color w:val="auto"/>
        </w:rPr>
        <w:t>”; provided that, any revisions of the Annual Projections approved by Borrower’s Board of Directors shall be delivered to Collateral Agent and the Lenders no later than seven (7) days after such Board of Directors’ approval);”.</w:t>
      </w:r>
    </w:p>
    <w:p>
      <w:pPr>
        <w:spacing w:after="0" w:line="182"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8"/>
          <w:szCs w:val="18"/>
          <w:b w:val="1"/>
          <w:bCs w:val="1"/>
          <w:color w:val="auto"/>
        </w:rPr>
        <w:t>Section 6.10 (Financial Covenant)</w:t>
      </w:r>
      <w:r>
        <w:rPr>
          <w:rFonts w:ascii="Times New Roman" w:cs="Times New Roman" w:eastAsia="Times New Roman" w:hAnsi="Times New Roman"/>
          <w:sz w:val="18"/>
          <w:szCs w:val="18"/>
          <w:color w:val="auto"/>
        </w:rPr>
        <w:t>. Section 6.10 of the Loan Agreement is amended and restated as follows:</w:t>
      </w:r>
    </w:p>
    <w:p>
      <w:pPr>
        <w:spacing w:after="0" w:line="207" w:lineRule="exact"/>
        <w:rPr>
          <w:sz w:val="20"/>
          <w:szCs w:val="20"/>
          <w:color w:val="auto"/>
        </w:rPr>
      </w:pPr>
    </w:p>
    <w:p>
      <w:pPr>
        <w:ind w:right="1740" w:firstLine="8"/>
        <w:spacing w:after="0" w:line="280" w:lineRule="auto"/>
        <w:tabs>
          <w:tab w:leader="none" w:pos="391"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confidential information contained in this document, marked by brackets, has been omitted because it is both (i)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8" w:name="page169"/>
    <w:bookmarkEnd w:id="16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HAS BEEN OMITTED BECAUSE IT IS BOTH (I) NOT</w:t>
      </w:r>
    </w:p>
    <w:p>
      <w:pPr>
        <w:spacing w:after="0" w:line="20" w:lineRule="exact"/>
        <w:rPr>
          <w:sz w:val="20"/>
          <w:szCs w:val="20"/>
          <w:color w:val="auto"/>
        </w:rPr>
      </w:pPr>
    </w:p>
    <w:p>
      <w:pPr>
        <w:jc w:val="center"/>
        <w:ind w:right="40"/>
        <w:spacing w:after="0" w:line="258" w:lineRule="auto"/>
        <w:rPr>
          <w:sz w:val="20"/>
          <w:szCs w:val="20"/>
          <w:color w:val="auto"/>
        </w:rPr>
      </w:pPr>
      <w:r>
        <w:rPr>
          <w:rFonts w:ascii="Times New Roman" w:cs="Times New Roman" w:eastAsia="Times New Roman" w:hAnsi="Times New Roman"/>
          <w:sz w:val="18"/>
          <w:szCs w:val="18"/>
          <w:b w:val="1"/>
          <w:bCs w:val="1"/>
          <w:color w:val="auto"/>
        </w:rPr>
        <w:t>MATERIAL AND (II) WOULD BE COMPETITIVELY HARMFUL IF PUBLICLY DISCLOSED. INFORMATION THAT HAS BEEN OMITTED HAS BEEN NOTED IN THIS DOCUMENT WITH A PLACEHOLDER IDENTIFIED BY THE MARK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Performance to Plan</w:t>
      </w:r>
      <w:r>
        <w:rPr>
          <w:rFonts w:ascii="Times New Roman" w:cs="Times New Roman" w:eastAsia="Times New Roman" w:hAnsi="Times New Roman"/>
          <w:sz w:val="18"/>
          <w:szCs w:val="18"/>
          <w:color w:val="auto"/>
        </w:rPr>
        <w:t>. Beginning on March 31, 2022 and until the occurrence of the IP Lien Event, Borrower shall achieve net sales revenues (measured in accordance with GAAP and, for the sake of clarity, exclusive of any revenue from intercompany transactions among Borrower and its Subsidiaries), measured on a trailing twelve (12) month basis and tested as of each Measuring Date, greater than or equal to the Required Percentage of the sales revenues target (the product of the Required Percentage and the sales revenue target, the “</w:t>
      </w:r>
      <w:r>
        <w:rPr>
          <w:rFonts w:ascii="Times New Roman" w:cs="Times New Roman" w:eastAsia="Times New Roman" w:hAnsi="Times New Roman"/>
          <w:sz w:val="18"/>
          <w:szCs w:val="18"/>
          <w:b w:val="1"/>
          <w:bCs w:val="1"/>
          <w:color w:val="auto"/>
        </w:rPr>
        <w:t>Performance to Plan Revenue</w:t>
      </w:r>
      <w:r>
        <w:rPr>
          <w:rFonts w:ascii="Times New Roman" w:cs="Times New Roman" w:eastAsia="Times New Roman" w:hAnsi="Times New Roman"/>
          <w:sz w:val="18"/>
          <w:szCs w:val="18"/>
          <w:color w:val="auto"/>
        </w:rPr>
        <w:t xml:space="preserve">”) for such Measuring Date as set forth on </w:t>
      </w:r>
      <w:r>
        <w:rPr>
          <w:rFonts w:ascii="Times New Roman" w:cs="Times New Roman" w:eastAsia="Times New Roman" w:hAnsi="Times New Roman"/>
          <w:sz w:val="18"/>
          <w:szCs w:val="18"/>
          <w:u w:val="single" w:color="auto"/>
          <w:color w:val="auto"/>
        </w:rPr>
        <w:t>Schedule 6.10(a)</w:t>
      </w:r>
      <w:r>
        <w:rPr>
          <w:rFonts w:ascii="Times New Roman" w:cs="Times New Roman" w:eastAsia="Times New Roman" w:hAnsi="Times New Roman"/>
          <w:sz w:val="18"/>
          <w:szCs w:val="18"/>
          <w:color w:val="auto"/>
        </w:rPr>
        <w:t xml:space="preserve"> attached hereto.</w:t>
      </w:r>
    </w:p>
    <w:p>
      <w:pPr>
        <w:spacing w:after="0" w:line="181" w:lineRule="exact"/>
        <w:rPr>
          <w:sz w:val="20"/>
          <w:szCs w:val="20"/>
          <w:color w:val="auto"/>
        </w:rPr>
      </w:pPr>
    </w:p>
    <w:p>
      <w:pPr>
        <w:jc w:val="both"/>
        <w:ind w:firstLine="1505"/>
        <w:spacing w:after="0" w:line="247" w:lineRule="auto"/>
        <w:tabs>
          <w:tab w:leader="none" w:pos="1857"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 Lien</w:t>
      </w:r>
      <w:r>
        <w:rPr>
          <w:rFonts w:ascii="Times New Roman" w:cs="Times New Roman" w:eastAsia="Times New Roman" w:hAnsi="Times New Roman"/>
          <w:sz w:val="18"/>
          <w:szCs w:val="18"/>
          <w:color w:val="auto"/>
        </w:rPr>
        <w:t>. At any time, Borrower may elect, by delivering notice to Collateral Agent and the Lenders in writing, to grant and pledge to Collateral Agent a valid, first priority, continuing security interest in Borrower’s Intellectual Property (which security interest may be subject to Permitted Liens) (such notice, the “</w:t>
      </w:r>
      <w:r>
        <w:rPr>
          <w:rFonts w:ascii="Times New Roman" w:cs="Times New Roman" w:eastAsia="Times New Roman" w:hAnsi="Times New Roman"/>
          <w:sz w:val="18"/>
          <w:szCs w:val="18"/>
          <w:b w:val="1"/>
          <w:bCs w:val="1"/>
          <w:color w:val="auto"/>
        </w:rPr>
        <w:t>IP Lien Election Notice</w:t>
      </w:r>
      <w:r>
        <w:rPr>
          <w:rFonts w:ascii="Times New Roman" w:cs="Times New Roman" w:eastAsia="Times New Roman" w:hAnsi="Times New Roman"/>
          <w:sz w:val="18"/>
          <w:szCs w:val="18"/>
          <w:color w:val="auto"/>
        </w:rPr>
        <w:t>”). No later than forty-five (45) days (or, if so requested by Borrower, such later date as Collateral Agent may agree to) following the delivery of such notice, Borrower shall have executed and delivered to Collateral Agent and the Lenders an amendment to this Agreement, intellectual property security agreement, and any other documentation reasonably requested by Collateral Agent to effect the grant of such lien in Borrower’s Intellectual Property (the “</w:t>
      </w:r>
      <w:r>
        <w:rPr>
          <w:rFonts w:ascii="Times New Roman" w:cs="Times New Roman" w:eastAsia="Times New Roman" w:hAnsi="Times New Roman"/>
          <w:sz w:val="18"/>
          <w:szCs w:val="18"/>
          <w:b w:val="1"/>
          <w:bCs w:val="1"/>
          <w:color w:val="auto"/>
        </w:rPr>
        <w:t>IP Lien Event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2.8</w:t>
      </w:r>
      <w:r>
        <w:rPr>
          <w:sz w:val="20"/>
          <w:szCs w:val="20"/>
          <w:color w:val="auto"/>
        </w:rPr>
        <w:tab/>
      </w:r>
      <w:r>
        <w:rPr>
          <w:rFonts w:ascii="Times New Roman" w:cs="Times New Roman" w:eastAsia="Times New Roman" w:hAnsi="Times New Roman"/>
          <w:sz w:val="18"/>
          <w:szCs w:val="18"/>
          <w:b w:val="1"/>
          <w:bCs w:val="1"/>
          <w:color w:val="auto"/>
        </w:rPr>
        <w:t>Section 6.11 (Landlord Waivers; Bailee Waivers)</w:t>
      </w:r>
      <w:r>
        <w:rPr>
          <w:rFonts w:ascii="Times New Roman" w:cs="Times New Roman" w:eastAsia="Times New Roman" w:hAnsi="Times New Roman"/>
          <w:sz w:val="18"/>
          <w:szCs w:val="18"/>
          <w:color w:val="auto"/>
        </w:rPr>
        <w:t>. Section 6.11 is amended and restated as follows:</w:t>
      </w:r>
    </w:p>
    <w:p>
      <w:pPr>
        <w:spacing w:after="0" w:line="212"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6.11 Landlord Waivers; Bailee Waivers</w:t>
      </w:r>
      <w:r>
        <w:rPr>
          <w:rFonts w:ascii="Times New Roman" w:cs="Times New Roman" w:eastAsia="Times New Roman" w:hAnsi="Times New Roman"/>
          <w:sz w:val="18"/>
          <w:szCs w:val="18"/>
          <w:color w:val="auto"/>
        </w:rPr>
        <w:t>. In the event that Borrower or any of its Subsidiaries, after the Effective Date, intends to add any new offices or business locations, including warehouses, or otherwise store any portion of the Collateral with, or deliver any portion of the Collateral (except for (i) Borrower’s Light Delivery Devices (LDDs) temporarily at distribution warehouses described in the Perfection Certfiicate, (ii) Collateral in aggregate book value not exceeding One Million Dollars ($1,000,000.00) at any time consisting of movable items of personal property such as laptop computers, or (iii) inventory at ambulatory surgery centers or sterilizers in the ordinary course of business) to, a bailee, in each case pursuant to Section 7.2, then Borrower or such Subsidiary will first receive the written consent of Collateral Agent and, in the event that the new location is the chief executive office of the Borrower or such Subsidiary or the Collateral at any such new location is valued in excess of Five Hundred Fifty Thousand ($500,000.00) in aggregate book value, such bailee or landlord, as applicable, must execute and deliver a bailee waiver or landlord waiver, as applicable, in form and substance reasonably satisfactory to Collateral Agent prior to the addition of such new offices or business locations, or such storage with or delivery to any such bailee, as the case may be.”</w:t>
      </w:r>
    </w:p>
    <w:p>
      <w:pPr>
        <w:spacing w:after="0" w:line="177"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2.9 Section 8.16 (Transactions with Affiliates)</w:t>
      </w:r>
      <w:r>
        <w:rPr>
          <w:rFonts w:ascii="Times New Roman" w:cs="Times New Roman" w:eastAsia="Times New Roman" w:hAnsi="Times New Roman"/>
          <w:sz w:val="18"/>
          <w:szCs w:val="18"/>
          <w:color w:val="auto"/>
        </w:rPr>
        <w:t>. Section 8.16 of the Loan Agreement is amended by deleting the last sentence of said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8.16.</w:t>
      </w:r>
    </w:p>
    <w:p>
      <w:pPr>
        <w:spacing w:after="0" w:line="141"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18"/>
          <w:szCs w:val="18"/>
          <w:b w:val="1"/>
          <w:bCs w:val="1"/>
          <w:color w:val="auto"/>
        </w:rPr>
        <w:t>2.10 Section 13 (Definitions)</w:t>
      </w:r>
      <w:r>
        <w:rPr>
          <w:rFonts w:ascii="Times New Roman" w:cs="Times New Roman" w:eastAsia="Times New Roman" w:hAnsi="Times New Roman"/>
          <w:sz w:val="18"/>
          <w:szCs w:val="18"/>
          <w:color w:val="auto"/>
        </w:rPr>
        <w:t>. The defined terms “Federal Reserve Bank of New York’s Website”, “IPO Milestone”, “LIBOR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Replacement Rate”, “LIBOR Replacement Spread”, “LIBOR Transition Event”, “Prime Rate Election Event”, “Relevant Governmental Body”, “Series W Warrant”, “Sixth Draw Period”, “Sixth Draw Period Milestone”, “SOFR” and “Term F Loan”, in Section 13 of the Loan Agreement are deleted, as well as any references to such defined terms in any Loan Document. The following defined terms in Section 13 of the Loan Agreement are added or amended and restated, as applicable, as follows:</w:t>
      </w:r>
    </w:p>
    <w:p>
      <w:pPr>
        <w:spacing w:after="0" w:line="190" w:lineRule="exact"/>
        <w:rPr>
          <w:sz w:val="20"/>
          <w:szCs w:val="20"/>
          <w:color w:val="auto"/>
        </w:rPr>
      </w:pPr>
    </w:p>
    <w:p>
      <w:pPr>
        <w:jc w:val="both"/>
        <w:ind w:right="20"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1-Month CME Term SOFR</w:t>
      </w:r>
      <w:r>
        <w:rPr>
          <w:rFonts w:ascii="Times New Roman" w:cs="Times New Roman" w:eastAsia="Times New Roman" w:hAnsi="Times New Roman"/>
          <w:sz w:val="18"/>
          <w:szCs w:val="18"/>
          <w:color w:val="auto"/>
        </w:rPr>
        <w:t>” is the 1-month CME Term SOFR reference rate as published by the CME Term SOFR Administrator on the CME Term SOFR Administrator’s Website.</w:t>
      </w:r>
    </w:p>
    <w:p>
      <w:pPr>
        <w:spacing w:after="0" w:line="154"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Amortization Date</w:t>
      </w:r>
      <w:r>
        <w:rPr>
          <w:rFonts w:ascii="Times New Roman" w:cs="Times New Roman" w:eastAsia="Times New Roman" w:hAnsi="Times New Roman"/>
          <w:sz w:val="18"/>
          <w:szCs w:val="18"/>
          <w:color w:val="auto"/>
        </w:rPr>
        <w:t>” is, May 1, 2025; provided, however, if Borrower is in compliance with Section 6.10(a) for each Measuring Date from March 31, 2022 through April 1, 2025 and Borrower has not provided the IP Lien Election Notice prior to May 1, 2025, the Amortization Date shall be May 1, 2026.</w:t>
      </w:r>
    </w:p>
    <w:p>
      <w:pPr>
        <w:spacing w:after="0" w:line="164"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Approved Fund</w:t>
      </w:r>
      <w:r>
        <w:rPr>
          <w:rFonts w:ascii="Times New Roman" w:cs="Times New Roman" w:eastAsia="Times New Roman" w:hAnsi="Times New Roman"/>
          <w:sz w:val="18"/>
          <w:szCs w:val="18"/>
          <w:color w:val="auto"/>
        </w:rPr>
        <w:t>” is any (a) Person, investment company, fund, securitization vehicle or conduit that is (or will be) engaged in making, purchasing, holding or otherwise investing in commercial loans and similar extensions of credit in the ordinary course of its business and that is administered or managed by (i) a Lender, (ii) an Affiliate of a Lender, or (iii) a Person (other than a natural person) or an Affiliate of a Person (other than a natural person) that administers or manages a Lender, or (b) any Person (other than a natural person) which temporarily warehouses loans, or provides financing or securitizations, in each case, for any Lender or any entity described in the preceding clause (a).</w:t>
      </w:r>
    </w:p>
    <w:p>
      <w:pPr>
        <w:spacing w:after="0" w:line="185" w:lineRule="exact"/>
        <w:rPr>
          <w:sz w:val="20"/>
          <w:szCs w:val="20"/>
          <w:color w:val="auto"/>
        </w:rPr>
      </w:pPr>
    </w:p>
    <w:p>
      <w:pPr>
        <w:ind w:right="1740" w:firstLine="8"/>
        <w:spacing w:after="0" w:line="280" w:lineRule="auto"/>
        <w:tabs>
          <w:tab w:leader="none" w:pos="391"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confidential information contained in this document, marked by brackets, has been omitted because it is both (i)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9" w:name="page170"/>
    <w:bookmarkEnd w:id="16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HAS BEEN OMITTED BECAUSE IT IS BOTH (I) NOT</w:t>
      </w:r>
    </w:p>
    <w:p>
      <w:pPr>
        <w:spacing w:after="0" w:line="20" w:lineRule="exact"/>
        <w:rPr>
          <w:sz w:val="20"/>
          <w:szCs w:val="20"/>
          <w:color w:val="auto"/>
        </w:rPr>
      </w:pPr>
    </w:p>
    <w:p>
      <w:pPr>
        <w:jc w:val="center"/>
        <w:ind w:right="40"/>
        <w:spacing w:after="0" w:line="258" w:lineRule="auto"/>
        <w:rPr>
          <w:sz w:val="20"/>
          <w:szCs w:val="20"/>
          <w:color w:val="auto"/>
        </w:rPr>
      </w:pPr>
      <w:r>
        <w:rPr>
          <w:rFonts w:ascii="Times New Roman" w:cs="Times New Roman" w:eastAsia="Times New Roman" w:hAnsi="Times New Roman"/>
          <w:sz w:val="18"/>
          <w:szCs w:val="18"/>
          <w:b w:val="1"/>
          <w:bCs w:val="1"/>
          <w:color w:val="auto"/>
        </w:rPr>
        <w:t>MATERIAL AND (II) WOULD BE COMPETITIVELY HARMFUL IF PUBLICLY DISCLOSED. INFORMATION THAT HAS BEEN OMITTED HAS BEEN NOTED IN THIS DOCUMENT WITH A PLACEHOLDER IDENTIFIED BY THE MARK “[***]”.</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Basic Rate</w:t>
      </w:r>
      <w:r>
        <w:rPr>
          <w:rFonts w:ascii="Times New Roman" w:cs="Times New Roman" w:eastAsia="Times New Roman" w:hAnsi="Times New Roman"/>
          <w:sz w:val="18"/>
          <w:szCs w:val="18"/>
          <w:color w:val="auto"/>
        </w:rPr>
        <w:t>” is with respect to each Term Loan, the per annum rate of interest (based on a year of three hundred sixty (360) days) equal to (a) the greater of (i) the 1-Month CME Term SOFR on the last Business Day of the month that immediately precedes the month in which the interest will accrue and (ii) sixteen hundredths percent (0.16%), plus (b) nine and nine hundredths percent (9.09%). Notwithstanding the foregoing, (i) in no event shall the Basic Rate for any Term Loan be less than nine and one quarter percent (9.25%), and (ii) upon the occurrence of a Benchmark Transition Event, Collateral Agent may, in good faith and with reference to the margin above such interest rate in this definition, amend this Agreement to replace the Benchmark with a replacement interest rate and replacement margin above such interest rate that results in a substantially similar interest rate floor, ceiling and total rate in effect immediately prior to the effectiveness of such replacement interest rate and replacement margin, and any such amendment shall become effective at 5:00 p.m. Eastern time on the third Business Day after Collateral Agent has notified Borrower of such amendment, and (iv) the Basic Rate for the Term Loans for the period from the Second Amendment Effective Date through and including May 31, 2022 shall be 9.8563%. Any determination, decision or election that may be made by Collateral Agent pursuant hereto will be conclusive and binding absent manifest error and may be made in Collateral Agent’s sole but reasonable discretion and without consent from any other party.</w:t>
      </w:r>
    </w:p>
    <w:p>
      <w:pPr>
        <w:spacing w:after="0" w:line="179"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w:t>
      </w:r>
      <w:r>
        <w:rPr>
          <w:rFonts w:ascii="Times New Roman" w:cs="Times New Roman" w:eastAsia="Times New Roman" w:hAnsi="Times New Roman"/>
          <w:sz w:val="18"/>
          <w:szCs w:val="18"/>
          <w:color w:val="auto"/>
        </w:rPr>
        <w:t>” is, initially, the 1-Month CME Term SOFR; provided, that if a Benchmark Transition Event has occurred with respect to the 1-Month CME Term SOFR or the then-current Benchmark, then “Benchmark” means the applicable replacement rate that has replaced the immediately preceding benchmark rate pursuant to the defined term “Basic Rate”.</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Transition Event</w:t>
      </w:r>
      <w:r>
        <w:rPr>
          <w:rFonts w:ascii="Times New Roman" w:cs="Times New Roman" w:eastAsia="Times New Roman" w:hAnsi="Times New Roman"/>
          <w:sz w:val="18"/>
          <w:szCs w:val="18"/>
          <w:color w:val="auto"/>
        </w:rPr>
        <w:t>” means the occurrence of one or more of the following events with respect to the then-current Benchmark:</w:t>
      </w:r>
    </w:p>
    <w:p>
      <w:pPr>
        <w:spacing w:after="0" w:line="216" w:lineRule="exact"/>
        <w:rPr>
          <w:sz w:val="20"/>
          <w:szCs w:val="20"/>
          <w:color w:val="auto"/>
        </w:rPr>
      </w:pPr>
    </w:p>
    <w:p>
      <w:pPr>
        <w:jc w:val="both"/>
        <w:ind w:firstLine="757"/>
        <w:spacing w:after="0" w:line="258" w:lineRule="auto"/>
        <w:tabs>
          <w:tab w:leader="none" w:pos="1109"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or on behalf of the administrator for such Benchmark announcing that such Person has ceased or will cease to provide such Benchmark, permanently or indefinitely, provided that, at the time of such statement or publication, there is no successor administrator that will continue to provide such Benchmark;</w:t>
      </w:r>
    </w:p>
    <w:p>
      <w:pPr>
        <w:spacing w:after="0" w:line="169" w:lineRule="exact"/>
        <w:rPr>
          <w:rFonts w:ascii="Times New Roman" w:cs="Times New Roman" w:eastAsia="Times New Roman" w:hAnsi="Times New Roman"/>
          <w:sz w:val="18"/>
          <w:szCs w:val="18"/>
          <w:color w:val="auto"/>
        </w:rPr>
      </w:pPr>
    </w:p>
    <w:p>
      <w:pPr>
        <w:jc w:val="both"/>
        <w:ind w:firstLine="757"/>
        <w:spacing w:after="0" w:line="246" w:lineRule="auto"/>
        <w:tabs>
          <w:tab w:leader="none" w:pos="1109"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for such Benchmark, the U.S. Federal Reserve System, an insolvency official with jurisdiction over the administrator for such Benchmark, a resolution authority with jurisdiction over the administrator for such Benchmark or a court or an entity with similar insolvency or resolution authority over the administrator for such Benchmark, which states that the administrator for such Benchmark has ceased or will cease to provide such Benchmark permanently or indefinitely, provided that, at the time of such statement or publication, there is no successor administrator that will continue to provide such Benchmark; or</w:t>
      </w:r>
    </w:p>
    <w:p>
      <w:pPr>
        <w:spacing w:after="0" w:line="194" w:lineRule="exact"/>
        <w:rPr>
          <w:rFonts w:ascii="Times New Roman" w:cs="Times New Roman" w:eastAsia="Times New Roman" w:hAnsi="Times New Roman"/>
          <w:sz w:val="18"/>
          <w:szCs w:val="18"/>
          <w:color w:val="auto"/>
        </w:rPr>
      </w:pPr>
    </w:p>
    <w:p>
      <w:pPr>
        <w:jc w:val="both"/>
        <w:ind w:firstLine="757"/>
        <w:spacing w:after="0" w:line="250" w:lineRule="auto"/>
        <w:tabs>
          <w:tab w:leader="none" w:pos="1109"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for such Benchmark announcing that such Benchmark is no longer representative or in compliance with the International Organization of Securities Commissions Principles for Financial Benchmarks.</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is defined in the preamble hereof.</w:t>
      </w:r>
    </w:p>
    <w:p>
      <w:pPr>
        <w:spacing w:after="0" w:line="212"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CME Term SOFR Administrator</w:t>
      </w:r>
      <w:r>
        <w:rPr>
          <w:rFonts w:ascii="Times New Roman" w:cs="Times New Roman" w:eastAsia="Times New Roman" w:hAnsi="Times New Roman"/>
          <w:sz w:val="18"/>
          <w:szCs w:val="18"/>
          <w:color w:val="auto"/>
        </w:rPr>
        <w:t>” is CME Group Benchmark Administration Limited, as administrator of the forward-looking term SOFR, or any successor administrator.</w:t>
      </w:r>
    </w:p>
    <w:p>
      <w:pPr>
        <w:spacing w:after="0" w:line="167"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CME Term SOFR Administrator’s Website</w:t>
      </w:r>
      <w:r>
        <w:rPr>
          <w:rFonts w:ascii="Times New Roman" w:cs="Times New Roman" w:eastAsia="Times New Roman" w:hAnsi="Times New Roman"/>
          <w:sz w:val="18"/>
          <w:szCs w:val="18"/>
          <w:color w:val="auto"/>
        </w:rPr>
        <w:t>” is the website of the CME Group Benchmark Administrator at http://www.cmegroup.com, or any successor source.</w:t>
      </w:r>
    </w:p>
    <w:p>
      <w:pPr>
        <w:spacing w:after="0" w:line="154"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Fifth Draw Period</w:t>
      </w:r>
      <w:r>
        <w:rPr>
          <w:rFonts w:ascii="Times New Roman" w:cs="Times New Roman" w:eastAsia="Times New Roman" w:hAnsi="Times New Roman"/>
          <w:sz w:val="18"/>
          <w:szCs w:val="18"/>
          <w:color w:val="auto"/>
        </w:rPr>
        <w:t>” is the period commencing on the date of the occurrence of the Fifth Draw Period Milestone, provided that if the Fifth Draw Period Milestone is achieved prior to July 1, 2023, then the Fifth Draw Period shall commence on July 1, 2023, and ending on the earlier of (i) September 30, 2023 and (ii) the occurrence of an Event of Default (unless such Event of Default has been waived in writing by Collateral Agent and the Required Lenders in their sole discretion); provided, however, that the Fifth Draw Period shall not commence if on the date of the occurrence of the Fifth Draw Period Milestone (or July 1, 2023 if the Fifth Draw Period Milestone is achieved prior to July 1, 2023) an Event of Default has occurred and is continuing (unless such Event of Default has been waived in writing by Collateral Agent and the Required Lenders in their sole discretion).</w:t>
      </w:r>
    </w:p>
    <w:p>
      <w:pPr>
        <w:spacing w:after="0" w:line="170" w:lineRule="exact"/>
        <w:rPr>
          <w:sz w:val="20"/>
          <w:szCs w:val="20"/>
          <w:color w:val="auto"/>
        </w:rPr>
      </w:pPr>
    </w:p>
    <w:p>
      <w:pPr>
        <w:ind w:right="1740" w:firstLine="8"/>
        <w:spacing w:after="0" w:line="280" w:lineRule="auto"/>
        <w:tabs>
          <w:tab w:leader="none" w:pos="391"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confidential information contained in this document, marked by brackets, has been omitted because it is both (i)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0" w:name="page171"/>
    <w:bookmarkEnd w:id="170"/>
    <w:p>
      <w:pPr>
        <w:spacing w:after="0" w:line="185" w:lineRule="auto"/>
        <w:framePr w:w="400" w:h="160" w:wrap="auto" w:vAnchor="page" w:hAnchor="page" w:x="1040" w:y="1105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2.13</w:t>
      </w:r>
    </w:p>
    <w:p>
      <w:pPr>
        <w:spacing w:after="0" w:line="196" w:lineRule="auto"/>
        <w:framePr w:w="1320" w:h="160" w:wrap="auto" w:vAnchor="page" w:hAnchor="page" w:x="280" w:y="11252"/>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this Amendment.</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HAS BEEN OMITTED BECAUSE IT IS BOTH (I) NOT</w:t>
      </w:r>
    </w:p>
    <w:p>
      <w:pPr>
        <w:spacing w:after="0" w:line="20" w:lineRule="exact"/>
        <w:rPr>
          <w:rFonts w:ascii="Times New Roman" w:cs="Times New Roman" w:eastAsia="Times New Roman" w:hAnsi="Times New Roman"/>
          <w:sz w:val="17"/>
          <w:szCs w:val="17"/>
          <w:b w:val="1"/>
          <w:bCs w:val="1"/>
          <w:color w:val="auto"/>
        </w:rPr>
      </w:pPr>
    </w:p>
    <w:p>
      <w:pPr>
        <w:jc w:val="center"/>
        <w:ind w:right="40"/>
        <w:spacing w:after="0" w:line="258" w:lineRule="auto"/>
        <w:rPr>
          <w:sz w:val="20"/>
          <w:szCs w:val="20"/>
          <w:color w:val="auto"/>
        </w:rPr>
      </w:pPr>
      <w:r>
        <w:rPr>
          <w:rFonts w:ascii="Times New Roman" w:cs="Times New Roman" w:eastAsia="Times New Roman" w:hAnsi="Times New Roman"/>
          <w:sz w:val="18"/>
          <w:szCs w:val="18"/>
          <w:b w:val="1"/>
          <w:bCs w:val="1"/>
          <w:color w:val="auto"/>
        </w:rPr>
        <w:t>MATERIAL AND (II) WOULD BE COMPETITIVELY HARMFUL IF PUBLICLY DISCLOSED. INFORMATION THAT HAS BEEN OMITTED HAS BEEN NOTED IN THIS DOCUMENT WITH A PLACEHOLDER IDENTIFIED BY THE MARK “[***]”.</w:t>
      </w: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400" w:lineRule="exact"/>
        <w:rPr>
          <w:rFonts w:ascii="Times New Roman" w:cs="Times New Roman" w:eastAsia="Times New Roman" w:hAnsi="Times New Roman"/>
          <w:sz w:val="17"/>
          <w:szCs w:val="17"/>
          <w:b w:val="1"/>
          <w:bCs w:val="1"/>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Fifth Draw Period Milestone</w:t>
      </w:r>
      <w:r>
        <w:rPr>
          <w:rFonts w:ascii="Times New Roman" w:cs="Times New Roman" w:eastAsia="Times New Roman" w:hAnsi="Times New Roman"/>
          <w:sz w:val="18"/>
          <w:szCs w:val="18"/>
          <w:color w:val="auto"/>
        </w:rPr>
        <w:t xml:space="preserve">” is Borrower’s delivery to Collateral Agent and the Lenders of evidence, reasonably satisfactory to Collateral Agent and the Required Lenders in their sole but reasonable discretion that Borrower has achieved trailing twelve (12) month sales revenues (measured in accordance with GAAP) of not less than the amount set forth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attached hereto as of May 31, 2023, June 30, 2023 or July 31, 2023.</w:t>
      </w:r>
    </w:p>
    <w:p>
      <w:pPr>
        <w:spacing w:after="0" w:line="172" w:lineRule="exact"/>
        <w:rPr>
          <w:rFonts w:ascii="Times New Roman" w:cs="Times New Roman" w:eastAsia="Times New Roman" w:hAnsi="Times New Roman"/>
          <w:sz w:val="17"/>
          <w:szCs w:val="17"/>
          <w:b w:val="1"/>
          <w:bCs w:val="1"/>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Payment Percentage</w:t>
      </w:r>
      <w:r>
        <w:rPr>
          <w:rFonts w:ascii="Times New Roman" w:cs="Times New Roman" w:eastAsia="Times New Roman" w:hAnsi="Times New Roman"/>
          <w:sz w:val="18"/>
          <w:szCs w:val="18"/>
          <w:color w:val="auto"/>
        </w:rPr>
        <w:t>” is (a) if the Final Payment is due on or after January 1, 2022 through and including October 31, 2022, three percent (3.00%), (b) if the Final Payment is due on or after November 1, 2022 through and including October 31, 2023, four percent (4.00%), and (c) if the Final Payment is due on or after November 1, 2023, five percent (5.00%).</w:t>
      </w:r>
    </w:p>
    <w:p>
      <w:pPr>
        <w:spacing w:after="0" w:line="164" w:lineRule="exact"/>
        <w:rPr>
          <w:rFonts w:ascii="Times New Roman" w:cs="Times New Roman" w:eastAsia="Times New Roman" w:hAnsi="Times New Roman"/>
          <w:sz w:val="17"/>
          <w:szCs w:val="17"/>
          <w:b w:val="1"/>
          <w:bCs w:val="1"/>
          <w:color w:val="auto"/>
        </w:rPr>
      </w:pPr>
    </w:p>
    <w:p>
      <w:pPr>
        <w:jc w:val="both"/>
        <w:ind w:firstLine="749"/>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Fourth Draw Period</w:t>
      </w:r>
      <w:r>
        <w:rPr>
          <w:rFonts w:ascii="Times New Roman" w:cs="Times New Roman" w:eastAsia="Times New Roman" w:hAnsi="Times New Roman"/>
          <w:sz w:val="18"/>
          <w:szCs w:val="18"/>
          <w:color w:val="auto"/>
        </w:rPr>
        <w:t>” is the period commencing on the date of the occurrence of the Fourth Draw Period Milestone, provided that if the Fourth Draw Period Milestone is achieved prior to April 1, 2023, then the Fourth Draw Period shall commence on April 1, 2023, and ending on the earlier of (i) June 30, 2023 and (ii) the occurrence of an Event of Default (unless such Event of Default has been waived in writing by Collateral Agent and the Required Lenders in their sole discretion); provided, however, that the Fourth Draw Period shall not commence if on the date of the occurrence of the Fourth Draw Period Milestone (or April 1, 2023 if the Fourth Draw Period Milestone is achieved prior to April 1, 2023) an Event of Default has occurred and is continuing (unless such Event of Default has been waived in writing by Collateral Agent and the Required Lenders in their sole discretion).</w:t>
      </w:r>
    </w:p>
    <w:p>
      <w:pPr>
        <w:spacing w:after="0" w:line="175" w:lineRule="exact"/>
        <w:rPr>
          <w:rFonts w:ascii="Times New Roman" w:cs="Times New Roman" w:eastAsia="Times New Roman" w:hAnsi="Times New Roman"/>
          <w:sz w:val="17"/>
          <w:szCs w:val="17"/>
          <w:b w:val="1"/>
          <w:bCs w:val="1"/>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Fourth Draw Period Milestone</w:t>
      </w:r>
      <w:r>
        <w:rPr>
          <w:rFonts w:ascii="Times New Roman" w:cs="Times New Roman" w:eastAsia="Times New Roman" w:hAnsi="Times New Roman"/>
          <w:sz w:val="18"/>
          <w:szCs w:val="18"/>
          <w:color w:val="auto"/>
        </w:rPr>
        <w:t xml:space="preserve">” is Borrower’s delivery to Collateral Agent and the Lenders of evidence, reasonably satisfactory to Collateral Agent and the Required Lenders in their sole but reasonable discretion that Borrower has achieved trailing twelve (12) month sales revenues (measured in accordance with GAAP) of not less than the amount set forth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attached hereto as of February 28, 2023, March 31, 2023 or April 30, 2023.</w:t>
      </w:r>
    </w:p>
    <w:p>
      <w:pPr>
        <w:spacing w:after="0" w:line="164" w:lineRule="exact"/>
        <w:rPr>
          <w:rFonts w:ascii="Times New Roman" w:cs="Times New Roman" w:eastAsia="Times New Roman" w:hAnsi="Times New Roman"/>
          <w:sz w:val="17"/>
          <w:szCs w:val="17"/>
          <w:b w:val="1"/>
          <w:bCs w:val="1"/>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 Lien Election Notice</w:t>
      </w:r>
      <w:r>
        <w:rPr>
          <w:rFonts w:ascii="Times New Roman" w:cs="Times New Roman" w:eastAsia="Times New Roman" w:hAnsi="Times New Roman"/>
          <w:sz w:val="18"/>
          <w:szCs w:val="18"/>
          <w:color w:val="auto"/>
        </w:rPr>
        <w:t>” is defined in Section 6.10(b) hereof.</w:t>
      </w:r>
    </w:p>
    <w:p>
      <w:pPr>
        <w:spacing w:after="0" w:line="225" w:lineRule="exact"/>
        <w:rPr>
          <w:rFonts w:ascii="Times New Roman" w:cs="Times New Roman" w:eastAsia="Times New Roman" w:hAnsi="Times New Roman"/>
          <w:sz w:val="17"/>
          <w:szCs w:val="17"/>
          <w:b w:val="1"/>
          <w:bCs w:val="1"/>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 Lien Event</w:t>
      </w:r>
      <w:r>
        <w:rPr>
          <w:rFonts w:ascii="Times New Roman" w:cs="Times New Roman" w:eastAsia="Times New Roman" w:hAnsi="Times New Roman"/>
          <w:sz w:val="18"/>
          <w:szCs w:val="18"/>
          <w:color w:val="auto"/>
        </w:rPr>
        <w:t>” is defined in Section 6.10(b) hereof.</w:t>
      </w:r>
    </w:p>
    <w:p>
      <w:pPr>
        <w:spacing w:after="0" w:line="212" w:lineRule="exact"/>
        <w:rPr>
          <w:rFonts w:ascii="Times New Roman" w:cs="Times New Roman" w:eastAsia="Times New Roman" w:hAnsi="Times New Roman"/>
          <w:sz w:val="17"/>
          <w:szCs w:val="17"/>
          <w:b w:val="1"/>
          <w:bCs w:val="1"/>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is, for each Term Loan, is February 1, 2027.</w:t>
      </w:r>
    </w:p>
    <w:p>
      <w:pPr>
        <w:spacing w:after="0" w:line="212" w:lineRule="exact"/>
        <w:rPr>
          <w:rFonts w:ascii="Times New Roman" w:cs="Times New Roman" w:eastAsia="Times New Roman" w:hAnsi="Times New Roman"/>
          <w:sz w:val="17"/>
          <w:szCs w:val="17"/>
          <w:b w:val="1"/>
          <w:bCs w:val="1"/>
          <w:color w:val="auto"/>
        </w:rPr>
      </w:pPr>
    </w:p>
    <w:p>
      <w:pPr>
        <w:jc w:val="both"/>
        <w:ind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Measuring Date</w:t>
      </w:r>
      <w:r>
        <w:rPr>
          <w:rFonts w:ascii="Times New Roman" w:cs="Times New Roman" w:eastAsia="Times New Roman" w:hAnsi="Times New Roman"/>
          <w:sz w:val="18"/>
          <w:szCs w:val="18"/>
          <w:color w:val="auto"/>
        </w:rPr>
        <w:t>” means, for each fiscal year of Borrower, commencing with Borrower’s 2022 fiscal year until the occurrence of the IP Lien Event, each of March 31, June 30, September 30 and December 31 of such fiscal year.</w:t>
      </w:r>
    </w:p>
    <w:p>
      <w:pPr>
        <w:spacing w:after="0" w:line="167" w:lineRule="exact"/>
        <w:rPr>
          <w:rFonts w:ascii="Times New Roman" w:cs="Times New Roman" w:eastAsia="Times New Roman" w:hAnsi="Times New Roman"/>
          <w:sz w:val="17"/>
          <w:szCs w:val="17"/>
          <w:b w:val="1"/>
          <w:bCs w:val="1"/>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to Plan Revenue</w:t>
      </w:r>
      <w:r>
        <w:rPr>
          <w:rFonts w:ascii="Times New Roman" w:cs="Times New Roman" w:eastAsia="Times New Roman" w:hAnsi="Times New Roman"/>
          <w:sz w:val="18"/>
          <w:szCs w:val="18"/>
          <w:color w:val="auto"/>
        </w:rPr>
        <w:t>” is defined in Section 6.10(a) hereof.</w:t>
      </w:r>
    </w:p>
    <w:p>
      <w:pPr>
        <w:spacing w:after="0" w:line="212" w:lineRule="exact"/>
        <w:rPr>
          <w:rFonts w:ascii="Times New Roman" w:cs="Times New Roman" w:eastAsia="Times New Roman" w:hAnsi="Times New Roman"/>
          <w:sz w:val="17"/>
          <w:szCs w:val="17"/>
          <w:b w:val="1"/>
          <w:bCs w:val="1"/>
          <w:color w:val="auto"/>
        </w:rPr>
      </w:pPr>
    </w:p>
    <w:p>
      <w:pPr>
        <w:jc w:val="both"/>
        <w:ind w:right="20" w:firstLine="74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Percentage</w:t>
      </w:r>
      <w:r>
        <w:rPr>
          <w:rFonts w:ascii="Times New Roman" w:cs="Times New Roman" w:eastAsia="Times New Roman" w:hAnsi="Times New Roman"/>
          <w:sz w:val="18"/>
          <w:szCs w:val="18"/>
          <w:color w:val="auto"/>
        </w:rPr>
        <w:t>” means (a) seventy-five percent (75%) for the fiscal year ending December 31, 2022, (b) sixty-five percent (65%) for the fiscal year ending December 31, 2023, (c) sixty percent (60%) for the fiscal year ending December 31, 2024 and (d) fifty percent (50%) for the fiscal year ending December 31, 2025 and the fiscal year ending December 31, 2026.</w:t>
      </w:r>
    </w:p>
    <w:p>
      <w:pPr>
        <w:spacing w:after="0" w:line="164" w:lineRule="exact"/>
        <w:rPr>
          <w:rFonts w:ascii="Times New Roman" w:cs="Times New Roman" w:eastAsia="Times New Roman" w:hAnsi="Times New Roman"/>
          <w:sz w:val="17"/>
          <w:szCs w:val="17"/>
          <w:b w:val="1"/>
          <w:bCs w:val="1"/>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Amendment Effective Date</w:t>
      </w:r>
      <w:r>
        <w:rPr>
          <w:rFonts w:ascii="Times New Roman" w:cs="Times New Roman" w:eastAsia="Times New Roman" w:hAnsi="Times New Roman"/>
          <w:sz w:val="18"/>
          <w:szCs w:val="18"/>
          <w:color w:val="auto"/>
        </w:rPr>
        <w:t>” is May 3, 2022.</w:t>
      </w:r>
    </w:p>
    <w:p>
      <w:pPr>
        <w:spacing w:after="0" w:line="212" w:lineRule="exact"/>
        <w:rPr>
          <w:rFonts w:ascii="Times New Roman" w:cs="Times New Roman" w:eastAsia="Times New Roman" w:hAnsi="Times New Roman"/>
          <w:sz w:val="17"/>
          <w:szCs w:val="17"/>
          <w:b w:val="1"/>
          <w:bCs w:val="1"/>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Amendment Fee</w:t>
      </w:r>
      <w:r>
        <w:rPr>
          <w:rFonts w:ascii="Times New Roman" w:cs="Times New Roman" w:eastAsia="Times New Roman" w:hAnsi="Times New Roman"/>
          <w:sz w:val="18"/>
          <w:szCs w:val="18"/>
          <w:color w:val="auto"/>
        </w:rPr>
        <w:t>” is defined in Section 2.5(d).</w:t>
      </w:r>
    </w:p>
    <w:p>
      <w:pPr>
        <w:spacing w:after="0" w:line="225" w:lineRule="exact"/>
        <w:rPr>
          <w:rFonts w:ascii="Times New Roman" w:cs="Times New Roman" w:eastAsia="Times New Roman" w:hAnsi="Times New Roman"/>
          <w:sz w:val="17"/>
          <w:szCs w:val="17"/>
          <w:b w:val="1"/>
          <w:bCs w:val="1"/>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w:t>
      </w:r>
      <w:r>
        <w:rPr>
          <w:rFonts w:ascii="Times New Roman" w:cs="Times New Roman" w:eastAsia="Times New Roman" w:hAnsi="Times New Roman"/>
          <w:sz w:val="18"/>
          <w:szCs w:val="18"/>
          <w:color w:val="auto"/>
        </w:rPr>
        <w:t>” is defined in Section 2.2(a)(v) hereof.</w:t>
      </w:r>
    </w:p>
    <w:p>
      <w:pPr>
        <w:spacing w:after="0" w:line="212" w:lineRule="exact"/>
        <w:rPr>
          <w:rFonts w:ascii="Times New Roman" w:cs="Times New Roman" w:eastAsia="Times New Roman" w:hAnsi="Times New Roman"/>
          <w:sz w:val="17"/>
          <w:szCs w:val="17"/>
          <w:b w:val="1"/>
          <w:bCs w:val="1"/>
          <w:color w:val="auto"/>
        </w:rPr>
      </w:pPr>
    </w:p>
    <w:p>
      <w:pPr>
        <w:ind w:right="20"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2.11 Schedule 1.1 (Lenders and Commitments)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Loan Agreement is amended and restated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attached to this Amendment.</w:t>
      </w:r>
    </w:p>
    <w:p>
      <w:pPr>
        <w:spacing w:after="0" w:line="167" w:lineRule="exact"/>
        <w:rPr>
          <w:rFonts w:ascii="Times New Roman" w:cs="Times New Roman" w:eastAsia="Times New Roman" w:hAnsi="Times New Roman"/>
          <w:sz w:val="17"/>
          <w:szCs w:val="17"/>
          <w:b w:val="1"/>
          <w:bCs w:val="1"/>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2.12</w:t>
      </w:r>
      <w:r>
        <w:rPr>
          <w:sz w:val="20"/>
          <w:szCs w:val="20"/>
          <w:color w:val="auto"/>
        </w:rPr>
        <w:tab/>
      </w:r>
      <w:r>
        <w:rPr>
          <w:rFonts w:ascii="Times New Roman" w:cs="Times New Roman" w:eastAsia="Times New Roman" w:hAnsi="Times New Roman"/>
          <w:sz w:val="18"/>
          <w:szCs w:val="18"/>
          <w:b w:val="1"/>
          <w:bCs w:val="1"/>
          <w:color w:val="auto"/>
        </w:rPr>
        <w:t>Exhibit B (Form of Disbursement Letter)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Loan Agreement is amended to remove references to the Term [F] Loan.</w:t>
      </w:r>
    </w:p>
    <w:p>
      <w:pPr>
        <w:spacing w:after="0" w:line="212" w:lineRule="exact"/>
        <w:rPr>
          <w:rFonts w:ascii="Times New Roman" w:cs="Times New Roman" w:eastAsia="Times New Roman" w:hAnsi="Times New Roman"/>
          <w:sz w:val="17"/>
          <w:szCs w:val="17"/>
          <w:b w:val="1"/>
          <w:bCs w:val="1"/>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Exhibit C (Form of Compliance Certificate)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Loan Agreement is amended and restated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attached to</w:t>
      </w:r>
    </w:p>
    <w:p>
      <w:pPr>
        <w:spacing w:after="0" w:line="200" w:lineRule="exact"/>
        <w:rPr>
          <w:rFonts w:ascii="Times New Roman" w:cs="Times New Roman" w:eastAsia="Times New Roman" w:hAnsi="Times New Roman"/>
          <w:sz w:val="17"/>
          <w:szCs w:val="17"/>
          <w:b w:val="1"/>
          <w:bCs w:val="1"/>
          <w:color w:val="auto"/>
        </w:rPr>
      </w:pPr>
    </w:p>
    <w:p>
      <w:pPr>
        <w:spacing w:after="0" w:line="223" w:lineRule="exact"/>
        <w:rPr>
          <w:rFonts w:ascii="Times New Roman" w:cs="Times New Roman" w:eastAsia="Times New Roman" w:hAnsi="Times New Roman"/>
          <w:sz w:val="17"/>
          <w:szCs w:val="17"/>
          <w:b w:val="1"/>
          <w:bCs w:val="1"/>
          <w:color w:val="auto"/>
        </w:rPr>
      </w:pPr>
    </w:p>
    <w:p>
      <w:pPr>
        <w:ind w:right="1740" w:firstLine="8"/>
        <w:spacing w:after="0" w:line="263" w:lineRule="auto"/>
        <w:tabs>
          <w:tab w:leader="none" w:pos="391" w:val="left"/>
        </w:tabs>
        <w:numPr>
          <w:ilvl w:val="0"/>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confidential information contained in this document, marked by brackets, has been omitted because it is both (i) not material and (ii) would be competitively harmful if publicly disclosed.</w:t>
      </w:r>
    </w:p>
    <w:p>
      <w:pPr>
        <w:spacing w:after="0" w:line="20" w:lineRule="exact"/>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1" w:name="page172"/>
    <w:bookmarkEnd w:id="17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HAS BEEN OMITTED BECAUSE IT IS BOTH (I) NOT</w:t>
      </w:r>
    </w:p>
    <w:p>
      <w:pPr>
        <w:spacing w:after="0" w:line="20" w:lineRule="exact"/>
        <w:rPr>
          <w:sz w:val="20"/>
          <w:szCs w:val="20"/>
          <w:color w:val="auto"/>
        </w:rPr>
      </w:pPr>
    </w:p>
    <w:p>
      <w:pPr>
        <w:jc w:val="center"/>
        <w:ind w:right="40"/>
        <w:spacing w:after="0" w:line="258" w:lineRule="auto"/>
        <w:rPr>
          <w:sz w:val="20"/>
          <w:szCs w:val="20"/>
          <w:color w:val="auto"/>
        </w:rPr>
      </w:pPr>
      <w:r>
        <w:rPr>
          <w:rFonts w:ascii="Times New Roman" w:cs="Times New Roman" w:eastAsia="Times New Roman" w:hAnsi="Times New Roman"/>
          <w:sz w:val="18"/>
          <w:szCs w:val="18"/>
          <w:b w:val="1"/>
          <w:bCs w:val="1"/>
          <w:color w:val="auto"/>
        </w:rPr>
        <w:t>MATERIAL AND (II) WOULD BE COMPETITIVELY HARMFUL IF PUBLICLY DISCLOSED. INFORMATION THAT HAS BEEN OMITTED HAS BEEN NOTED IN THIS DOCUMENT WITH A PLACEHOLDER IDENTIFIED BY THE MARK “[***]”.</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2.14</w:t>
      </w:r>
      <w:r>
        <w:rPr>
          <w:sz w:val="20"/>
          <w:szCs w:val="20"/>
          <w:color w:val="auto"/>
        </w:rPr>
        <w:tab/>
      </w:r>
      <w:r>
        <w:rPr>
          <w:rFonts w:ascii="Times New Roman" w:cs="Times New Roman" w:eastAsia="Times New Roman" w:hAnsi="Times New Roman"/>
          <w:sz w:val="18"/>
          <w:szCs w:val="18"/>
          <w:b w:val="1"/>
          <w:bCs w:val="1"/>
          <w:color w:val="auto"/>
        </w:rPr>
        <w:t>Exhibit D (Form of Secured Promissory Note)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Loan Agreement is amended to remove references to the Term [F]</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3.Limitation of Amendment.</w:t>
      </w:r>
    </w:p>
    <w:p>
      <w:pPr>
        <w:spacing w:after="0" w:line="212"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color w:val="auto"/>
        </w:rPr>
        <w:t>The amendments set forth in Section 2 above are effective for the purposes set forth herein and shall be limited precisely as written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be deemed to (a) be a consent to any amendment, waiver or modification of any other term or condition of any Loan Document, or (b) otherwise prejudice any right, remedy or obligation which Lenders or Borrower may now have or may have in the future under or in connection with any Loan Document, as amended hereby.</w:t>
      </w:r>
    </w:p>
    <w:p>
      <w:pPr>
        <w:spacing w:after="0" w:line="184"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3.2 </w:t>
      </w:r>
      <w:r>
        <w:rPr>
          <w:rFonts w:ascii="Times New Roman" w:cs="Times New Roman" w:eastAsia="Times New Roman" w:hAnsi="Times New Roman"/>
          <w:sz w:val="18"/>
          <w:szCs w:val="18"/>
          <w:color w:val="auto"/>
        </w:rPr>
        <w:t>This Amendment shall be construed in connection with and as part of the Loan Documents and all terms, conditions, representations,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warranties, covenants and agreements set forth in the Loan Documents are hereby ratified and confirmed and shall remain in full force and effect.</w:t>
      </w:r>
    </w:p>
    <w:p>
      <w:pPr>
        <w:spacing w:after="0" w:line="15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4.Representations and Warranties. </w:t>
      </w:r>
      <w:r>
        <w:rPr>
          <w:rFonts w:ascii="Times New Roman" w:cs="Times New Roman" w:eastAsia="Times New Roman" w:hAnsi="Times New Roman"/>
          <w:sz w:val="18"/>
          <w:szCs w:val="18"/>
          <w:color w:val="auto"/>
        </w:rPr>
        <w:t>To induce Collateral Agent and the Required Lenders to enter into this Amendment, Borrower hereby represents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warrants to Collateral Agent and the Required Lenders on the date hereof as follows:</w:t>
      </w:r>
    </w:p>
    <w:p>
      <w:pPr>
        <w:spacing w:after="0" w:line="141"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color w:val="auto"/>
        </w:rPr>
        <w:t>Immediately prior to and after giving effect to this Amendment (a) the representations and warranties contained in the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are true, accurate and complete in all material respects as of the date hereof (except to the extent such representations and warranties relate to an earlier date, in which case they are true and correct in all material respects as of such date) and (b) no Event of Default has occurred and is continuing;</w:t>
      </w:r>
    </w:p>
    <w:p>
      <w:pPr>
        <w:spacing w:after="0" w:line="164"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color w:val="auto"/>
        </w:rPr>
        <w:t>Borrower has the corporate power and authority to execute and deliver this Amendment and to perform its obligations under the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as amended by this Amendment;</w:t>
      </w:r>
    </w:p>
    <w:p>
      <w:pPr>
        <w:spacing w:after="0" w:line="167"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4.3 </w:t>
      </w:r>
      <w:r>
        <w:rPr>
          <w:rFonts w:ascii="Times New Roman" w:cs="Times New Roman" w:eastAsia="Times New Roman" w:hAnsi="Times New Roman"/>
          <w:sz w:val="18"/>
          <w:szCs w:val="18"/>
          <w:color w:val="auto"/>
        </w:rPr>
        <w:t>The organizational documents of Borrower delivered to Collateral Agent on the Effective Date, and updated pursuant to subsequent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deliveries by or on behalf of the Borrower to the Collateral Agent, remain true, accurate and complete and have not been amended, supplemented or restated and are and continue to be in full force and effect;</w:t>
      </w:r>
    </w:p>
    <w:p>
      <w:pPr>
        <w:spacing w:after="0" w:line="172"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4.4 </w:t>
      </w:r>
      <w:r>
        <w:rPr>
          <w:rFonts w:ascii="Times New Roman" w:cs="Times New Roman" w:eastAsia="Times New Roman" w:hAnsi="Times New Roman"/>
          <w:sz w:val="18"/>
          <w:szCs w:val="18"/>
          <w:color w:val="auto"/>
        </w:rPr>
        <w:t>The execution and delivery by Borrower of this Amendment and the performance by Borrower of its obligations under the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as amended by this Amendment, do not and will not (i) contravene any material Requirement of Law applicable thereto, (ii) contravene any order, judgment or decree of any Governmental Authority binding on Borrower, (iii) contravene the organizational documents of Borrower, or (iv) constitute an event of default under any material agreement by which Borrower or any of its Subsidiaries, or their respective properties, is bound;</w:t>
      </w:r>
    </w:p>
    <w:p>
      <w:pPr>
        <w:spacing w:after="0" w:line="184"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4.5 </w:t>
      </w:r>
      <w:r>
        <w:rPr>
          <w:rFonts w:ascii="Times New Roman" w:cs="Times New Roman" w:eastAsia="Times New Roman" w:hAnsi="Times New Roman"/>
          <w:sz w:val="18"/>
          <w:szCs w:val="18"/>
          <w:color w:val="auto"/>
        </w:rPr>
        <w:t>The execution and delivery by Borrower of this Amendment and the performance by Borrower of its obligations under the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as amended by this Amendment, do not require any order, consent, approval, license, authorization or validation of, or filing, recording or registration with, or exemption by any Governmental Authority (except such Governmental Approvals which have already been obtained and are in full force and effect) binding on Borrower; and</w:t>
      </w:r>
    </w:p>
    <w:p>
      <w:pPr>
        <w:spacing w:after="0" w:line="170"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4.6 </w:t>
      </w:r>
      <w:r>
        <w:rPr>
          <w:rFonts w:ascii="Times New Roman" w:cs="Times New Roman" w:eastAsia="Times New Roman" w:hAnsi="Times New Roman"/>
          <w:sz w:val="18"/>
          <w:szCs w:val="18"/>
          <w:color w:val="auto"/>
        </w:rPr>
        <w:t>This Amendment has been duly executed and delivered by Borrower and is the binding obligation of Borrower, enforceable against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6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5.Loan Document. </w:t>
      </w:r>
      <w:r>
        <w:rPr>
          <w:rFonts w:ascii="Times New Roman" w:cs="Times New Roman" w:eastAsia="Times New Roman" w:hAnsi="Times New Roman"/>
          <w:sz w:val="18"/>
          <w:szCs w:val="18"/>
          <w:color w:val="auto"/>
        </w:rPr>
        <w:t>Borrower, Lenders and Collateral Agent agree that this Amendment shall be a Loan Document. Except as expressly set forth herein,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Loan Agreement and the other Loan Documents shall continue in full force and effect without alteration</w:t>
      </w:r>
    </w:p>
    <w:p>
      <w:pPr>
        <w:spacing w:after="0" w:line="162" w:lineRule="exact"/>
        <w:rPr>
          <w:sz w:val="20"/>
          <w:szCs w:val="20"/>
          <w:color w:val="auto"/>
        </w:rPr>
      </w:pPr>
    </w:p>
    <w:p>
      <w:pPr>
        <w:ind w:right="1740" w:firstLine="8"/>
        <w:spacing w:after="0" w:line="263" w:lineRule="auto"/>
        <w:tabs>
          <w:tab w:leader="none" w:pos="391" w:val="left"/>
        </w:tabs>
        <w:numPr>
          <w:ilvl w:val="0"/>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confidential information contained in this document, marked by brackets, has been omitted because it is both (i)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2" w:name="page173"/>
    <w:bookmarkEnd w:id="17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HAS BEEN OMITTED BECAUSE IT IS BOTH (I) NOT</w:t>
      </w:r>
    </w:p>
    <w:p>
      <w:pPr>
        <w:spacing w:after="0" w:line="20" w:lineRule="exact"/>
        <w:rPr>
          <w:sz w:val="20"/>
          <w:szCs w:val="20"/>
          <w:color w:val="auto"/>
        </w:rPr>
      </w:pPr>
    </w:p>
    <w:p>
      <w:pPr>
        <w:jc w:val="center"/>
        <w:ind w:right="40"/>
        <w:spacing w:after="0" w:line="258" w:lineRule="auto"/>
        <w:rPr>
          <w:sz w:val="20"/>
          <w:szCs w:val="20"/>
          <w:color w:val="auto"/>
        </w:rPr>
      </w:pPr>
      <w:r>
        <w:rPr>
          <w:rFonts w:ascii="Times New Roman" w:cs="Times New Roman" w:eastAsia="Times New Roman" w:hAnsi="Times New Roman"/>
          <w:sz w:val="18"/>
          <w:szCs w:val="18"/>
          <w:b w:val="1"/>
          <w:bCs w:val="1"/>
          <w:color w:val="auto"/>
        </w:rPr>
        <w:t>MATERIAL AND (II) WOULD BE COMPETITIVELY HARMFUL IF PUBLICLY DISCLOSED. INFORMATION THAT HAS BEEN OMITTED HAS BEEN NOTED IN THIS DOCUMENT WITH A PLACEHOLDER IDENTIFIED BY THE MARK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or amendment. This Amendment and the Loan Documents represent the entire agreement about this subject matter and supersede prior negotiations or agreements.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6.Release by Borrower.</w:t>
      </w:r>
    </w:p>
    <w:p>
      <w:pPr>
        <w:spacing w:after="0" w:line="21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18"/>
          <w:szCs w:val="18"/>
          <w:b w:val="1"/>
          <w:bCs w:val="1"/>
          <w:color w:val="auto"/>
        </w:rPr>
        <w:t>6.1 FOR GOOD AND VALUABLE CONSIDERATION</w:t>
      </w:r>
      <w:r>
        <w:rPr>
          <w:rFonts w:ascii="Times New Roman" w:cs="Times New Roman" w:eastAsia="Times New Roman" w:hAnsi="Times New Roman"/>
          <w:sz w:val="18"/>
          <w:szCs w:val="18"/>
          <w:color w:val="auto"/>
        </w:rPr>
        <w:t>, Borrower hereby forever relieves, releases, and discharges Collateral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each Lender and their respective present or former employees, officers, directors, agents, representatives, attorneys, and each of them, from any and all claims, debts, liabilities, demands, obligations, promises, acts, agreements, costs and expenses, actions and causes of action, of every type, kind, nature, description or character whatsoever, whether known or unknown, suspected or unsuspected, absolute or contingent, arising out of or in any manner whatsoever connected with or related to facts, circumstances, issues, controversies or claims existing or arising from the beginning of time through and including the date of execution of this Amendment solely to the extent such claims arise out of or are in any manner whatsoever connected with or related to the Loan Documents, the Recitals hereto, any instruments, agreements or documents executed in connection with any of the foregoing or the origination, negotiation, administration, servicing and/or enforcement of any of the foregoing (collectively “</w:t>
      </w:r>
      <w:r>
        <w:rPr>
          <w:rFonts w:ascii="Times New Roman" w:cs="Times New Roman" w:eastAsia="Times New Roman" w:hAnsi="Times New Roman"/>
          <w:sz w:val="18"/>
          <w:szCs w:val="18"/>
          <w:b w:val="1"/>
          <w:bCs w:val="1"/>
          <w:color w:val="auto"/>
        </w:rPr>
        <w:t>Released Claims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6.2 </w:t>
      </w:r>
      <w:r>
        <w:rPr>
          <w:rFonts w:ascii="Times New Roman" w:cs="Times New Roman" w:eastAsia="Times New Roman" w:hAnsi="Times New Roman"/>
          <w:sz w:val="18"/>
          <w:szCs w:val="18"/>
          <w:color w:val="auto"/>
        </w:rPr>
        <w:t>In furtherance of this release, Borrower expressly acknowledges and waives the provisions of California Civil Code Section 1542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similar provision under the laws of any state), which states:</w:t>
      </w:r>
    </w:p>
    <w:p>
      <w:pPr>
        <w:spacing w:after="0" w:line="171" w:lineRule="exact"/>
        <w:rPr>
          <w:sz w:val="20"/>
          <w:szCs w:val="20"/>
          <w:color w:val="auto"/>
        </w:rPr>
      </w:pPr>
    </w:p>
    <w:p>
      <w:pPr>
        <w:jc w:val="both"/>
        <w:ind w:left="760" w:right="760"/>
        <w:spacing w:after="0" w:line="250" w:lineRule="auto"/>
        <w:rPr>
          <w:sz w:val="20"/>
          <w:szCs w:val="20"/>
          <w:color w:val="auto"/>
        </w:rPr>
      </w:pPr>
      <w:r>
        <w:rPr>
          <w:rFonts w:ascii="Times New Roman" w:cs="Times New Roman" w:eastAsia="Times New Roman" w:hAnsi="Times New Roman"/>
          <w:sz w:val="18"/>
          <w:szCs w:val="18"/>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6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18"/>
          <w:szCs w:val="18"/>
          <w:b w:val="1"/>
          <w:bCs w:val="1"/>
          <w:color w:val="auto"/>
        </w:rPr>
        <w:t xml:space="preserve">6.3 </w:t>
      </w:r>
      <w:r>
        <w:rPr>
          <w:rFonts w:ascii="Times New Roman" w:cs="Times New Roman" w:eastAsia="Times New Roman" w:hAnsi="Times New Roman"/>
          <w:sz w:val="18"/>
          <w:szCs w:val="18"/>
          <w:color w:val="auto"/>
        </w:rPr>
        <w:t>By entering into this release, Borrower recognizes that no facts or representations are ever absolutely certain and it may hereafter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discover facts in addition to or different from those which it presently knows or believes to be true, but that it is the intention of Borrower hereby to fully, finally and forever settle and release all matters, disputes and differences, known or unknown, suspected or unsuspected in relation to the Released Claims; accordingly, if Borrower should subsequently discover that any fact that it relied upon in entering into this release was untrue, or that any understanding of the facts was incorrect, Borrower shall not be entitled to set aside this release by reason thereof, regardless of any claim of mistake of fact or law or any other circumstances whatsoever. Borrower acknowledges that it is not relying upon and has not relied upon any representation or statement made by Collateral Agent or Lenders with respect to the facts underlying this release or with regard to any of such party’s rights or asserted rights.</w:t>
      </w:r>
    </w:p>
    <w:p>
      <w:pPr>
        <w:spacing w:after="0" w:line="175"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6.4 </w:t>
      </w:r>
      <w:r>
        <w:rPr>
          <w:rFonts w:ascii="Times New Roman" w:cs="Times New Roman" w:eastAsia="Times New Roman" w:hAnsi="Times New Roman"/>
          <w:sz w:val="18"/>
          <w:szCs w:val="18"/>
          <w:color w:val="auto"/>
        </w:rPr>
        <w:t>This release may be pleaded as a full and complete defense and/or as a cross-complaint or counterclaim against any action, suit,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proceeding that may be instituted, prosecuted or attempted in breach of this release. Borrower acknowledges that the release contained herein constitutes a material inducement to Collateral Agent and the Lenders to enter into this Amendment, and that Collateral Agent and the Lenders would not have done so but for Collateral Agent’s and the Lenders’ expectation that such release is valid and enforceable in all events.</w:t>
      </w:r>
    </w:p>
    <w:p>
      <w:pPr>
        <w:spacing w:after="0" w:line="1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7.Effectiveness</w:t>
      </w:r>
      <w:r>
        <w:rPr>
          <w:rFonts w:ascii="Times New Roman" w:cs="Times New Roman" w:eastAsia="Times New Roman" w:hAnsi="Times New Roman"/>
          <w:sz w:val="18"/>
          <w:szCs w:val="18"/>
          <w:color w:val="auto"/>
        </w:rPr>
        <w:t>. This Amendment is contingent upon, and shall be deemed effective as of the date hereof, upon the satisfaction of each of the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(a) the Collateral Agent’s receipt of this Amendment duly executed by Borrower, the Collateral Agent and each Lender, (b) the Collateral Agent’s receipt of duly executed updated Perfection Certificates for Borrower and each of its</w:t>
      </w:r>
    </w:p>
    <w:p>
      <w:pPr>
        <w:spacing w:after="0" w:line="180" w:lineRule="exact"/>
        <w:rPr>
          <w:sz w:val="20"/>
          <w:szCs w:val="20"/>
          <w:color w:val="auto"/>
        </w:rPr>
      </w:pPr>
    </w:p>
    <w:p>
      <w:pPr>
        <w:ind w:right="1740" w:firstLine="8"/>
        <w:spacing w:after="0" w:line="263" w:lineRule="auto"/>
        <w:tabs>
          <w:tab w:leader="none" w:pos="391"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confidential information contained in this document, marked by brackets, has been omitted because it is both (i)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3" w:name="page174"/>
    <w:bookmarkEnd w:id="17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HAS BEEN OMITTED BECAUSE IT IS BOTH (I) NOT</w:t>
      </w:r>
    </w:p>
    <w:p>
      <w:pPr>
        <w:spacing w:after="0" w:line="20" w:lineRule="exact"/>
        <w:rPr>
          <w:sz w:val="20"/>
          <w:szCs w:val="20"/>
          <w:color w:val="auto"/>
        </w:rPr>
      </w:pPr>
    </w:p>
    <w:p>
      <w:pPr>
        <w:jc w:val="center"/>
        <w:ind w:right="40"/>
        <w:spacing w:after="0" w:line="258" w:lineRule="auto"/>
        <w:rPr>
          <w:sz w:val="20"/>
          <w:szCs w:val="20"/>
          <w:color w:val="auto"/>
        </w:rPr>
      </w:pPr>
      <w:r>
        <w:rPr>
          <w:rFonts w:ascii="Times New Roman" w:cs="Times New Roman" w:eastAsia="Times New Roman" w:hAnsi="Times New Roman"/>
          <w:sz w:val="18"/>
          <w:szCs w:val="18"/>
          <w:b w:val="1"/>
          <w:bCs w:val="1"/>
          <w:color w:val="auto"/>
        </w:rPr>
        <w:t>MATERIAL AND (II) WOULD BE COMPETITIVELY HARMFUL IF PUBLICLY DISCLOSED. INFORMATION THAT HAS BEEN OMITTED HAS BEEN NOTED IN THIS DOCUMENT WITH A PLACEHOLDER IDENTIFIED BY THE MARK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Subsidiaries, (c) Collateral Agent’s receipt of a Corporate Borrowing Certificate duly executed by Borrower, and (d) Collateral Agent’s receipt of the Second Amendment Fee.</w:t>
      </w:r>
    </w:p>
    <w:p>
      <w:pPr>
        <w:spacing w:after="0" w:line="15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8.Counterparts. </w:t>
      </w:r>
      <w:r>
        <w:rPr>
          <w:rFonts w:ascii="Times New Roman" w:cs="Times New Roman" w:eastAsia="Times New Roman" w:hAnsi="Times New Roman"/>
          <w:sz w:val="18"/>
          <w:szCs w:val="18"/>
          <w:color w:val="auto"/>
        </w:rPr>
        <w:t>This Amendment may be executed in any number of counterparts, each of which shall be deemed an original, and all of which, taken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shall constitute one and the same instrument. Delivery by electronic transmission (e.g. “.pdf”) of an executed counterpart of this Amendment shall be effective as a manually executed counterpart signature thereof.</w:t>
      </w:r>
    </w:p>
    <w:p>
      <w:pPr>
        <w:spacing w:after="0" w:line="16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9.Governing Law. </w:t>
      </w:r>
      <w:r>
        <w:rPr>
          <w:rFonts w:ascii="Times New Roman" w:cs="Times New Roman" w:eastAsia="Times New Roman" w:hAnsi="Times New Roman"/>
          <w:sz w:val="18"/>
          <w:szCs w:val="18"/>
          <w:color w:val="auto"/>
        </w:rPr>
        <w:t>This Amendment and the rights and obligations of the parties hereto shall be governed by and construed in accordance with the laws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State of California.</w:t>
      </w:r>
    </w:p>
    <w:p>
      <w:pPr>
        <w:spacing w:after="0" w:line="1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10.Conformed Loan and Security Agreement. </w:t>
      </w:r>
      <w:r>
        <w:rPr>
          <w:rFonts w:ascii="Times New Roman" w:cs="Times New Roman" w:eastAsia="Times New Roman" w:hAnsi="Times New Roman"/>
          <w:sz w:val="18"/>
          <w:szCs w:val="18"/>
          <w:color w:val="auto"/>
        </w:rPr>
        <w:t>A conformed, marked copy of the Loan Agreement, inclusive of the amendments to the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pursuant to this Amendment and the First Amendment, is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for convenience only and the parties agree that no party shall rely on such conformed, marked copy.</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Balance of Page Intentionally Left Blank</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Second Amendment to Loan and Security Agreement to be executed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first set forth above.</w:t>
      </w:r>
    </w:p>
    <w:p>
      <w:pPr>
        <w:spacing w:after="0" w:line="1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RXSIGHT, INC.</w:t>
      </w:r>
    </w:p>
    <w:p>
      <w:pPr>
        <w:spacing w:after="0" w:line="200" w:lineRule="exact"/>
        <w:rPr>
          <w:sz w:val="20"/>
          <w:szCs w:val="20"/>
          <w:color w:val="auto"/>
        </w:rPr>
      </w:pPr>
    </w:p>
    <w:p>
      <w:pPr>
        <w:spacing w:after="0" w:line="2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/s/ Shelley B. Thunen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9184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Name: Shelley B. Thunen</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Title: CFO</w:t>
      </w:r>
    </w:p>
    <w:p>
      <w:pPr>
        <w:spacing w:after="0" w:line="200" w:lineRule="exact"/>
        <w:rPr>
          <w:sz w:val="20"/>
          <w:szCs w:val="20"/>
          <w:color w:val="auto"/>
        </w:rPr>
      </w:pP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COLLATERAL AGENT AND LENDER:</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OXFORD FINANCE LLC</w:t>
      </w:r>
    </w:p>
    <w:p>
      <w:pPr>
        <w:spacing w:after="0" w:line="200" w:lineRule="exact"/>
        <w:rPr>
          <w:sz w:val="20"/>
          <w:szCs w:val="20"/>
          <w:color w:val="auto"/>
        </w:rPr>
      </w:pPr>
    </w:p>
    <w:p>
      <w:pPr>
        <w:spacing w:after="0" w:line="2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/s/ Colette H. Featherly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9184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Name: Colette H. Featherly</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740" w:firstLine="8"/>
        <w:spacing w:after="0" w:line="263" w:lineRule="auto"/>
        <w:tabs>
          <w:tab w:leader="none" w:pos="391"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confidential information contained in this document, marked by brackets, has been omitted because it is both (i)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4" w:name="page175"/>
    <w:bookmarkEnd w:id="174"/>
    <w:p>
      <w:pPr>
        <w:jc w:val="center"/>
        <w:ind w:right="-71"/>
        <w:spacing w:after="0"/>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HAS BEEN OMITTED BECAUSE IT IS BOTH (I) NOT</w:t>
      </w:r>
    </w:p>
    <w:p>
      <w:pPr>
        <w:spacing w:after="0" w:line="31" w:lineRule="exact"/>
        <w:rPr>
          <w:sz w:val="20"/>
          <w:szCs w:val="20"/>
          <w:color w:val="auto"/>
        </w:rPr>
      </w:pPr>
    </w:p>
    <w:p>
      <w:pPr>
        <w:jc w:val="center"/>
        <w:ind w:left="400" w:right="280"/>
        <w:spacing w:after="0" w:line="258" w:lineRule="auto"/>
        <w:rPr>
          <w:sz w:val="20"/>
          <w:szCs w:val="20"/>
          <w:color w:val="auto"/>
        </w:rPr>
      </w:pPr>
      <w:r>
        <w:rPr>
          <w:rFonts w:ascii="Times New Roman" w:cs="Times New Roman" w:eastAsia="Times New Roman" w:hAnsi="Times New Roman"/>
          <w:sz w:val="18"/>
          <w:szCs w:val="18"/>
          <w:b w:val="1"/>
          <w:bCs w:val="1"/>
          <w:color w:val="auto"/>
        </w:rPr>
        <w:t>MATERIAL AND (II) WOULD BE COMPETITIVELY HARMFUL IF PUBLICLY DISCLOSED. INFORMATION THAT HAS BEEN OMITTED HAS BEEN NOTED IN THIS DOCUMENT WITH A PLACEHOLDER IDENTIFIED BY THE MARK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11"/>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Signature Page to Second Amendment to Loan and Security Agreement</w:t>
      </w:r>
      <w:r>
        <w:rPr>
          <w:rFonts w:ascii="Times New Roman" w:cs="Times New Roman" w:eastAsia="Times New Roman" w:hAnsi="Times New Roman"/>
          <w:sz w:val="18"/>
          <w:szCs w:val="18"/>
          <w:b w:val="1"/>
          <w:bCs w:val="1"/>
          <w:color w:val="auto"/>
        </w:rPr>
        <w:t>]</w:t>
      </w:r>
    </w:p>
    <w:p>
      <w:pPr>
        <w:spacing w:after="0" w:line="342" w:lineRule="exact"/>
        <w:rPr>
          <w:sz w:val="20"/>
          <w:szCs w:val="20"/>
          <w:color w:val="auto"/>
        </w:rPr>
      </w:pPr>
    </w:p>
    <w:p>
      <w:pPr>
        <w:ind w:left="-8" w:right="1620" w:firstLine="8"/>
        <w:spacing w:after="0" w:line="280" w:lineRule="auto"/>
        <w:tabs>
          <w:tab w:leader="none" w:pos="383"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confidential information contained in this document, marked by brackets, has been omitted because it is both (i)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40640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12"/>
          </w:cols>
          <w:pgMar w:left="328" w:top="117" w:right="459" w:bottom="1440" w:gutter="0" w:footer="0" w:header="0"/>
        </w:sectPr>
      </w:pPr>
    </w:p>
    <w:bookmarkStart w:id="175" w:name="page176"/>
    <w:bookmarkEnd w:id="17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HAS BEEN OMITTED BECAUSE IT IS BOTH (I) NOT</w:t>
      </w:r>
    </w:p>
    <w:p>
      <w:pPr>
        <w:spacing w:after="0" w:line="20" w:lineRule="exact"/>
        <w:rPr>
          <w:sz w:val="20"/>
          <w:szCs w:val="20"/>
          <w:color w:val="auto"/>
        </w:rPr>
      </w:pPr>
    </w:p>
    <w:p>
      <w:pPr>
        <w:jc w:val="center"/>
        <w:ind w:right="40"/>
        <w:spacing w:after="0" w:line="258" w:lineRule="auto"/>
        <w:rPr>
          <w:sz w:val="20"/>
          <w:szCs w:val="20"/>
          <w:color w:val="auto"/>
        </w:rPr>
      </w:pPr>
      <w:r>
        <w:rPr>
          <w:rFonts w:ascii="Times New Roman" w:cs="Times New Roman" w:eastAsia="Times New Roman" w:hAnsi="Times New Roman"/>
          <w:sz w:val="18"/>
          <w:szCs w:val="18"/>
          <w:b w:val="1"/>
          <w:bCs w:val="1"/>
          <w:color w:val="auto"/>
        </w:rPr>
        <w:t>MATERIAL AND (II) WOULD BE COMPETITIVELY HARMFUL IF PUBLICLY DISCLOSED. INFORMATION THAT HAS BEEN OMITTED HAS BEEN NOTED IN THIS DOCUMENT WITH A PLACEHOLDER IDENTIFIED BY THE MARK “[***]”.</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Lenders and Commitments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 A Loans</w:t>
      </w:r>
    </w:p>
    <w:p>
      <w:pPr>
        <w:spacing w:after="0" w:line="31"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38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Lender</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Term Loan Commitment</w:t>
            </w:r>
          </w:p>
        </w:tc>
        <w:tc>
          <w:tcPr>
            <w:tcW w:w="3740" w:type="dxa"/>
            <w:vAlign w:val="bottom"/>
            <w:tcBorders>
              <w:top w:val="single" w:sz="8" w:color="auto"/>
              <w:bottom w:val="single" w:sz="8" w:color="auto"/>
              <w:right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Commitment Percentage</w:t>
            </w:r>
          </w:p>
        </w:tc>
      </w:tr>
      <w:tr>
        <w:trPr>
          <w:trHeight w:val="209"/>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OXFORD FINANCE LLC</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$25,000,000.00</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100.00%</w:t>
            </w:r>
          </w:p>
        </w:tc>
      </w:tr>
      <w:tr>
        <w:trPr>
          <w:trHeight w:val="210"/>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TOTAL</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$25,000,000.00</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100.00%</w:t>
            </w:r>
          </w:p>
        </w:tc>
      </w:tr>
      <w:tr>
        <w:trPr>
          <w:trHeight w:val="429"/>
        </w:trPr>
        <w:tc>
          <w:tcPr>
            <w:tcW w:w="38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Term B Loans</w:t>
            </w:r>
          </w:p>
        </w:tc>
        <w:tc>
          <w:tcPr>
            <w:tcW w:w="3740" w:type="dxa"/>
            <w:vAlign w:val="bottom"/>
            <w:tcBorders>
              <w:bottom w:val="single" w:sz="8" w:color="auto"/>
            </w:tcBorders>
          </w:tcPr>
          <w:p>
            <w:pPr>
              <w:spacing w:after="0"/>
              <w:rPr>
                <w:sz w:val="24"/>
                <w:szCs w:val="24"/>
                <w:color w:val="auto"/>
              </w:rPr>
            </w:pPr>
          </w:p>
        </w:tc>
      </w:tr>
      <w:tr>
        <w:trPr>
          <w:trHeight w:val="209"/>
        </w:trPr>
        <w:tc>
          <w:tcPr>
            <w:tcW w:w="3800" w:type="dxa"/>
            <w:vAlign w:val="bottom"/>
            <w:tcBorders>
              <w:left w:val="single" w:sz="8" w:color="auto"/>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Lender</w:t>
            </w:r>
          </w:p>
        </w:tc>
        <w:tc>
          <w:tcPr>
            <w:tcW w:w="370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Term Loan Commitment</w:t>
            </w:r>
          </w:p>
        </w:tc>
        <w:tc>
          <w:tcPr>
            <w:tcW w:w="3740" w:type="dxa"/>
            <w:vAlign w:val="bottom"/>
            <w:tcBorders>
              <w:bottom w:val="single" w:sz="8" w:color="auto"/>
              <w:right w:val="single" w:sz="8" w:color="auto"/>
            </w:tcBorders>
          </w:tcPr>
          <w:p>
            <w:pPr>
              <w:ind w:left="900"/>
              <w:spacing w:after="0" w:line="189" w:lineRule="exact"/>
              <w:rPr>
                <w:sz w:val="20"/>
                <w:szCs w:val="20"/>
                <w:color w:val="auto"/>
              </w:rPr>
            </w:pPr>
            <w:r>
              <w:rPr>
                <w:rFonts w:ascii="Times New Roman" w:cs="Times New Roman" w:eastAsia="Times New Roman" w:hAnsi="Times New Roman"/>
                <w:sz w:val="18"/>
                <w:szCs w:val="18"/>
                <w:b w:val="1"/>
                <w:bCs w:val="1"/>
                <w:color w:val="auto"/>
              </w:rPr>
              <w:t>Commitment Percentage</w:t>
            </w:r>
          </w:p>
        </w:tc>
      </w:tr>
      <w:tr>
        <w:trPr>
          <w:trHeight w:val="193"/>
        </w:trPr>
        <w:tc>
          <w:tcPr>
            <w:tcW w:w="380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OXFORD FINANCE LLC</w:t>
            </w:r>
          </w:p>
        </w:tc>
        <w:tc>
          <w:tcPr>
            <w:tcW w:w="37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$5,000,000.00</w:t>
            </w:r>
          </w:p>
        </w:tc>
        <w:tc>
          <w:tcPr>
            <w:tcW w:w="37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100.00%</w:t>
            </w:r>
          </w:p>
        </w:tc>
      </w:tr>
      <w:tr>
        <w:trPr>
          <w:trHeight w:val="209"/>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TOTAL</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$5,000,000.00</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100.00%</w:t>
            </w:r>
          </w:p>
        </w:tc>
      </w:tr>
      <w:tr>
        <w:trPr>
          <w:trHeight w:val="398"/>
        </w:trPr>
        <w:tc>
          <w:tcPr>
            <w:tcW w:w="38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Term C Loans</w:t>
            </w:r>
          </w:p>
        </w:tc>
        <w:tc>
          <w:tcPr>
            <w:tcW w:w="3740" w:type="dxa"/>
            <w:vAlign w:val="bottom"/>
            <w:tcBorders>
              <w:bottom w:val="single" w:sz="8" w:color="auto"/>
            </w:tcBorders>
          </w:tcPr>
          <w:p>
            <w:pPr>
              <w:spacing w:after="0"/>
              <w:rPr>
                <w:sz w:val="24"/>
                <w:szCs w:val="24"/>
                <w:color w:val="auto"/>
              </w:rPr>
            </w:pPr>
          </w:p>
        </w:tc>
      </w:tr>
      <w:tr>
        <w:trPr>
          <w:trHeight w:val="210"/>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Lender</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Term Loan Commitment</w:t>
            </w:r>
          </w:p>
        </w:tc>
        <w:tc>
          <w:tcPr>
            <w:tcW w:w="3740" w:type="dxa"/>
            <w:vAlign w:val="bottom"/>
            <w:tcBorders>
              <w:bottom w:val="single" w:sz="8" w:color="auto"/>
              <w:right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Commitment Percentage</w:t>
            </w:r>
          </w:p>
        </w:tc>
      </w:tr>
      <w:tr>
        <w:trPr>
          <w:trHeight w:val="209"/>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OXFORD FINANCE LLC</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$10,000,000.00</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100.00%</w:t>
            </w:r>
          </w:p>
        </w:tc>
      </w:tr>
      <w:tr>
        <w:trPr>
          <w:trHeight w:val="210"/>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TOTAL</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$10,000,000.00</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100.00%</w:t>
            </w:r>
          </w:p>
        </w:tc>
      </w:tr>
      <w:tr>
        <w:trPr>
          <w:trHeight w:val="469"/>
        </w:trPr>
        <w:tc>
          <w:tcPr>
            <w:tcW w:w="38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Term D Loans</w:t>
            </w:r>
          </w:p>
        </w:tc>
        <w:tc>
          <w:tcPr>
            <w:tcW w:w="3740" w:type="dxa"/>
            <w:vAlign w:val="bottom"/>
            <w:tcBorders>
              <w:bottom w:val="single" w:sz="8" w:color="auto"/>
            </w:tcBorders>
          </w:tcPr>
          <w:p>
            <w:pPr>
              <w:spacing w:after="0"/>
              <w:rPr>
                <w:sz w:val="24"/>
                <w:szCs w:val="24"/>
                <w:color w:val="auto"/>
              </w:rPr>
            </w:pPr>
          </w:p>
        </w:tc>
      </w:tr>
      <w:tr>
        <w:trPr>
          <w:trHeight w:val="210"/>
        </w:trPr>
        <w:tc>
          <w:tcPr>
            <w:tcW w:w="3800" w:type="dxa"/>
            <w:vAlign w:val="bottom"/>
            <w:tcBorders>
              <w:left w:val="single" w:sz="8" w:color="auto"/>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Lender</w:t>
            </w:r>
          </w:p>
        </w:tc>
        <w:tc>
          <w:tcPr>
            <w:tcW w:w="370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Term Loan Commitment</w:t>
            </w:r>
          </w:p>
        </w:tc>
        <w:tc>
          <w:tcPr>
            <w:tcW w:w="3740" w:type="dxa"/>
            <w:vAlign w:val="bottom"/>
            <w:tcBorders>
              <w:bottom w:val="single" w:sz="8" w:color="auto"/>
              <w:right w:val="single" w:sz="8" w:color="auto"/>
            </w:tcBorders>
          </w:tcPr>
          <w:p>
            <w:pPr>
              <w:ind w:left="900"/>
              <w:spacing w:after="0" w:line="189" w:lineRule="exact"/>
              <w:rPr>
                <w:sz w:val="20"/>
                <w:szCs w:val="20"/>
                <w:color w:val="auto"/>
              </w:rPr>
            </w:pPr>
            <w:r>
              <w:rPr>
                <w:rFonts w:ascii="Times New Roman" w:cs="Times New Roman" w:eastAsia="Times New Roman" w:hAnsi="Times New Roman"/>
                <w:sz w:val="18"/>
                <w:szCs w:val="18"/>
                <w:b w:val="1"/>
                <w:bCs w:val="1"/>
                <w:color w:val="auto"/>
              </w:rPr>
              <w:t>Commitment Percentage</w:t>
            </w:r>
          </w:p>
        </w:tc>
      </w:tr>
      <w:tr>
        <w:trPr>
          <w:trHeight w:val="193"/>
        </w:trPr>
        <w:tc>
          <w:tcPr>
            <w:tcW w:w="380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OXFORD FINANCE LLC</w:t>
            </w:r>
          </w:p>
        </w:tc>
        <w:tc>
          <w:tcPr>
            <w:tcW w:w="37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$10,000,000.00</w:t>
            </w:r>
          </w:p>
        </w:tc>
        <w:tc>
          <w:tcPr>
            <w:tcW w:w="37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100.00%</w:t>
            </w:r>
          </w:p>
        </w:tc>
      </w:tr>
      <w:tr>
        <w:trPr>
          <w:trHeight w:val="210"/>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TOTAL</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$10,000,000.00</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100.00%</w:t>
            </w:r>
          </w:p>
        </w:tc>
      </w:tr>
      <w:tr>
        <w:trPr>
          <w:trHeight w:val="399"/>
        </w:trPr>
        <w:tc>
          <w:tcPr>
            <w:tcW w:w="38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Term E Loans</w:t>
            </w:r>
          </w:p>
        </w:tc>
        <w:tc>
          <w:tcPr>
            <w:tcW w:w="3740" w:type="dxa"/>
            <w:vAlign w:val="bottom"/>
            <w:tcBorders>
              <w:bottom w:val="single" w:sz="8" w:color="auto"/>
            </w:tcBorders>
          </w:tcPr>
          <w:p>
            <w:pPr>
              <w:spacing w:after="0"/>
              <w:rPr>
                <w:sz w:val="24"/>
                <w:szCs w:val="24"/>
                <w:color w:val="auto"/>
              </w:rPr>
            </w:pPr>
          </w:p>
        </w:tc>
      </w:tr>
      <w:tr>
        <w:trPr>
          <w:trHeight w:val="210"/>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Lender</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Term Loan Commitment</w:t>
            </w:r>
          </w:p>
        </w:tc>
        <w:tc>
          <w:tcPr>
            <w:tcW w:w="3740" w:type="dxa"/>
            <w:vAlign w:val="bottom"/>
            <w:tcBorders>
              <w:bottom w:val="single" w:sz="8" w:color="auto"/>
              <w:right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Commitment Percentage</w:t>
            </w:r>
          </w:p>
        </w:tc>
      </w:tr>
      <w:tr>
        <w:trPr>
          <w:trHeight w:val="209"/>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OXFORD FINANCE LLC</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$10,000,000.00</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100.00%</w:t>
            </w:r>
          </w:p>
        </w:tc>
      </w:tr>
      <w:tr>
        <w:trPr>
          <w:trHeight w:val="210"/>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TOTAL</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$10,000,000.00</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100.00%</w:t>
            </w:r>
          </w:p>
        </w:tc>
      </w:tr>
      <w:tr>
        <w:trPr>
          <w:trHeight w:val="453"/>
        </w:trPr>
        <w:tc>
          <w:tcPr>
            <w:tcW w:w="38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Aggregate (all Term Loans)</w:t>
            </w:r>
          </w:p>
        </w:tc>
        <w:tc>
          <w:tcPr>
            <w:tcW w:w="3740" w:type="dxa"/>
            <w:vAlign w:val="bottom"/>
            <w:tcBorders>
              <w:bottom w:val="single" w:sz="8" w:color="auto"/>
            </w:tcBorders>
          </w:tcPr>
          <w:p>
            <w:pPr>
              <w:spacing w:after="0"/>
              <w:rPr>
                <w:sz w:val="24"/>
                <w:szCs w:val="24"/>
                <w:color w:val="auto"/>
              </w:rPr>
            </w:pPr>
          </w:p>
        </w:tc>
      </w:tr>
      <w:tr>
        <w:trPr>
          <w:trHeight w:val="210"/>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Lender</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Term Loan Commitment</w:t>
            </w:r>
          </w:p>
        </w:tc>
        <w:tc>
          <w:tcPr>
            <w:tcW w:w="3740" w:type="dxa"/>
            <w:vAlign w:val="bottom"/>
            <w:tcBorders>
              <w:bottom w:val="single" w:sz="8" w:color="auto"/>
              <w:right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Commitment Percentage</w:t>
            </w:r>
          </w:p>
        </w:tc>
      </w:tr>
      <w:tr>
        <w:trPr>
          <w:trHeight w:val="209"/>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OXFORD FINANCE LLC</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$60,000,000.00</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100.00%</w:t>
            </w:r>
          </w:p>
        </w:tc>
      </w:tr>
      <w:tr>
        <w:trPr>
          <w:trHeight w:val="210"/>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TOTAL</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$60,000,000.00</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740" w:firstLine="8"/>
        <w:spacing w:after="0" w:line="280" w:lineRule="auto"/>
        <w:tabs>
          <w:tab w:leader="none" w:pos="391"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confidential information contained in this document, marked by brackets, has been omitted because it is both (i)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6" w:name="page177"/>
    <w:bookmarkEnd w:id="17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HAS BEEN OMITTED BECAUSE IT IS BOTH (I) NOT</w:t>
      </w:r>
    </w:p>
    <w:p>
      <w:pPr>
        <w:spacing w:after="0" w:line="20" w:lineRule="exact"/>
        <w:rPr>
          <w:sz w:val="20"/>
          <w:szCs w:val="20"/>
          <w:color w:val="auto"/>
        </w:rPr>
      </w:pPr>
    </w:p>
    <w:p>
      <w:pPr>
        <w:jc w:val="center"/>
        <w:ind w:right="40"/>
        <w:spacing w:after="0" w:line="258" w:lineRule="auto"/>
        <w:rPr>
          <w:sz w:val="20"/>
          <w:szCs w:val="20"/>
          <w:color w:val="auto"/>
        </w:rPr>
      </w:pPr>
      <w:r>
        <w:rPr>
          <w:rFonts w:ascii="Times New Roman" w:cs="Times New Roman" w:eastAsia="Times New Roman" w:hAnsi="Times New Roman"/>
          <w:sz w:val="18"/>
          <w:szCs w:val="18"/>
          <w:b w:val="1"/>
          <w:bCs w:val="1"/>
          <w:color w:val="auto"/>
        </w:rPr>
        <w:t>MATERIAL AND (II) WOULD BE COMPETITIVELY HARMFUL IF PUBLICLY DISCLOSED. INFORMATION THAT HAS BEEN OMITTED HAS BEEN NOTED IN THIS DOCUMENT WITH A PLACEHOLDER IDENTIFIED BY THE MARK “[***]”.</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320" w:type="dxa"/>
            <w:vAlign w:val="bottom"/>
            <w:gridSpan w:val="6"/>
          </w:tcPr>
          <w:p>
            <w:pPr>
              <w:ind w:left="340"/>
              <w:spacing w:after="0"/>
              <w:rPr>
                <w:sz w:val="20"/>
                <w:szCs w:val="20"/>
                <w:color w:val="auto"/>
              </w:rPr>
            </w:pPr>
            <w:r>
              <w:rPr>
                <w:rFonts w:ascii="Times New Roman" w:cs="Times New Roman" w:eastAsia="Times New Roman" w:hAnsi="Times New Roman"/>
                <w:sz w:val="18"/>
                <w:szCs w:val="18"/>
                <w:b w:val="1"/>
                <w:bCs w:val="1"/>
                <w:color w:val="auto"/>
              </w:rPr>
              <w:t>SCHEDULE 6.10(a)</w:t>
            </w:r>
          </w:p>
        </w:tc>
        <w:tc>
          <w:tcPr>
            <w:tcW w:w="5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64"/>
        </w:trPr>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3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Performance to Plan Revenue</w:t>
            </w: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60"/>
        </w:trPr>
        <w:tc>
          <w:tcPr>
            <w:tcW w:w="9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r>
      <w:tr>
        <w:trPr>
          <w:trHeight w:val="132"/>
        </w:trPr>
        <w:tc>
          <w:tcPr>
            <w:tcW w:w="900" w:type="dxa"/>
            <w:vAlign w:val="bottom"/>
            <w:tcBorders>
              <w:left w:val="single" w:sz="8" w:color="auto"/>
            </w:tcBorders>
          </w:tcPr>
          <w:p>
            <w:pPr>
              <w:spacing w:after="0"/>
              <w:rPr>
                <w:sz w:val="11"/>
                <w:szCs w:val="11"/>
                <w:color w:val="auto"/>
              </w:rPr>
            </w:pPr>
          </w:p>
        </w:tc>
        <w:tc>
          <w:tcPr>
            <w:tcW w:w="1540" w:type="dxa"/>
            <w:vAlign w:val="bottom"/>
            <w:tcBorders>
              <w:right w:val="single" w:sz="8" w:color="auto"/>
            </w:tcBorders>
            <w:gridSpan w:val="2"/>
          </w:tcPr>
          <w:p>
            <w:pPr>
              <w:jc w:val="center"/>
              <w:ind w:right="900"/>
              <w:spacing w:after="0" w:line="133" w:lineRule="exact"/>
              <w:rPr>
                <w:sz w:val="20"/>
                <w:szCs w:val="20"/>
                <w:color w:val="auto"/>
              </w:rPr>
            </w:pPr>
            <w:r>
              <w:rPr>
                <w:rFonts w:ascii="Times New Roman" w:cs="Times New Roman" w:eastAsia="Times New Roman" w:hAnsi="Times New Roman"/>
                <w:sz w:val="15"/>
                <w:szCs w:val="15"/>
                <w:b w:val="1"/>
                <w:bCs w:val="1"/>
                <w:color w:val="auto"/>
              </w:rPr>
              <w:t>Quarter</w:t>
            </w:r>
          </w:p>
        </w:tc>
        <w:tc>
          <w:tcPr>
            <w:tcW w:w="420" w:type="dxa"/>
            <w:vAlign w:val="bottom"/>
          </w:tcPr>
          <w:p>
            <w:pPr>
              <w:spacing w:after="0"/>
              <w:rPr>
                <w:sz w:val="11"/>
                <w:szCs w:val="11"/>
                <w:color w:val="auto"/>
              </w:rPr>
            </w:pPr>
          </w:p>
        </w:tc>
        <w:tc>
          <w:tcPr>
            <w:tcW w:w="3040" w:type="dxa"/>
            <w:vAlign w:val="bottom"/>
            <w:tcBorders>
              <w:right w:val="single" w:sz="8" w:color="auto"/>
            </w:tcBorders>
            <w:gridSpan w:val="3"/>
          </w:tcPr>
          <w:p>
            <w:pPr>
              <w:jc w:val="center"/>
              <w:ind w:right="460"/>
              <w:spacing w:after="0" w:line="133" w:lineRule="exact"/>
              <w:rPr>
                <w:sz w:val="20"/>
                <w:szCs w:val="20"/>
                <w:color w:val="auto"/>
              </w:rPr>
            </w:pPr>
            <w:r>
              <w:rPr>
                <w:rFonts w:ascii="Times New Roman" w:cs="Times New Roman" w:eastAsia="Times New Roman" w:hAnsi="Times New Roman"/>
                <w:sz w:val="15"/>
                <w:szCs w:val="15"/>
                <w:b w:val="1"/>
                <w:bCs w:val="1"/>
                <w:color w:val="auto"/>
              </w:rPr>
              <w:t>Trailing Twelve Months Revenue</w:t>
            </w:r>
          </w:p>
        </w:tc>
        <w:tc>
          <w:tcPr>
            <w:tcW w:w="120" w:type="dxa"/>
            <w:vAlign w:val="bottom"/>
          </w:tcPr>
          <w:p>
            <w:pPr>
              <w:spacing w:after="0"/>
              <w:rPr>
                <w:sz w:val="11"/>
                <w:szCs w:val="11"/>
                <w:color w:val="auto"/>
              </w:rPr>
            </w:pPr>
          </w:p>
        </w:tc>
        <w:tc>
          <w:tcPr>
            <w:tcW w:w="1780" w:type="dxa"/>
            <w:vAlign w:val="bottom"/>
            <w:tcBorders>
              <w:right w:val="single" w:sz="8" w:color="auto"/>
            </w:tcBorders>
            <w:gridSpan w:val="3"/>
          </w:tcPr>
          <w:p>
            <w:pPr>
              <w:jc w:val="center"/>
              <w:ind w:right="160"/>
              <w:spacing w:after="0" w:line="133" w:lineRule="exact"/>
              <w:rPr>
                <w:sz w:val="20"/>
                <w:szCs w:val="20"/>
                <w:color w:val="auto"/>
              </w:rPr>
            </w:pPr>
            <w:r>
              <w:rPr>
                <w:rFonts w:ascii="Times New Roman" w:cs="Times New Roman" w:eastAsia="Times New Roman" w:hAnsi="Times New Roman"/>
                <w:sz w:val="15"/>
                <w:szCs w:val="15"/>
                <w:b w:val="1"/>
                <w:bCs w:val="1"/>
                <w:color w:val="auto"/>
              </w:rPr>
              <w:t>Required Percentage</w:t>
            </w:r>
          </w:p>
        </w:tc>
        <w:tc>
          <w:tcPr>
            <w:tcW w:w="3440" w:type="dxa"/>
            <w:vAlign w:val="bottom"/>
            <w:tcBorders>
              <w:right w:val="single" w:sz="8" w:color="auto"/>
            </w:tcBorders>
            <w:gridSpan w:val="3"/>
          </w:tcPr>
          <w:p>
            <w:pPr>
              <w:jc w:val="center"/>
              <w:ind w:right="80"/>
              <w:spacing w:after="0" w:line="133" w:lineRule="exact"/>
              <w:rPr>
                <w:sz w:val="20"/>
                <w:szCs w:val="20"/>
                <w:color w:val="auto"/>
              </w:rPr>
            </w:pPr>
            <w:r>
              <w:rPr>
                <w:rFonts w:ascii="Times New Roman" w:cs="Times New Roman" w:eastAsia="Times New Roman" w:hAnsi="Times New Roman"/>
                <w:sz w:val="15"/>
                <w:szCs w:val="15"/>
                <w:b w:val="1"/>
                <w:bCs w:val="1"/>
                <w:color w:val="auto"/>
              </w:rPr>
              <w:t>Performance to Plan Revenue</w:t>
            </w:r>
          </w:p>
        </w:tc>
      </w:tr>
      <w:tr>
        <w:trPr>
          <w:trHeight w:val="273"/>
        </w:trPr>
        <w:tc>
          <w:tcPr>
            <w:tcW w:w="900" w:type="dxa"/>
            <w:vAlign w:val="bottom"/>
            <w:tcBorders>
              <w:left w:val="single" w:sz="8" w:color="auto"/>
              <w:bottom w:val="single" w:sz="8" w:color="auto"/>
            </w:tcBorders>
          </w:tcPr>
          <w:p>
            <w:pPr>
              <w:spacing w:after="0"/>
              <w:rPr>
                <w:sz w:val="23"/>
                <w:szCs w:val="23"/>
                <w:color w:val="auto"/>
              </w:rPr>
            </w:pPr>
          </w:p>
        </w:tc>
        <w:tc>
          <w:tcPr>
            <w:tcW w:w="640" w:type="dxa"/>
            <w:vAlign w:val="bottom"/>
            <w:tcBorders>
              <w:top w:val="single" w:sz="8" w:color="auto"/>
              <w:bottom w:val="single" w:sz="8" w:color="auto"/>
            </w:tcBorders>
          </w:tcPr>
          <w:p>
            <w:pPr>
              <w:spacing w:after="0"/>
              <w:rPr>
                <w:sz w:val="23"/>
                <w:szCs w:val="23"/>
                <w:color w:val="auto"/>
              </w:rPr>
            </w:pPr>
          </w:p>
        </w:tc>
        <w:tc>
          <w:tcPr>
            <w:tcW w:w="900" w:type="dxa"/>
            <w:vAlign w:val="bottom"/>
            <w:tcBorders>
              <w:bottom w:val="single" w:sz="8" w:color="auto"/>
              <w:right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620" w:type="dxa"/>
            <w:vAlign w:val="bottom"/>
            <w:tcBorders>
              <w:top w:val="single" w:sz="8" w:color="auto"/>
              <w:bottom w:val="single" w:sz="8" w:color="auto"/>
            </w:tcBorders>
          </w:tcPr>
          <w:p>
            <w:pPr>
              <w:spacing w:after="0"/>
              <w:rPr>
                <w:sz w:val="23"/>
                <w:szCs w:val="23"/>
                <w:color w:val="auto"/>
              </w:rPr>
            </w:pPr>
          </w:p>
        </w:tc>
        <w:tc>
          <w:tcPr>
            <w:tcW w:w="960" w:type="dxa"/>
            <w:vAlign w:val="bottom"/>
            <w:tcBorders>
              <w:top w:val="single" w:sz="8" w:color="auto"/>
              <w:bottom w:val="single" w:sz="8" w:color="auto"/>
            </w:tcBorders>
          </w:tcPr>
          <w:p>
            <w:pPr>
              <w:spacing w:after="0"/>
              <w:rPr>
                <w:sz w:val="23"/>
                <w:szCs w:val="23"/>
                <w:color w:val="auto"/>
              </w:rPr>
            </w:pPr>
          </w:p>
        </w:tc>
        <w:tc>
          <w:tcPr>
            <w:tcW w:w="460" w:type="dxa"/>
            <w:vAlign w:val="bottom"/>
            <w:tcBorders>
              <w:bottom w:val="single" w:sz="8" w:color="auto"/>
              <w:right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60" w:type="dxa"/>
            <w:vAlign w:val="bottom"/>
            <w:tcBorders>
              <w:top w:val="single" w:sz="8" w:color="auto"/>
              <w:bottom w:val="single" w:sz="8" w:color="auto"/>
            </w:tcBorders>
          </w:tcPr>
          <w:p>
            <w:pPr>
              <w:spacing w:after="0"/>
              <w:rPr>
                <w:sz w:val="23"/>
                <w:szCs w:val="23"/>
                <w:color w:val="auto"/>
              </w:rPr>
            </w:pPr>
          </w:p>
        </w:tc>
        <w:tc>
          <w:tcPr>
            <w:tcW w:w="860" w:type="dxa"/>
            <w:vAlign w:val="bottom"/>
            <w:tcBorders>
              <w:top w:val="single" w:sz="8" w:color="auto"/>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2280" w:type="dxa"/>
            <w:vAlign w:val="bottom"/>
            <w:tcBorders>
              <w:top w:val="single" w:sz="8" w:color="auto"/>
              <w:bottom w:val="single" w:sz="8" w:color="auto"/>
            </w:tcBorders>
          </w:tcPr>
          <w:p>
            <w:pPr>
              <w:spacing w:after="0"/>
              <w:rPr>
                <w:sz w:val="23"/>
                <w:szCs w:val="23"/>
                <w:color w:val="auto"/>
              </w:rPr>
            </w:pPr>
          </w:p>
        </w:tc>
        <w:tc>
          <w:tcPr>
            <w:tcW w:w="620" w:type="dxa"/>
            <w:vAlign w:val="bottom"/>
            <w:tcBorders>
              <w:bottom w:val="single" w:sz="8" w:color="auto"/>
              <w:right w:val="single" w:sz="8" w:color="auto"/>
            </w:tcBorders>
          </w:tcPr>
          <w:p>
            <w:pPr>
              <w:spacing w:after="0"/>
              <w:rPr>
                <w:sz w:val="23"/>
                <w:szCs w:val="23"/>
                <w:color w:val="auto"/>
              </w:rPr>
            </w:pPr>
          </w:p>
        </w:tc>
      </w:tr>
      <w:tr>
        <w:trPr>
          <w:trHeight w:val="194"/>
        </w:trPr>
        <w:tc>
          <w:tcPr>
            <w:tcW w:w="2440" w:type="dxa"/>
            <w:vAlign w:val="bottom"/>
            <w:tcBorders>
              <w:left w:val="single" w:sz="8" w:color="auto"/>
              <w:right w:val="single" w:sz="8" w:color="auto"/>
            </w:tcBorders>
            <w:gridSpan w:val="3"/>
          </w:tcPr>
          <w:p>
            <w:pPr>
              <w:jc w:val="center"/>
              <w:ind w:right="20"/>
              <w:spacing w:after="0" w:line="195" w:lineRule="exact"/>
              <w:rPr>
                <w:sz w:val="20"/>
                <w:szCs w:val="20"/>
                <w:color w:val="auto"/>
              </w:rPr>
            </w:pPr>
            <w:r>
              <w:rPr>
                <w:rFonts w:ascii="Times New Roman" w:cs="Times New Roman" w:eastAsia="Times New Roman" w:hAnsi="Times New Roman"/>
                <w:sz w:val="18"/>
                <w:szCs w:val="18"/>
                <w:color w:val="auto"/>
                <w:w w:val="99"/>
              </w:rPr>
              <w:t>March 31, 2022</w:t>
            </w:r>
          </w:p>
        </w:tc>
        <w:tc>
          <w:tcPr>
            <w:tcW w:w="2040" w:type="dxa"/>
            <w:vAlign w:val="bottom"/>
            <w:gridSpan w:val="2"/>
          </w:tcPr>
          <w:p>
            <w:pPr>
              <w:jc w:val="center"/>
              <w:ind w:left="1290"/>
              <w:spacing w:after="0" w:line="195" w:lineRule="exact"/>
              <w:rPr>
                <w:sz w:val="20"/>
                <w:szCs w:val="20"/>
                <w:color w:val="auto"/>
              </w:rPr>
            </w:pPr>
            <w:r>
              <w:rPr>
                <w:rFonts w:ascii="Times New Roman" w:cs="Times New Roman" w:eastAsia="Times New Roman" w:hAnsi="Times New Roman"/>
                <w:sz w:val="18"/>
                <w:szCs w:val="18"/>
                <w:color w:val="auto"/>
                <w:w w:val="97"/>
              </w:rPr>
              <w:t>[***]</w:t>
            </w:r>
          </w:p>
        </w:tc>
        <w:tc>
          <w:tcPr>
            <w:tcW w:w="96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1740" w:type="dxa"/>
            <w:vAlign w:val="bottom"/>
            <w:gridSpan w:val="3"/>
          </w:tcPr>
          <w:p>
            <w:pPr>
              <w:jc w:val="center"/>
              <w:ind w:left="30"/>
              <w:spacing w:after="0" w:line="195" w:lineRule="exact"/>
              <w:rPr>
                <w:sz w:val="20"/>
                <w:szCs w:val="20"/>
                <w:color w:val="auto"/>
              </w:rPr>
            </w:pPr>
            <w:r>
              <w:rPr>
                <w:rFonts w:ascii="Times New Roman" w:cs="Times New Roman" w:eastAsia="Times New Roman" w:hAnsi="Times New Roman"/>
                <w:sz w:val="18"/>
                <w:szCs w:val="18"/>
                <w:color w:val="auto"/>
                <w:w w:val="97"/>
              </w:rPr>
              <w:t>[***]</w:t>
            </w:r>
          </w:p>
        </w:tc>
        <w:tc>
          <w:tcPr>
            <w:tcW w:w="160" w:type="dxa"/>
            <w:vAlign w:val="bottom"/>
            <w:tcBorders>
              <w:right w:val="single" w:sz="8" w:color="auto"/>
            </w:tcBorders>
          </w:tcPr>
          <w:p>
            <w:pPr>
              <w:spacing w:after="0"/>
              <w:rPr>
                <w:sz w:val="16"/>
                <w:szCs w:val="16"/>
                <w:color w:val="auto"/>
              </w:rPr>
            </w:pPr>
          </w:p>
        </w:tc>
        <w:tc>
          <w:tcPr>
            <w:tcW w:w="2820" w:type="dxa"/>
            <w:vAlign w:val="bottom"/>
            <w:gridSpan w:val="2"/>
          </w:tcPr>
          <w:p>
            <w:pPr>
              <w:jc w:val="center"/>
              <w:ind w:left="511"/>
              <w:spacing w:after="0" w:line="195" w:lineRule="exact"/>
              <w:rPr>
                <w:sz w:val="20"/>
                <w:szCs w:val="20"/>
                <w:color w:val="auto"/>
              </w:rPr>
            </w:pPr>
            <w:r>
              <w:rPr>
                <w:rFonts w:ascii="Times New Roman" w:cs="Times New Roman" w:eastAsia="Times New Roman" w:hAnsi="Times New Roman"/>
                <w:sz w:val="18"/>
                <w:szCs w:val="18"/>
                <w:color w:val="auto"/>
                <w:w w:val="97"/>
              </w:rPr>
              <w:t>[***]</w:t>
            </w:r>
          </w:p>
        </w:tc>
        <w:tc>
          <w:tcPr>
            <w:tcW w:w="620" w:type="dxa"/>
            <w:vAlign w:val="bottom"/>
            <w:tcBorders>
              <w:right w:val="single" w:sz="8" w:color="auto"/>
            </w:tcBorders>
          </w:tcPr>
          <w:p>
            <w:pPr>
              <w:spacing w:after="0"/>
              <w:rPr>
                <w:sz w:val="16"/>
                <w:szCs w:val="16"/>
                <w:color w:val="auto"/>
              </w:rPr>
            </w:pPr>
          </w:p>
        </w:tc>
      </w:tr>
      <w:tr>
        <w:trPr>
          <w:trHeight w:val="194"/>
        </w:trPr>
        <w:tc>
          <w:tcPr>
            <w:tcW w:w="90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60" w:type="dxa"/>
            <w:vAlign w:val="bottom"/>
            <w:tcBorders>
              <w:bottom w:val="single" w:sz="8" w:color="auto"/>
              <w:right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spacing w:after="0"/>
              <w:rPr>
                <w:sz w:val="16"/>
                <w:szCs w:val="16"/>
                <w:color w:val="auto"/>
              </w:rPr>
            </w:pPr>
          </w:p>
        </w:tc>
        <w:tc>
          <w:tcPr>
            <w:tcW w:w="620" w:type="dxa"/>
            <w:vAlign w:val="bottom"/>
            <w:tcBorders>
              <w:bottom w:val="single" w:sz="8" w:color="auto"/>
              <w:right w:val="single" w:sz="8" w:color="auto"/>
            </w:tcBorders>
          </w:tcPr>
          <w:p>
            <w:pPr>
              <w:spacing w:after="0"/>
              <w:rPr>
                <w:sz w:val="16"/>
                <w:szCs w:val="16"/>
                <w:color w:val="auto"/>
              </w:rPr>
            </w:pPr>
          </w:p>
        </w:tc>
      </w:tr>
      <w:tr>
        <w:trPr>
          <w:trHeight w:val="228"/>
        </w:trPr>
        <w:tc>
          <w:tcPr>
            <w:tcW w:w="24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June 30, 2022</w:t>
            </w:r>
          </w:p>
        </w:tc>
        <w:tc>
          <w:tcPr>
            <w:tcW w:w="2040" w:type="dxa"/>
            <w:vAlign w:val="bottom"/>
            <w:gridSpan w:val="2"/>
          </w:tcPr>
          <w:p>
            <w:pPr>
              <w:jc w:val="center"/>
              <w:ind w:left="1290"/>
              <w:spacing w:after="0"/>
              <w:rPr>
                <w:sz w:val="20"/>
                <w:szCs w:val="20"/>
                <w:color w:val="auto"/>
              </w:rPr>
            </w:pPr>
            <w:r>
              <w:rPr>
                <w:rFonts w:ascii="Times New Roman" w:cs="Times New Roman" w:eastAsia="Times New Roman" w:hAnsi="Times New Roman"/>
                <w:sz w:val="18"/>
                <w:szCs w:val="18"/>
                <w:color w:val="auto"/>
                <w:w w:val="97"/>
              </w:rPr>
              <w:t>[***]</w:t>
            </w:r>
          </w:p>
        </w:tc>
        <w:tc>
          <w:tcPr>
            <w:tcW w:w="960" w:type="dxa"/>
            <w:vAlign w:val="bottom"/>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174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7"/>
              </w:rPr>
              <w:t>[***]</w:t>
            </w:r>
          </w:p>
        </w:tc>
        <w:tc>
          <w:tcPr>
            <w:tcW w:w="160" w:type="dxa"/>
            <w:vAlign w:val="bottom"/>
            <w:tcBorders>
              <w:right w:val="single" w:sz="8" w:color="auto"/>
            </w:tcBorders>
          </w:tcPr>
          <w:p>
            <w:pPr>
              <w:spacing w:after="0"/>
              <w:rPr>
                <w:sz w:val="19"/>
                <w:szCs w:val="19"/>
                <w:color w:val="auto"/>
              </w:rPr>
            </w:pPr>
          </w:p>
        </w:tc>
        <w:tc>
          <w:tcPr>
            <w:tcW w:w="2820" w:type="dxa"/>
            <w:vAlign w:val="bottom"/>
            <w:gridSpan w:val="2"/>
          </w:tcPr>
          <w:p>
            <w:pPr>
              <w:jc w:val="center"/>
              <w:ind w:left="511"/>
              <w:spacing w:after="0"/>
              <w:rPr>
                <w:sz w:val="20"/>
                <w:szCs w:val="20"/>
                <w:color w:val="auto"/>
              </w:rPr>
            </w:pPr>
            <w:r>
              <w:rPr>
                <w:rFonts w:ascii="Times New Roman" w:cs="Times New Roman" w:eastAsia="Times New Roman" w:hAnsi="Times New Roman"/>
                <w:sz w:val="18"/>
                <w:szCs w:val="18"/>
                <w:color w:val="auto"/>
                <w:w w:val="97"/>
              </w:rPr>
              <w:t>[***]</w:t>
            </w:r>
          </w:p>
        </w:tc>
        <w:tc>
          <w:tcPr>
            <w:tcW w:w="620" w:type="dxa"/>
            <w:vAlign w:val="bottom"/>
            <w:tcBorders>
              <w:right w:val="single" w:sz="8" w:color="auto"/>
            </w:tcBorders>
          </w:tcPr>
          <w:p>
            <w:pPr>
              <w:spacing w:after="0"/>
              <w:rPr>
                <w:sz w:val="19"/>
                <w:szCs w:val="19"/>
                <w:color w:val="auto"/>
              </w:rPr>
            </w:pPr>
          </w:p>
        </w:tc>
      </w:tr>
      <w:tr>
        <w:trPr>
          <w:trHeight w:val="198"/>
        </w:trPr>
        <w:tc>
          <w:tcPr>
            <w:tcW w:w="900" w:type="dxa"/>
            <w:vAlign w:val="bottom"/>
            <w:tcBorders>
              <w:left w:val="single" w:sz="8" w:color="auto"/>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r>
      <w:tr>
        <w:trPr>
          <w:trHeight w:val="228"/>
        </w:trPr>
        <w:tc>
          <w:tcPr>
            <w:tcW w:w="24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September 30, 2022</w:t>
            </w:r>
          </w:p>
        </w:tc>
        <w:tc>
          <w:tcPr>
            <w:tcW w:w="2040" w:type="dxa"/>
            <w:vAlign w:val="bottom"/>
            <w:gridSpan w:val="2"/>
          </w:tcPr>
          <w:p>
            <w:pPr>
              <w:jc w:val="center"/>
              <w:ind w:left="1290"/>
              <w:spacing w:after="0"/>
              <w:rPr>
                <w:sz w:val="20"/>
                <w:szCs w:val="20"/>
                <w:color w:val="auto"/>
              </w:rPr>
            </w:pPr>
            <w:r>
              <w:rPr>
                <w:rFonts w:ascii="Times New Roman" w:cs="Times New Roman" w:eastAsia="Times New Roman" w:hAnsi="Times New Roman"/>
                <w:sz w:val="18"/>
                <w:szCs w:val="18"/>
                <w:color w:val="auto"/>
                <w:w w:val="97"/>
              </w:rPr>
              <w:t>[***]</w:t>
            </w:r>
          </w:p>
        </w:tc>
        <w:tc>
          <w:tcPr>
            <w:tcW w:w="960" w:type="dxa"/>
            <w:vAlign w:val="bottom"/>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174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7"/>
              </w:rPr>
              <w:t>[***]</w:t>
            </w:r>
          </w:p>
        </w:tc>
        <w:tc>
          <w:tcPr>
            <w:tcW w:w="160" w:type="dxa"/>
            <w:vAlign w:val="bottom"/>
            <w:tcBorders>
              <w:right w:val="single" w:sz="8" w:color="auto"/>
            </w:tcBorders>
          </w:tcPr>
          <w:p>
            <w:pPr>
              <w:spacing w:after="0"/>
              <w:rPr>
                <w:sz w:val="19"/>
                <w:szCs w:val="19"/>
                <w:color w:val="auto"/>
              </w:rPr>
            </w:pPr>
          </w:p>
        </w:tc>
        <w:tc>
          <w:tcPr>
            <w:tcW w:w="2820" w:type="dxa"/>
            <w:vAlign w:val="bottom"/>
            <w:gridSpan w:val="2"/>
          </w:tcPr>
          <w:p>
            <w:pPr>
              <w:jc w:val="center"/>
              <w:ind w:left="511"/>
              <w:spacing w:after="0"/>
              <w:rPr>
                <w:sz w:val="20"/>
                <w:szCs w:val="20"/>
                <w:color w:val="auto"/>
              </w:rPr>
            </w:pPr>
            <w:r>
              <w:rPr>
                <w:rFonts w:ascii="Times New Roman" w:cs="Times New Roman" w:eastAsia="Times New Roman" w:hAnsi="Times New Roman"/>
                <w:sz w:val="18"/>
                <w:szCs w:val="18"/>
                <w:color w:val="auto"/>
                <w:w w:val="97"/>
              </w:rPr>
              <w:t>[***]</w:t>
            </w:r>
          </w:p>
        </w:tc>
        <w:tc>
          <w:tcPr>
            <w:tcW w:w="620" w:type="dxa"/>
            <w:vAlign w:val="bottom"/>
            <w:tcBorders>
              <w:right w:val="single" w:sz="8" w:color="auto"/>
            </w:tcBorders>
          </w:tcPr>
          <w:p>
            <w:pPr>
              <w:spacing w:after="0"/>
              <w:rPr>
                <w:sz w:val="19"/>
                <w:szCs w:val="19"/>
                <w:color w:val="auto"/>
              </w:rPr>
            </w:pPr>
          </w:p>
        </w:tc>
      </w:tr>
      <w:tr>
        <w:trPr>
          <w:trHeight w:val="198"/>
        </w:trPr>
        <w:tc>
          <w:tcPr>
            <w:tcW w:w="900" w:type="dxa"/>
            <w:vAlign w:val="bottom"/>
            <w:tcBorders>
              <w:left w:val="single" w:sz="8" w:color="auto"/>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r>
      <w:tr>
        <w:trPr>
          <w:trHeight w:val="228"/>
        </w:trPr>
        <w:tc>
          <w:tcPr>
            <w:tcW w:w="2440" w:type="dxa"/>
            <w:vAlign w:val="bottom"/>
            <w:tcBorders>
              <w:left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December 31, 2022</w:t>
            </w:r>
          </w:p>
        </w:tc>
        <w:tc>
          <w:tcPr>
            <w:tcW w:w="2040" w:type="dxa"/>
            <w:vAlign w:val="bottom"/>
            <w:gridSpan w:val="2"/>
          </w:tcPr>
          <w:p>
            <w:pPr>
              <w:jc w:val="center"/>
              <w:ind w:left="1290"/>
              <w:spacing w:after="0"/>
              <w:rPr>
                <w:sz w:val="20"/>
                <w:szCs w:val="20"/>
                <w:color w:val="auto"/>
              </w:rPr>
            </w:pPr>
            <w:r>
              <w:rPr>
                <w:rFonts w:ascii="Times New Roman" w:cs="Times New Roman" w:eastAsia="Times New Roman" w:hAnsi="Times New Roman"/>
                <w:sz w:val="18"/>
                <w:szCs w:val="18"/>
                <w:color w:val="auto"/>
                <w:w w:val="97"/>
              </w:rPr>
              <w:t>[***]</w:t>
            </w:r>
          </w:p>
        </w:tc>
        <w:tc>
          <w:tcPr>
            <w:tcW w:w="960" w:type="dxa"/>
            <w:vAlign w:val="bottom"/>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174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7"/>
              </w:rPr>
              <w:t>[***]</w:t>
            </w:r>
          </w:p>
        </w:tc>
        <w:tc>
          <w:tcPr>
            <w:tcW w:w="160" w:type="dxa"/>
            <w:vAlign w:val="bottom"/>
            <w:tcBorders>
              <w:right w:val="single" w:sz="8" w:color="auto"/>
            </w:tcBorders>
          </w:tcPr>
          <w:p>
            <w:pPr>
              <w:spacing w:after="0"/>
              <w:rPr>
                <w:sz w:val="19"/>
                <w:szCs w:val="19"/>
                <w:color w:val="auto"/>
              </w:rPr>
            </w:pPr>
          </w:p>
        </w:tc>
        <w:tc>
          <w:tcPr>
            <w:tcW w:w="2820" w:type="dxa"/>
            <w:vAlign w:val="bottom"/>
            <w:gridSpan w:val="2"/>
          </w:tcPr>
          <w:p>
            <w:pPr>
              <w:jc w:val="center"/>
              <w:ind w:left="511"/>
              <w:spacing w:after="0"/>
              <w:rPr>
                <w:sz w:val="20"/>
                <w:szCs w:val="20"/>
                <w:color w:val="auto"/>
              </w:rPr>
            </w:pPr>
            <w:r>
              <w:rPr>
                <w:rFonts w:ascii="Times New Roman" w:cs="Times New Roman" w:eastAsia="Times New Roman" w:hAnsi="Times New Roman"/>
                <w:sz w:val="18"/>
                <w:szCs w:val="18"/>
                <w:color w:val="auto"/>
                <w:w w:val="97"/>
              </w:rPr>
              <w:t>[***]</w:t>
            </w:r>
          </w:p>
        </w:tc>
        <w:tc>
          <w:tcPr>
            <w:tcW w:w="620" w:type="dxa"/>
            <w:vAlign w:val="bottom"/>
            <w:tcBorders>
              <w:right w:val="single" w:sz="8" w:color="auto"/>
            </w:tcBorders>
          </w:tcPr>
          <w:p>
            <w:pPr>
              <w:spacing w:after="0"/>
              <w:rPr>
                <w:sz w:val="19"/>
                <w:szCs w:val="19"/>
                <w:color w:val="auto"/>
              </w:rPr>
            </w:pPr>
          </w:p>
        </w:tc>
      </w:tr>
      <w:tr>
        <w:trPr>
          <w:trHeight w:val="198"/>
        </w:trPr>
        <w:tc>
          <w:tcPr>
            <w:tcW w:w="900" w:type="dxa"/>
            <w:vAlign w:val="bottom"/>
            <w:tcBorders>
              <w:left w:val="single" w:sz="8" w:color="auto"/>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r>
      <w:tr>
        <w:trPr>
          <w:trHeight w:val="228"/>
        </w:trPr>
        <w:tc>
          <w:tcPr>
            <w:tcW w:w="2440" w:type="dxa"/>
            <w:vAlign w:val="bottom"/>
            <w:tcBorders>
              <w:left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March 31, 2023</w:t>
            </w:r>
          </w:p>
        </w:tc>
        <w:tc>
          <w:tcPr>
            <w:tcW w:w="2040" w:type="dxa"/>
            <w:vAlign w:val="bottom"/>
            <w:gridSpan w:val="2"/>
          </w:tcPr>
          <w:p>
            <w:pPr>
              <w:jc w:val="center"/>
              <w:ind w:left="1290"/>
              <w:spacing w:after="0"/>
              <w:rPr>
                <w:sz w:val="20"/>
                <w:szCs w:val="20"/>
                <w:color w:val="auto"/>
              </w:rPr>
            </w:pPr>
            <w:r>
              <w:rPr>
                <w:rFonts w:ascii="Times New Roman" w:cs="Times New Roman" w:eastAsia="Times New Roman" w:hAnsi="Times New Roman"/>
                <w:sz w:val="18"/>
                <w:szCs w:val="18"/>
                <w:color w:val="auto"/>
                <w:w w:val="97"/>
              </w:rPr>
              <w:t>[***]</w:t>
            </w:r>
          </w:p>
        </w:tc>
        <w:tc>
          <w:tcPr>
            <w:tcW w:w="960" w:type="dxa"/>
            <w:vAlign w:val="bottom"/>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174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7"/>
              </w:rPr>
              <w:t>[***]</w:t>
            </w:r>
          </w:p>
        </w:tc>
        <w:tc>
          <w:tcPr>
            <w:tcW w:w="160" w:type="dxa"/>
            <w:vAlign w:val="bottom"/>
            <w:tcBorders>
              <w:right w:val="single" w:sz="8" w:color="auto"/>
            </w:tcBorders>
          </w:tcPr>
          <w:p>
            <w:pPr>
              <w:spacing w:after="0"/>
              <w:rPr>
                <w:sz w:val="19"/>
                <w:szCs w:val="19"/>
                <w:color w:val="auto"/>
              </w:rPr>
            </w:pPr>
          </w:p>
        </w:tc>
        <w:tc>
          <w:tcPr>
            <w:tcW w:w="2820" w:type="dxa"/>
            <w:vAlign w:val="bottom"/>
            <w:gridSpan w:val="2"/>
          </w:tcPr>
          <w:p>
            <w:pPr>
              <w:jc w:val="center"/>
              <w:ind w:left="511"/>
              <w:spacing w:after="0"/>
              <w:rPr>
                <w:sz w:val="20"/>
                <w:szCs w:val="20"/>
                <w:color w:val="auto"/>
              </w:rPr>
            </w:pPr>
            <w:r>
              <w:rPr>
                <w:rFonts w:ascii="Times New Roman" w:cs="Times New Roman" w:eastAsia="Times New Roman" w:hAnsi="Times New Roman"/>
                <w:sz w:val="18"/>
                <w:szCs w:val="18"/>
                <w:color w:val="auto"/>
                <w:w w:val="97"/>
              </w:rPr>
              <w:t>[***]</w:t>
            </w:r>
          </w:p>
        </w:tc>
        <w:tc>
          <w:tcPr>
            <w:tcW w:w="620" w:type="dxa"/>
            <w:vAlign w:val="bottom"/>
            <w:tcBorders>
              <w:right w:val="single" w:sz="8" w:color="auto"/>
            </w:tcBorders>
          </w:tcPr>
          <w:p>
            <w:pPr>
              <w:spacing w:after="0"/>
              <w:rPr>
                <w:sz w:val="19"/>
                <w:szCs w:val="19"/>
                <w:color w:val="auto"/>
              </w:rPr>
            </w:pPr>
          </w:p>
        </w:tc>
      </w:tr>
      <w:tr>
        <w:trPr>
          <w:trHeight w:val="198"/>
        </w:trPr>
        <w:tc>
          <w:tcPr>
            <w:tcW w:w="900" w:type="dxa"/>
            <w:vAlign w:val="bottom"/>
            <w:tcBorders>
              <w:left w:val="single" w:sz="8" w:color="auto"/>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r>
      <w:tr>
        <w:trPr>
          <w:trHeight w:val="228"/>
        </w:trPr>
        <w:tc>
          <w:tcPr>
            <w:tcW w:w="24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June 30, 2023</w:t>
            </w:r>
          </w:p>
        </w:tc>
        <w:tc>
          <w:tcPr>
            <w:tcW w:w="2040" w:type="dxa"/>
            <w:vAlign w:val="bottom"/>
            <w:gridSpan w:val="2"/>
          </w:tcPr>
          <w:p>
            <w:pPr>
              <w:jc w:val="center"/>
              <w:ind w:left="1290"/>
              <w:spacing w:after="0"/>
              <w:rPr>
                <w:sz w:val="20"/>
                <w:szCs w:val="20"/>
                <w:color w:val="auto"/>
              </w:rPr>
            </w:pPr>
            <w:r>
              <w:rPr>
                <w:rFonts w:ascii="Times New Roman" w:cs="Times New Roman" w:eastAsia="Times New Roman" w:hAnsi="Times New Roman"/>
                <w:sz w:val="18"/>
                <w:szCs w:val="18"/>
                <w:color w:val="auto"/>
                <w:w w:val="97"/>
              </w:rPr>
              <w:t>[***]</w:t>
            </w:r>
          </w:p>
        </w:tc>
        <w:tc>
          <w:tcPr>
            <w:tcW w:w="960" w:type="dxa"/>
            <w:vAlign w:val="bottom"/>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174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7"/>
              </w:rPr>
              <w:t>[***]</w:t>
            </w:r>
          </w:p>
        </w:tc>
        <w:tc>
          <w:tcPr>
            <w:tcW w:w="160" w:type="dxa"/>
            <w:vAlign w:val="bottom"/>
            <w:tcBorders>
              <w:right w:val="single" w:sz="8" w:color="auto"/>
            </w:tcBorders>
          </w:tcPr>
          <w:p>
            <w:pPr>
              <w:spacing w:after="0"/>
              <w:rPr>
                <w:sz w:val="19"/>
                <w:szCs w:val="19"/>
                <w:color w:val="auto"/>
              </w:rPr>
            </w:pPr>
          </w:p>
        </w:tc>
        <w:tc>
          <w:tcPr>
            <w:tcW w:w="2820" w:type="dxa"/>
            <w:vAlign w:val="bottom"/>
            <w:gridSpan w:val="2"/>
          </w:tcPr>
          <w:p>
            <w:pPr>
              <w:jc w:val="center"/>
              <w:ind w:left="511"/>
              <w:spacing w:after="0"/>
              <w:rPr>
                <w:sz w:val="20"/>
                <w:szCs w:val="20"/>
                <w:color w:val="auto"/>
              </w:rPr>
            </w:pPr>
            <w:r>
              <w:rPr>
                <w:rFonts w:ascii="Times New Roman" w:cs="Times New Roman" w:eastAsia="Times New Roman" w:hAnsi="Times New Roman"/>
                <w:sz w:val="18"/>
                <w:szCs w:val="18"/>
                <w:color w:val="auto"/>
                <w:w w:val="97"/>
              </w:rPr>
              <w:t>[***]</w:t>
            </w:r>
          </w:p>
        </w:tc>
        <w:tc>
          <w:tcPr>
            <w:tcW w:w="620" w:type="dxa"/>
            <w:vAlign w:val="bottom"/>
            <w:tcBorders>
              <w:right w:val="single" w:sz="8" w:color="auto"/>
            </w:tcBorders>
          </w:tcPr>
          <w:p>
            <w:pPr>
              <w:spacing w:after="0"/>
              <w:rPr>
                <w:sz w:val="19"/>
                <w:szCs w:val="19"/>
                <w:color w:val="auto"/>
              </w:rPr>
            </w:pPr>
          </w:p>
        </w:tc>
      </w:tr>
      <w:tr>
        <w:trPr>
          <w:trHeight w:val="198"/>
        </w:trPr>
        <w:tc>
          <w:tcPr>
            <w:tcW w:w="900" w:type="dxa"/>
            <w:vAlign w:val="bottom"/>
            <w:tcBorders>
              <w:left w:val="single" w:sz="8" w:color="auto"/>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r>
      <w:tr>
        <w:trPr>
          <w:trHeight w:val="228"/>
        </w:trPr>
        <w:tc>
          <w:tcPr>
            <w:tcW w:w="24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September 30, 2023</w:t>
            </w:r>
          </w:p>
        </w:tc>
        <w:tc>
          <w:tcPr>
            <w:tcW w:w="2040" w:type="dxa"/>
            <w:vAlign w:val="bottom"/>
            <w:gridSpan w:val="2"/>
          </w:tcPr>
          <w:p>
            <w:pPr>
              <w:jc w:val="center"/>
              <w:ind w:left="1290"/>
              <w:spacing w:after="0"/>
              <w:rPr>
                <w:sz w:val="20"/>
                <w:szCs w:val="20"/>
                <w:color w:val="auto"/>
              </w:rPr>
            </w:pPr>
            <w:r>
              <w:rPr>
                <w:rFonts w:ascii="Times New Roman" w:cs="Times New Roman" w:eastAsia="Times New Roman" w:hAnsi="Times New Roman"/>
                <w:sz w:val="18"/>
                <w:szCs w:val="18"/>
                <w:color w:val="auto"/>
                <w:w w:val="97"/>
              </w:rPr>
              <w:t>[***]</w:t>
            </w:r>
          </w:p>
        </w:tc>
        <w:tc>
          <w:tcPr>
            <w:tcW w:w="960" w:type="dxa"/>
            <w:vAlign w:val="bottom"/>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174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7"/>
              </w:rPr>
              <w:t>[***]</w:t>
            </w:r>
          </w:p>
        </w:tc>
        <w:tc>
          <w:tcPr>
            <w:tcW w:w="160" w:type="dxa"/>
            <w:vAlign w:val="bottom"/>
            <w:tcBorders>
              <w:right w:val="single" w:sz="8" w:color="auto"/>
            </w:tcBorders>
          </w:tcPr>
          <w:p>
            <w:pPr>
              <w:spacing w:after="0"/>
              <w:rPr>
                <w:sz w:val="19"/>
                <w:szCs w:val="19"/>
                <w:color w:val="auto"/>
              </w:rPr>
            </w:pPr>
          </w:p>
        </w:tc>
        <w:tc>
          <w:tcPr>
            <w:tcW w:w="2820" w:type="dxa"/>
            <w:vAlign w:val="bottom"/>
            <w:gridSpan w:val="2"/>
          </w:tcPr>
          <w:p>
            <w:pPr>
              <w:jc w:val="center"/>
              <w:ind w:left="511"/>
              <w:spacing w:after="0"/>
              <w:rPr>
                <w:sz w:val="20"/>
                <w:szCs w:val="20"/>
                <w:color w:val="auto"/>
              </w:rPr>
            </w:pPr>
            <w:r>
              <w:rPr>
                <w:rFonts w:ascii="Times New Roman" w:cs="Times New Roman" w:eastAsia="Times New Roman" w:hAnsi="Times New Roman"/>
                <w:sz w:val="18"/>
                <w:szCs w:val="18"/>
                <w:color w:val="auto"/>
                <w:w w:val="97"/>
              </w:rPr>
              <w:t>[***]</w:t>
            </w:r>
          </w:p>
        </w:tc>
        <w:tc>
          <w:tcPr>
            <w:tcW w:w="620" w:type="dxa"/>
            <w:vAlign w:val="bottom"/>
            <w:tcBorders>
              <w:right w:val="single" w:sz="8" w:color="auto"/>
            </w:tcBorders>
          </w:tcPr>
          <w:p>
            <w:pPr>
              <w:spacing w:after="0"/>
              <w:rPr>
                <w:sz w:val="19"/>
                <w:szCs w:val="19"/>
                <w:color w:val="auto"/>
              </w:rPr>
            </w:pPr>
          </w:p>
        </w:tc>
      </w:tr>
      <w:tr>
        <w:trPr>
          <w:trHeight w:val="198"/>
        </w:trPr>
        <w:tc>
          <w:tcPr>
            <w:tcW w:w="900" w:type="dxa"/>
            <w:vAlign w:val="bottom"/>
            <w:tcBorders>
              <w:left w:val="single" w:sz="8" w:color="auto"/>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r>
      <w:tr>
        <w:trPr>
          <w:trHeight w:val="228"/>
        </w:trPr>
        <w:tc>
          <w:tcPr>
            <w:tcW w:w="2440" w:type="dxa"/>
            <w:vAlign w:val="bottom"/>
            <w:tcBorders>
              <w:left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December 31, 2023</w:t>
            </w:r>
          </w:p>
        </w:tc>
        <w:tc>
          <w:tcPr>
            <w:tcW w:w="2040" w:type="dxa"/>
            <w:vAlign w:val="bottom"/>
            <w:gridSpan w:val="2"/>
          </w:tcPr>
          <w:p>
            <w:pPr>
              <w:jc w:val="center"/>
              <w:ind w:left="1290"/>
              <w:spacing w:after="0"/>
              <w:rPr>
                <w:sz w:val="20"/>
                <w:szCs w:val="20"/>
                <w:color w:val="auto"/>
              </w:rPr>
            </w:pPr>
            <w:r>
              <w:rPr>
                <w:rFonts w:ascii="Times New Roman" w:cs="Times New Roman" w:eastAsia="Times New Roman" w:hAnsi="Times New Roman"/>
                <w:sz w:val="18"/>
                <w:szCs w:val="18"/>
                <w:color w:val="auto"/>
                <w:w w:val="97"/>
              </w:rPr>
              <w:t>[***]</w:t>
            </w:r>
          </w:p>
        </w:tc>
        <w:tc>
          <w:tcPr>
            <w:tcW w:w="960" w:type="dxa"/>
            <w:vAlign w:val="bottom"/>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174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7"/>
              </w:rPr>
              <w:t>[***]</w:t>
            </w:r>
          </w:p>
        </w:tc>
        <w:tc>
          <w:tcPr>
            <w:tcW w:w="160" w:type="dxa"/>
            <w:vAlign w:val="bottom"/>
            <w:tcBorders>
              <w:right w:val="single" w:sz="8" w:color="auto"/>
            </w:tcBorders>
          </w:tcPr>
          <w:p>
            <w:pPr>
              <w:spacing w:after="0"/>
              <w:rPr>
                <w:sz w:val="19"/>
                <w:szCs w:val="19"/>
                <w:color w:val="auto"/>
              </w:rPr>
            </w:pPr>
          </w:p>
        </w:tc>
        <w:tc>
          <w:tcPr>
            <w:tcW w:w="2820" w:type="dxa"/>
            <w:vAlign w:val="bottom"/>
            <w:gridSpan w:val="2"/>
          </w:tcPr>
          <w:p>
            <w:pPr>
              <w:jc w:val="center"/>
              <w:ind w:left="511"/>
              <w:spacing w:after="0"/>
              <w:rPr>
                <w:sz w:val="20"/>
                <w:szCs w:val="20"/>
                <w:color w:val="auto"/>
              </w:rPr>
            </w:pPr>
            <w:r>
              <w:rPr>
                <w:rFonts w:ascii="Times New Roman" w:cs="Times New Roman" w:eastAsia="Times New Roman" w:hAnsi="Times New Roman"/>
                <w:sz w:val="18"/>
                <w:szCs w:val="18"/>
                <w:color w:val="auto"/>
                <w:w w:val="97"/>
              </w:rPr>
              <w:t>[***]</w:t>
            </w:r>
          </w:p>
        </w:tc>
        <w:tc>
          <w:tcPr>
            <w:tcW w:w="620" w:type="dxa"/>
            <w:vAlign w:val="bottom"/>
            <w:tcBorders>
              <w:right w:val="single" w:sz="8" w:color="auto"/>
            </w:tcBorders>
          </w:tcPr>
          <w:p>
            <w:pPr>
              <w:spacing w:after="0"/>
              <w:rPr>
                <w:sz w:val="19"/>
                <w:szCs w:val="19"/>
                <w:color w:val="auto"/>
              </w:rPr>
            </w:pPr>
          </w:p>
        </w:tc>
      </w:tr>
      <w:tr>
        <w:trPr>
          <w:trHeight w:val="198"/>
        </w:trPr>
        <w:tc>
          <w:tcPr>
            <w:tcW w:w="900" w:type="dxa"/>
            <w:vAlign w:val="bottom"/>
            <w:tcBorders>
              <w:left w:val="single" w:sz="8" w:color="auto"/>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r>
      <w:tr>
        <w:trPr>
          <w:trHeight w:val="228"/>
        </w:trPr>
        <w:tc>
          <w:tcPr>
            <w:tcW w:w="2440" w:type="dxa"/>
            <w:vAlign w:val="bottom"/>
            <w:tcBorders>
              <w:left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March 31, 2024</w:t>
            </w:r>
          </w:p>
        </w:tc>
        <w:tc>
          <w:tcPr>
            <w:tcW w:w="2040" w:type="dxa"/>
            <w:vAlign w:val="bottom"/>
            <w:gridSpan w:val="2"/>
          </w:tcPr>
          <w:p>
            <w:pPr>
              <w:jc w:val="center"/>
              <w:ind w:left="1290"/>
              <w:spacing w:after="0"/>
              <w:rPr>
                <w:sz w:val="20"/>
                <w:szCs w:val="20"/>
                <w:color w:val="auto"/>
              </w:rPr>
            </w:pPr>
            <w:r>
              <w:rPr>
                <w:rFonts w:ascii="Times New Roman" w:cs="Times New Roman" w:eastAsia="Times New Roman" w:hAnsi="Times New Roman"/>
                <w:sz w:val="18"/>
                <w:szCs w:val="18"/>
                <w:color w:val="auto"/>
                <w:w w:val="97"/>
              </w:rPr>
              <w:t>[***]</w:t>
            </w:r>
          </w:p>
        </w:tc>
        <w:tc>
          <w:tcPr>
            <w:tcW w:w="960" w:type="dxa"/>
            <w:vAlign w:val="bottom"/>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174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7"/>
              </w:rPr>
              <w:t>[***]</w:t>
            </w:r>
          </w:p>
        </w:tc>
        <w:tc>
          <w:tcPr>
            <w:tcW w:w="160" w:type="dxa"/>
            <w:vAlign w:val="bottom"/>
            <w:tcBorders>
              <w:right w:val="single" w:sz="8" w:color="auto"/>
            </w:tcBorders>
          </w:tcPr>
          <w:p>
            <w:pPr>
              <w:spacing w:after="0"/>
              <w:rPr>
                <w:sz w:val="19"/>
                <w:szCs w:val="19"/>
                <w:color w:val="auto"/>
              </w:rPr>
            </w:pPr>
          </w:p>
        </w:tc>
        <w:tc>
          <w:tcPr>
            <w:tcW w:w="2820" w:type="dxa"/>
            <w:vAlign w:val="bottom"/>
            <w:gridSpan w:val="2"/>
          </w:tcPr>
          <w:p>
            <w:pPr>
              <w:jc w:val="center"/>
              <w:ind w:left="511"/>
              <w:spacing w:after="0"/>
              <w:rPr>
                <w:sz w:val="20"/>
                <w:szCs w:val="20"/>
                <w:color w:val="auto"/>
              </w:rPr>
            </w:pPr>
            <w:r>
              <w:rPr>
                <w:rFonts w:ascii="Times New Roman" w:cs="Times New Roman" w:eastAsia="Times New Roman" w:hAnsi="Times New Roman"/>
                <w:sz w:val="18"/>
                <w:szCs w:val="18"/>
                <w:color w:val="auto"/>
                <w:w w:val="97"/>
              </w:rPr>
              <w:t>[***]</w:t>
            </w:r>
          </w:p>
        </w:tc>
        <w:tc>
          <w:tcPr>
            <w:tcW w:w="620" w:type="dxa"/>
            <w:vAlign w:val="bottom"/>
            <w:tcBorders>
              <w:right w:val="single" w:sz="8" w:color="auto"/>
            </w:tcBorders>
          </w:tcPr>
          <w:p>
            <w:pPr>
              <w:spacing w:after="0"/>
              <w:rPr>
                <w:sz w:val="19"/>
                <w:szCs w:val="19"/>
                <w:color w:val="auto"/>
              </w:rPr>
            </w:pPr>
          </w:p>
        </w:tc>
      </w:tr>
      <w:tr>
        <w:trPr>
          <w:trHeight w:val="198"/>
        </w:trPr>
        <w:tc>
          <w:tcPr>
            <w:tcW w:w="900" w:type="dxa"/>
            <w:vAlign w:val="bottom"/>
            <w:tcBorders>
              <w:left w:val="single" w:sz="8" w:color="auto"/>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r>
      <w:tr>
        <w:trPr>
          <w:trHeight w:val="228"/>
        </w:trPr>
        <w:tc>
          <w:tcPr>
            <w:tcW w:w="24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June 30, 2024</w:t>
            </w:r>
          </w:p>
        </w:tc>
        <w:tc>
          <w:tcPr>
            <w:tcW w:w="2040" w:type="dxa"/>
            <w:vAlign w:val="bottom"/>
            <w:gridSpan w:val="2"/>
          </w:tcPr>
          <w:p>
            <w:pPr>
              <w:jc w:val="center"/>
              <w:ind w:left="1290"/>
              <w:spacing w:after="0"/>
              <w:rPr>
                <w:sz w:val="20"/>
                <w:szCs w:val="20"/>
                <w:color w:val="auto"/>
              </w:rPr>
            </w:pPr>
            <w:r>
              <w:rPr>
                <w:rFonts w:ascii="Times New Roman" w:cs="Times New Roman" w:eastAsia="Times New Roman" w:hAnsi="Times New Roman"/>
                <w:sz w:val="18"/>
                <w:szCs w:val="18"/>
                <w:color w:val="auto"/>
                <w:w w:val="97"/>
              </w:rPr>
              <w:t>[***]</w:t>
            </w:r>
          </w:p>
        </w:tc>
        <w:tc>
          <w:tcPr>
            <w:tcW w:w="960" w:type="dxa"/>
            <w:vAlign w:val="bottom"/>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174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7"/>
              </w:rPr>
              <w:t>[***]</w:t>
            </w:r>
          </w:p>
        </w:tc>
        <w:tc>
          <w:tcPr>
            <w:tcW w:w="160" w:type="dxa"/>
            <w:vAlign w:val="bottom"/>
            <w:tcBorders>
              <w:right w:val="single" w:sz="8" w:color="auto"/>
            </w:tcBorders>
          </w:tcPr>
          <w:p>
            <w:pPr>
              <w:spacing w:after="0"/>
              <w:rPr>
                <w:sz w:val="19"/>
                <w:szCs w:val="19"/>
                <w:color w:val="auto"/>
              </w:rPr>
            </w:pPr>
          </w:p>
        </w:tc>
        <w:tc>
          <w:tcPr>
            <w:tcW w:w="2820" w:type="dxa"/>
            <w:vAlign w:val="bottom"/>
            <w:gridSpan w:val="2"/>
          </w:tcPr>
          <w:p>
            <w:pPr>
              <w:jc w:val="center"/>
              <w:ind w:left="511"/>
              <w:spacing w:after="0"/>
              <w:rPr>
                <w:sz w:val="20"/>
                <w:szCs w:val="20"/>
                <w:color w:val="auto"/>
              </w:rPr>
            </w:pPr>
            <w:r>
              <w:rPr>
                <w:rFonts w:ascii="Times New Roman" w:cs="Times New Roman" w:eastAsia="Times New Roman" w:hAnsi="Times New Roman"/>
                <w:sz w:val="18"/>
                <w:szCs w:val="18"/>
                <w:color w:val="auto"/>
                <w:w w:val="97"/>
              </w:rPr>
              <w:t>[***]</w:t>
            </w:r>
          </w:p>
        </w:tc>
        <w:tc>
          <w:tcPr>
            <w:tcW w:w="620" w:type="dxa"/>
            <w:vAlign w:val="bottom"/>
            <w:tcBorders>
              <w:right w:val="single" w:sz="8" w:color="auto"/>
            </w:tcBorders>
          </w:tcPr>
          <w:p>
            <w:pPr>
              <w:spacing w:after="0"/>
              <w:rPr>
                <w:sz w:val="19"/>
                <w:szCs w:val="19"/>
                <w:color w:val="auto"/>
              </w:rPr>
            </w:pPr>
          </w:p>
        </w:tc>
      </w:tr>
      <w:tr>
        <w:trPr>
          <w:trHeight w:val="198"/>
        </w:trPr>
        <w:tc>
          <w:tcPr>
            <w:tcW w:w="900" w:type="dxa"/>
            <w:vAlign w:val="bottom"/>
            <w:tcBorders>
              <w:left w:val="single" w:sz="8" w:color="auto"/>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r>
      <w:tr>
        <w:trPr>
          <w:trHeight w:val="228"/>
        </w:trPr>
        <w:tc>
          <w:tcPr>
            <w:tcW w:w="24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September 30, 2024</w:t>
            </w:r>
          </w:p>
        </w:tc>
        <w:tc>
          <w:tcPr>
            <w:tcW w:w="2040" w:type="dxa"/>
            <w:vAlign w:val="bottom"/>
            <w:gridSpan w:val="2"/>
          </w:tcPr>
          <w:p>
            <w:pPr>
              <w:jc w:val="center"/>
              <w:ind w:left="1290"/>
              <w:spacing w:after="0"/>
              <w:rPr>
                <w:sz w:val="20"/>
                <w:szCs w:val="20"/>
                <w:color w:val="auto"/>
              </w:rPr>
            </w:pPr>
            <w:r>
              <w:rPr>
                <w:rFonts w:ascii="Times New Roman" w:cs="Times New Roman" w:eastAsia="Times New Roman" w:hAnsi="Times New Roman"/>
                <w:sz w:val="18"/>
                <w:szCs w:val="18"/>
                <w:color w:val="auto"/>
                <w:w w:val="97"/>
              </w:rPr>
              <w:t>[***]</w:t>
            </w:r>
          </w:p>
        </w:tc>
        <w:tc>
          <w:tcPr>
            <w:tcW w:w="960" w:type="dxa"/>
            <w:vAlign w:val="bottom"/>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174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7"/>
              </w:rPr>
              <w:t>[***]</w:t>
            </w:r>
          </w:p>
        </w:tc>
        <w:tc>
          <w:tcPr>
            <w:tcW w:w="160" w:type="dxa"/>
            <w:vAlign w:val="bottom"/>
            <w:tcBorders>
              <w:right w:val="single" w:sz="8" w:color="auto"/>
            </w:tcBorders>
          </w:tcPr>
          <w:p>
            <w:pPr>
              <w:spacing w:after="0"/>
              <w:rPr>
                <w:sz w:val="19"/>
                <w:szCs w:val="19"/>
                <w:color w:val="auto"/>
              </w:rPr>
            </w:pPr>
          </w:p>
        </w:tc>
        <w:tc>
          <w:tcPr>
            <w:tcW w:w="2820" w:type="dxa"/>
            <w:vAlign w:val="bottom"/>
            <w:gridSpan w:val="2"/>
          </w:tcPr>
          <w:p>
            <w:pPr>
              <w:jc w:val="center"/>
              <w:ind w:left="511"/>
              <w:spacing w:after="0"/>
              <w:rPr>
                <w:sz w:val="20"/>
                <w:szCs w:val="20"/>
                <w:color w:val="auto"/>
              </w:rPr>
            </w:pPr>
            <w:r>
              <w:rPr>
                <w:rFonts w:ascii="Times New Roman" w:cs="Times New Roman" w:eastAsia="Times New Roman" w:hAnsi="Times New Roman"/>
                <w:sz w:val="18"/>
                <w:szCs w:val="18"/>
                <w:color w:val="auto"/>
                <w:w w:val="97"/>
              </w:rPr>
              <w:t>[***]</w:t>
            </w:r>
          </w:p>
        </w:tc>
        <w:tc>
          <w:tcPr>
            <w:tcW w:w="620" w:type="dxa"/>
            <w:vAlign w:val="bottom"/>
            <w:tcBorders>
              <w:right w:val="single" w:sz="8" w:color="auto"/>
            </w:tcBorders>
          </w:tcPr>
          <w:p>
            <w:pPr>
              <w:spacing w:after="0"/>
              <w:rPr>
                <w:sz w:val="19"/>
                <w:szCs w:val="19"/>
                <w:color w:val="auto"/>
              </w:rPr>
            </w:pPr>
          </w:p>
        </w:tc>
      </w:tr>
      <w:tr>
        <w:trPr>
          <w:trHeight w:val="198"/>
        </w:trPr>
        <w:tc>
          <w:tcPr>
            <w:tcW w:w="900" w:type="dxa"/>
            <w:vAlign w:val="bottom"/>
            <w:tcBorders>
              <w:left w:val="single" w:sz="8" w:color="auto"/>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r>
      <w:tr>
        <w:trPr>
          <w:trHeight w:val="228"/>
        </w:trPr>
        <w:tc>
          <w:tcPr>
            <w:tcW w:w="2440" w:type="dxa"/>
            <w:vAlign w:val="bottom"/>
            <w:tcBorders>
              <w:left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December 31, 2024</w:t>
            </w:r>
          </w:p>
        </w:tc>
        <w:tc>
          <w:tcPr>
            <w:tcW w:w="2040" w:type="dxa"/>
            <w:vAlign w:val="bottom"/>
            <w:gridSpan w:val="2"/>
          </w:tcPr>
          <w:p>
            <w:pPr>
              <w:jc w:val="center"/>
              <w:ind w:left="1290"/>
              <w:spacing w:after="0"/>
              <w:rPr>
                <w:sz w:val="20"/>
                <w:szCs w:val="20"/>
                <w:color w:val="auto"/>
              </w:rPr>
            </w:pPr>
            <w:r>
              <w:rPr>
                <w:rFonts w:ascii="Times New Roman" w:cs="Times New Roman" w:eastAsia="Times New Roman" w:hAnsi="Times New Roman"/>
                <w:sz w:val="18"/>
                <w:szCs w:val="18"/>
                <w:color w:val="auto"/>
                <w:w w:val="97"/>
              </w:rPr>
              <w:t>[***]</w:t>
            </w:r>
          </w:p>
        </w:tc>
        <w:tc>
          <w:tcPr>
            <w:tcW w:w="960" w:type="dxa"/>
            <w:vAlign w:val="bottom"/>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174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7"/>
              </w:rPr>
              <w:t>[***]</w:t>
            </w:r>
          </w:p>
        </w:tc>
        <w:tc>
          <w:tcPr>
            <w:tcW w:w="160" w:type="dxa"/>
            <w:vAlign w:val="bottom"/>
            <w:tcBorders>
              <w:right w:val="single" w:sz="8" w:color="auto"/>
            </w:tcBorders>
          </w:tcPr>
          <w:p>
            <w:pPr>
              <w:spacing w:after="0"/>
              <w:rPr>
                <w:sz w:val="19"/>
                <w:szCs w:val="19"/>
                <w:color w:val="auto"/>
              </w:rPr>
            </w:pPr>
          </w:p>
        </w:tc>
        <w:tc>
          <w:tcPr>
            <w:tcW w:w="2820" w:type="dxa"/>
            <w:vAlign w:val="bottom"/>
            <w:gridSpan w:val="2"/>
          </w:tcPr>
          <w:p>
            <w:pPr>
              <w:jc w:val="center"/>
              <w:ind w:left="511"/>
              <w:spacing w:after="0"/>
              <w:rPr>
                <w:sz w:val="20"/>
                <w:szCs w:val="20"/>
                <w:color w:val="auto"/>
              </w:rPr>
            </w:pPr>
            <w:r>
              <w:rPr>
                <w:rFonts w:ascii="Times New Roman" w:cs="Times New Roman" w:eastAsia="Times New Roman" w:hAnsi="Times New Roman"/>
                <w:sz w:val="18"/>
                <w:szCs w:val="18"/>
                <w:color w:val="auto"/>
                <w:w w:val="97"/>
              </w:rPr>
              <w:t>[***]</w:t>
            </w:r>
          </w:p>
        </w:tc>
        <w:tc>
          <w:tcPr>
            <w:tcW w:w="620" w:type="dxa"/>
            <w:vAlign w:val="bottom"/>
            <w:tcBorders>
              <w:right w:val="single" w:sz="8" w:color="auto"/>
            </w:tcBorders>
          </w:tcPr>
          <w:p>
            <w:pPr>
              <w:spacing w:after="0"/>
              <w:rPr>
                <w:sz w:val="19"/>
                <w:szCs w:val="19"/>
                <w:color w:val="auto"/>
              </w:rPr>
            </w:pPr>
          </w:p>
        </w:tc>
      </w:tr>
      <w:tr>
        <w:trPr>
          <w:trHeight w:val="198"/>
        </w:trPr>
        <w:tc>
          <w:tcPr>
            <w:tcW w:w="900" w:type="dxa"/>
            <w:vAlign w:val="bottom"/>
            <w:tcBorders>
              <w:left w:val="single" w:sz="8" w:color="auto"/>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r>
      <w:tr>
        <w:trPr>
          <w:trHeight w:val="228"/>
        </w:trPr>
        <w:tc>
          <w:tcPr>
            <w:tcW w:w="2440" w:type="dxa"/>
            <w:vAlign w:val="bottom"/>
            <w:tcBorders>
              <w:left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March 31, 2025</w:t>
            </w:r>
          </w:p>
        </w:tc>
        <w:tc>
          <w:tcPr>
            <w:tcW w:w="2040" w:type="dxa"/>
            <w:vAlign w:val="bottom"/>
            <w:gridSpan w:val="2"/>
          </w:tcPr>
          <w:p>
            <w:pPr>
              <w:jc w:val="center"/>
              <w:ind w:left="1290"/>
              <w:spacing w:after="0"/>
              <w:rPr>
                <w:sz w:val="20"/>
                <w:szCs w:val="20"/>
                <w:color w:val="auto"/>
              </w:rPr>
            </w:pPr>
            <w:r>
              <w:rPr>
                <w:rFonts w:ascii="Times New Roman" w:cs="Times New Roman" w:eastAsia="Times New Roman" w:hAnsi="Times New Roman"/>
                <w:sz w:val="18"/>
                <w:szCs w:val="18"/>
                <w:color w:val="auto"/>
                <w:w w:val="97"/>
              </w:rPr>
              <w:t>[***]</w:t>
            </w:r>
          </w:p>
        </w:tc>
        <w:tc>
          <w:tcPr>
            <w:tcW w:w="960" w:type="dxa"/>
            <w:vAlign w:val="bottom"/>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174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7"/>
              </w:rPr>
              <w:t>[***]</w:t>
            </w:r>
          </w:p>
        </w:tc>
        <w:tc>
          <w:tcPr>
            <w:tcW w:w="160" w:type="dxa"/>
            <w:vAlign w:val="bottom"/>
            <w:tcBorders>
              <w:right w:val="single" w:sz="8" w:color="auto"/>
            </w:tcBorders>
          </w:tcPr>
          <w:p>
            <w:pPr>
              <w:spacing w:after="0"/>
              <w:rPr>
                <w:sz w:val="19"/>
                <w:szCs w:val="19"/>
                <w:color w:val="auto"/>
              </w:rPr>
            </w:pPr>
          </w:p>
        </w:tc>
        <w:tc>
          <w:tcPr>
            <w:tcW w:w="2820" w:type="dxa"/>
            <w:vAlign w:val="bottom"/>
            <w:gridSpan w:val="2"/>
          </w:tcPr>
          <w:p>
            <w:pPr>
              <w:jc w:val="center"/>
              <w:ind w:left="511"/>
              <w:spacing w:after="0"/>
              <w:rPr>
                <w:sz w:val="20"/>
                <w:szCs w:val="20"/>
                <w:color w:val="auto"/>
              </w:rPr>
            </w:pPr>
            <w:r>
              <w:rPr>
                <w:rFonts w:ascii="Times New Roman" w:cs="Times New Roman" w:eastAsia="Times New Roman" w:hAnsi="Times New Roman"/>
                <w:sz w:val="18"/>
                <w:szCs w:val="18"/>
                <w:color w:val="auto"/>
                <w:w w:val="97"/>
              </w:rPr>
              <w:t>[***]</w:t>
            </w:r>
          </w:p>
        </w:tc>
        <w:tc>
          <w:tcPr>
            <w:tcW w:w="620" w:type="dxa"/>
            <w:vAlign w:val="bottom"/>
            <w:tcBorders>
              <w:right w:val="single" w:sz="8" w:color="auto"/>
            </w:tcBorders>
          </w:tcPr>
          <w:p>
            <w:pPr>
              <w:spacing w:after="0"/>
              <w:rPr>
                <w:sz w:val="19"/>
                <w:szCs w:val="19"/>
                <w:color w:val="auto"/>
              </w:rPr>
            </w:pPr>
          </w:p>
        </w:tc>
      </w:tr>
      <w:tr>
        <w:trPr>
          <w:trHeight w:val="198"/>
        </w:trPr>
        <w:tc>
          <w:tcPr>
            <w:tcW w:w="900" w:type="dxa"/>
            <w:vAlign w:val="bottom"/>
            <w:tcBorders>
              <w:left w:val="single" w:sz="8" w:color="auto"/>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r>
      <w:tr>
        <w:trPr>
          <w:trHeight w:val="228"/>
        </w:trPr>
        <w:tc>
          <w:tcPr>
            <w:tcW w:w="24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June 30, 2025</w:t>
            </w:r>
          </w:p>
        </w:tc>
        <w:tc>
          <w:tcPr>
            <w:tcW w:w="2040" w:type="dxa"/>
            <w:vAlign w:val="bottom"/>
            <w:gridSpan w:val="2"/>
          </w:tcPr>
          <w:p>
            <w:pPr>
              <w:jc w:val="center"/>
              <w:ind w:left="1290"/>
              <w:spacing w:after="0"/>
              <w:rPr>
                <w:sz w:val="20"/>
                <w:szCs w:val="20"/>
                <w:color w:val="auto"/>
              </w:rPr>
            </w:pPr>
            <w:r>
              <w:rPr>
                <w:rFonts w:ascii="Times New Roman" w:cs="Times New Roman" w:eastAsia="Times New Roman" w:hAnsi="Times New Roman"/>
                <w:sz w:val="18"/>
                <w:szCs w:val="18"/>
                <w:color w:val="auto"/>
                <w:w w:val="97"/>
              </w:rPr>
              <w:t>[***]</w:t>
            </w:r>
          </w:p>
        </w:tc>
        <w:tc>
          <w:tcPr>
            <w:tcW w:w="960" w:type="dxa"/>
            <w:vAlign w:val="bottom"/>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174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7"/>
              </w:rPr>
              <w:t>[***]</w:t>
            </w:r>
          </w:p>
        </w:tc>
        <w:tc>
          <w:tcPr>
            <w:tcW w:w="160" w:type="dxa"/>
            <w:vAlign w:val="bottom"/>
            <w:tcBorders>
              <w:right w:val="single" w:sz="8" w:color="auto"/>
            </w:tcBorders>
          </w:tcPr>
          <w:p>
            <w:pPr>
              <w:spacing w:after="0"/>
              <w:rPr>
                <w:sz w:val="19"/>
                <w:szCs w:val="19"/>
                <w:color w:val="auto"/>
              </w:rPr>
            </w:pPr>
          </w:p>
        </w:tc>
        <w:tc>
          <w:tcPr>
            <w:tcW w:w="2820" w:type="dxa"/>
            <w:vAlign w:val="bottom"/>
            <w:gridSpan w:val="2"/>
          </w:tcPr>
          <w:p>
            <w:pPr>
              <w:jc w:val="center"/>
              <w:ind w:left="511"/>
              <w:spacing w:after="0"/>
              <w:rPr>
                <w:sz w:val="20"/>
                <w:szCs w:val="20"/>
                <w:color w:val="auto"/>
              </w:rPr>
            </w:pPr>
            <w:r>
              <w:rPr>
                <w:rFonts w:ascii="Times New Roman" w:cs="Times New Roman" w:eastAsia="Times New Roman" w:hAnsi="Times New Roman"/>
                <w:sz w:val="18"/>
                <w:szCs w:val="18"/>
                <w:color w:val="auto"/>
                <w:w w:val="97"/>
              </w:rPr>
              <w:t>[***]</w:t>
            </w:r>
          </w:p>
        </w:tc>
        <w:tc>
          <w:tcPr>
            <w:tcW w:w="620" w:type="dxa"/>
            <w:vAlign w:val="bottom"/>
            <w:tcBorders>
              <w:right w:val="single" w:sz="8" w:color="auto"/>
            </w:tcBorders>
          </w:tcPr>
          <w:p>
            <w:pPr>
              <w:spacing w:after="0"/>
              <w:rPr>
                <w:sz w:val="19"/>
                <w:szCs w:val="19"/>
                <w:color w:val="auto"/>
              </w:rPr>
            </w:pPr>
          </w:p>
        </w:tc>
      </w:tr>
      <w:tr>
        <w:trPr>
          <w:trHeight w:val="198"/>
        </w:trPr>
        <w:tc>
          <w:tcPr>
            <w:tcW w:w="900" w:type="dxa"/>
            <w:vAlign w:val="bottom"/>
            <w:tcBorders>
              <w:left w:val="single" w:sz="8" w:color="auto"/>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r>
      <w:tr>
        <w:trPr>
          <w:trHeight w:val="228"/>
        </w:trPr>
        <w:tc>
          <w:tcPr>
            <w:tcW w:w="24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2040" w:type="dxa"/>
            <w:vAlign w:val="bottom"/>
            <w:gridSpan w:val="2"/>
          </w:tcPr>
          <w:p>
            <w:pPr>
              <w:jc w:val="center"/>
              <w:ind w:left="1290"/>
              <w:spacing w:after="0"/>
              <w:rPr>
                <w:sz w:val="20"/>
                <w:szCs w:val="20"/>
                <w:color w:val="auto"/>
              </w:rPr>
            </w:pPr>
            <w:r>
              <w:rPr>
                <w:rFonts w:ascii="Times New Roman" w:cs="Times New Roman" w:eastAsia="Times New Roman" w:hAnsi="Times New Roman"/>
                <w:sz w:val="18"/>
                <w:szCs w:val="18"/>
                <w:color w:val="auto"/>
                <w:w w:val="97"/>
              </w:rPr>
              <w:t>[***]</w:t>
            </w:r>
          </w:p>
        </w:tc>
        <w:tc>
          <w:tcPr>
            <w:tcW w:w="960" w:type="dxa"/>
            <w:vAlign w:val="bottom"/>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174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7"/>
              </w:rPr>
              <w:t>[***]</w:t>
            </w:r>
          </w:p>
        </w:tc>
        <w:tc>
          <w:tcPr>
            <w:tcW w:w="160" w:type="dxa"/>
            <w:vAlign w:val="bottom"/>
            <w:tcBorders>
              <w:right w:val="single" w:sz="8" w:color="auto"/>
            </w:tcBorders>
          </w:tcPr>
          <w:p>
            <w:pPr>
              <w:spacing w:after="0"/>
              <w:rPr>
                <w:sz w:val="19"/>
                <w:szCs w:val="19"/>
                <w:color w:val="auto"/>
              </w:rPr>
            </w:pPr>
          </w:p>
        </w:tc>
        <w:tc>
          <w:tcPr>
            <w:tcW w:w="2820" w:type="dxa"/>
            <w:vAlign w:val="bottom"/>
            <w:gridSpan w:val="2"/>
          </w:tcPr>
          <w:p>
            <w:pPr>
              <w:jc w:val="center"/>
              <w:ind w:left="511"/>
              <w:spacing w:after="0"/>
              <w:rPr>
                <w:sz w:val="20"/>
                <w:szCs w:val="20"/>
                <w:color w:val="auto"/>
              </w:rPr>
            </w:pPr>
            <w:r>
              <w:rPr>
                <w:rFonts w:ascii="Times New Roman" w:cs="Times New Roman" w:eastAsia="Times New Roman" w:hAnsi="Times New Roman"/>
                <w:sz w:val="18"/>
                <w:szCs w:val="18"/>
                <w:color w:val="auto"/>
                <w:w w:val="97"/>
              </w:rPr>
              <w:t>[***]</w:t>
            </w:r>
          </w:p>
        </w:tc>
        <w:tc>
          <w:tcPr>
            <w:tcW w:w="620" w:type="dxa"/>
            <w:vAlign w:val="bottom"/>
            <w:tcBorders>
              <w:right w:val="single" w:sz="8" w:color="auto"/>
            </w:tcBorders>
          </w:tcPr>
          <w:p>
            <w:pPr>
              <w:spacing w:after="0"/>
              <w:rPr>
                <w:sz w:val="19"/>
                <w:szCs w:val="19"/>
                <w:color w:val="auto"/>
              </w:rPr>
            </w:pPr>
          </w:p>
        </w:tc>
      </w:tr>
      <w:tr>
        <w:trPr>
          <w:trHeight w:val="198"/>
        </w:trPr>
        <w:tc>
          <w:tcPr>
            <w:tcW w:w="900" w:type="dxa"/>
            <w:vAlign w:val="bottom"/>
            <w:tcBorders>
              <w:left w:val="single" w:sz="8" w:color="auto"/>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r>
      <w:tr>
        <w:trPr>
          <w:trHeight w:val="228"/>
        </w:trPr>
        <w:tc>
          <w:tcPr>
            <w:tcW w:w="2440" w:type="dxa"/>
            <w:vAlign w:val="bottom"/>
            <w:tcBorders>
              <w:left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December 31, 2025</w:t>
            </w:r>
          </w:p>
        </w:tc>
        <w:tc>
          <w:tcPr>
            <w:tcW w:w="2040" w:type="dxa"/>
            <w:vAlign w:val="bottom"/>
            <w:gridSpan w:val="2"/>
          </w:tcPr>
          <w:p>
            <w:pPr>
              <w:jc w:val="center"/>
              <w:ind w:left="1290"/>
              <w:spacing w:after="0"/>
              <w:rPr>
                <w:sz w:val="20"/>
                <w:szCs w:val="20"/>
                <w:color w:val="auto"/>
              </w:rPr>
            </w:pPr>
            <w:r>
              <w:rPr>
                <w:rFonts w:ascii="Times New Roman" w:cs="Times New Roman" w:eastAsia="Times New Roman" w:hAnsi="Times New Roman"/>
                <w:sz w:val="18"/>
                <w:szCs w:val="18"/>
                <w:color w:val="auto"/>
                <w:w w:val="97"/>
              </w:rPr>
              <w:t>[***]</w:t>
            </w:r>
          </w:p>
        </w:tc>
        <w:tc>
          <w:tcPr>
            <w:tcW w:w="960" w:type="dxa"/>
            <w:vAlign w:val="bottom"/>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174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7"/>
              </w:rPr>
              <w:t>[***]</w:t>
            </w:r>
          </w:p>
        </w:tc>
        <w:tc>
          <w:tcPr>
            <w:tcW w:w="160" w:type="dxa"/>
            <w:vAlign w:val="bottom"/>
            <w:tcBorders>
              <w:right w:val="single" w:sz="8" w:color="auto"/>
            </w:tcBorders>
          </w:tcPr>
          <w:p>
            <w:pPr>
              <w:spacing w:after="0"/>
              <w:rPr>
                <w:sz w:val="19"/>
                <w:szCs w:val="19"/>
                <w:color w:val="auto"/>
              </w:rPr>
            </w:pPr>
          </w:p>
        </w:tc>
        <w:tc>
          <w:tcPr>
            <w:tcW w:w="2820" w:type="dxa"/>
            <w:vAlign w:val="bottom"/>
            <w:gridSpan w:val="2"/>
          </w:tcPr>
          <w:p>
            <w:pPr>
              <w:jc w:val="center"/>
              <w:ind w:left="511"/>
              <w:spacing w:after="0"/>
              <w:rPr>
                <w:sz w:val="20"/>
                <w:szCs w:val="20"/>
                <w:color w:val="auto"/>
              </w:rPr>
            </w:pPr>
            <w:r>
              <w:rPr>
                <w:rFonts w:ascii="Times New Roman" w:cs="Times New Roman" w:eastAsia="Times New Roman" w:hAnsi="Times New Roman"/>
                <w:sz w:val="18"/>
                <w:szCs w:val="18"/>
                <w:color w:val="auto"/>
                <w:w w:val="97"/>
              </w:rPr>
              <w:t>[***]</w:t>
            </w:r>
          </w:p>
        </w:tc>
        <w:tc>
          <w:tcPr>
            <w:tcW w:w="620" w:type="dxa"/>
            <w:vAlign w:val="bottom"/>
            <w:tcBorders>
              <w:right w:val="single" w:sz="8" w:color="auto"/>
            </w:tcBorders>
          </w:tcPr>
          <w:p>
            <w:pPr>
              <w:spacing w:after="0"/>
              <w:rPr>
                <w:sz w:val="19"/>
                <w:szCs w:val="19"/>
                <w:color w:val="auto"/>
              </w:rPr>
            </w:pPr>
          </w:p>
        </w:tc>
      </w:tr>
      <w:tr>
        <w:trPr>
          <w:trHeight w:val="198"/>
        </w:trPr>
        <w:tc>
          <w:tcPr>
            <w:tcW w:w="900" w:type="dxa"/>
            <w:vAlign w:val="bottom"/>
            <w:tcBorders>
              <w:left w:val="single" w:sz="8" w:color="auto"/>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r>
      <w:tr>
        <w:trPr>
          <w:trHeight w:val="228"/>
        </w:trPr>
        <w:tc>
          <w:tcPr>
            <w:tcW w:w="2440" w:type="dxa"/>
            <w:vAlign w:val="bottom"/>
            <w:tcBorders>
              <w:left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March 31, 2026</w:t>
            </w:r>
          </w:p>
        </w:tc>
        <w:tc>
          <w:tcPr>
            <w:tcW w:w="2040" w:type="dxa"/>
            <w:vAlign w:val="bottom"/>
            <w:gridSpan w:val="2"/>
          </w:tcPr>
          <w:p>
            <w:pPr>
              <w:jc w:val="center"/>
              <w:ind w:left="1290"/>
              <w:spacing w:after="0"/>
              <w:rPr>
                <w:sz w:val="20"/>
                <w:szCs w:val="20"/>
                <w:color w:val="auto"/>
              </w:rPr>
            </w:pPr>
            <w:r>
              <w:rPr>
                <w:rFonts w:ascii="Times New Roman" w:cs="Times New Roman" w:eastAsia="Times New Roman" w:hAnsi="Times New Roman"/>
                <w:sz w:val="18"/>
                <w:szCs w:val="18"/>
                <w:color w:val="auto"/>
                <w:w w:val="97"/>
              </w:rPr>
              <w:t>[***]</w:t>
            </w:r>
          </w:p>
        </w:tc>
        <w:tc>
          <w:tcPr>
            <w:tcW w:w="960" w:type="dxa"/>
            <w:vAlign w:val="bottom"/>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174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7"/>
              </w:rPr>
              <w:t>[***]</w:t>
            </w:r>
          </w:p>
        </w:tc>
        <w:tc>
          <w:tcPr>
            <w:tcW w:w="160" w:type="dxa"/>
            <w:vAlign w:val="bottom"/>
            <w:tcBorders>
              <w:right w:val="single" w:sz="8" w:color="auto"/>
            </w:tcBorders>
          </w:tcPr>
          <w:p>
            <w:pPr>
              <w:spacing w:after="0"/>
              <w:rPr>
                <w:sz w:val="19"/>
                <w:szCs w:val="19"/>
                <w:color w:val="auto"/>
              </w:rPr>
            </w:pPr>
          </w:p>
        </w:tc>
        <w:tc>
          <w:tcPr>
            <w:tcW w:w="2820" w:type="dxa"/>
            <w:vAlign w:val="bottom"/>
            <w:gridSpan w:val="2"/>
          </w:tcPr>
          <w:p>
            <w:pPr>
              <w:jc w:val="center"/>
              <w:ind w:left="511"/>
              <w:spacing w:after="0"/>
              <w:rPr>
                <w:sz w:val="20"/>
                <w:szCs w:val="20"/>
                <w:color w:val="auto"/>
              </w:rPr>
            </w:pPr>
            <w:r>
              <w:rPr>
                <w:rFonts w:ascii="Times New Roman" w:cs="Times New Roman" w:eastAsia="Times New Roman" w:hAnsi="Times New Roman"/>
                <w:sz w:val="18"/>
                <w:szCs w:val="18"/>
                <w:color w:val="auto"/>
                <w:w w:val="97"/>
              </w:rPr>
              <w:t>[***]</w:t>
            </w:r>
          </w:p>
        </w:tc>
        <w:tc>
          <w:tcPr>
            <w:tcW w:w="620" w:type="dxa"/>
            <w:vAlign w:val="bottom"/>
            <w:tcBorders>
              <w:right w:val="single" w:sz="8" w:color="auto"/>
            </w:tcBorders>
          </w:tcPr>
          <w:p>
            <w:pPr>
              <w:spacing w:after="0"/>
              <w:rPr>
                <w:sz w:val="19"/>
                <w:szCs w:val="19"/>
                <w:color w:val="auto"/>
              </w:rPr>
            </w:pPr>
          </w:p>
        </w:tc>
      </w:tr>
      <w:tr>
        <w:trPr>
          <w:trHeight w:val="198"/>
        </w:trPr>
        <w:tc>
          <w:tcPr>
            <w:tcW w:w="900" w:type="dxa"/>
            <w:vAlign w:val="bottom"/>
            <w:tcBorders>
              <w:left w:val="single" w:sz="8" w:color="auto"/>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r>
      <w:tr>
        <w:trPr>
          <w:trHeight w:val="228"/>
        </w:trPr>
        <w:tc>
          <w:tcPr>
            <w:tcW w:w="24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June 30, 2026</w:t>
            </w:r>
          </w:p>
        </w:tc>
        <w:tc>
          <w:tcPr>
            <w:tcW w:w="2040" w:type="dxa"/>
            <w:vAlign w:val="bottom"/>
            <w:gridSpan w:val="2"/>
          </w:tcPr>
          <w:p>
            <w:pPr>
              <w:jc w:val="center"/>
              <w:ind w:left="1290"/>
              <w:spacing w:after="0"/>
              <w:rPr>
                <w:sz w:val="20"/>
                <w:szCs w:val="20"/>
                <w:color w:val="auto"/>
              </w:rPr>
            </w:pPr>
            <w:r>
              <w:rPr>
                <w:rFonts w:ascii="Times New Roman" w:cs="Times New Roman" w:eastAsia="Times New Roman" w:hAnsi="Times New Roman"/>
                <w:sz w:val="18"/>
                <w:szCs w:val="18"/>
                <w:color w:val="auto"/>
                <w:w w:val="97"/>
              </w:rPr>
              <w:t>[***]</w:t>
            </w:r>
          </w:p>
        </w:tc>
        <w:tc>
          <w:tcPr>
            <w:tcW w:w="960" w:type="dxa"/>
            <w:vAlign w:val="bottom"/>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174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7"/>
              </w:rPr>
              <w:t>[***]</w:t>
            </w:r>
          </w:p>
        </w:tc>
        <w:tc>
          <w:tcPr>
            <w:tcW w:w="160" w:type="dxa"/>
            <w:vAlign w:val="bottom"/>
            <w:tcBorders>
              <w:right w:val="single" w:sz="8" w:color="auto"/>
            </w:tcBorders>
          </w:tcPr>
          <w:p>
            <w:pPr>
              <w:spacing w:after="0"/>
              <w:rPr>
                <w:sz w:val="19"/>
                <w:szCs w:val="19"/>
                <w:color w:val="auto"/>
              </w:rPr>
            </w:pPr>
          </w:p>
        </w:tc>
        <w:tc>
          <w:tcPr>
            <w:tcW w:w="2820" w:type="dxa"/>
            <w:vAlign w:val="bottom"/>
            <w:gridSpan w:val="2"/>
          </w:tcPr>
          <w:p>
            <w:pPr>
              <w:jc w:val="center"/>
              <w:ind w:left="511"/>
              <w:spacing w:after="0"/>
              <w:rPr>
                <w:sz w:val="20"/>
                <w:szCs w:val="20"/>
                <w:color w:val="auto"/>
              </w:rPr>
            </w:pPr>
            <w:r>
              <w:rPr>
                <w:rFonts w:ascii="Times New Roman" w:cs="Times New Roman" w:eastAsia="Times New Roman" w:hAnsi="Times New Roman"/>
                <w:sz w:val="18"/>
                <w:szCs w:val="18"/>
                <w:color w:val="auto"/>
                <w:w w:val="97"/>
              </w:rPr>
              <w:t>[***]</w:t>
            </w:r>
          </w:p>
        </w:tc>
        <w:tc>
          <w:tcPr>
            <w:tcW w:w="620" w:type="dxa"/>
            <w:vAlign w:val="bottom"/>
            <w:tcBorders>
              <w:right w:val="single" w:sz="8" w:color="auto"/>
            </w:tcBorders>
          </w:tcPr>
          <w:p>
            <w:pPr>
              <w:spacing w:after="0"/>
              <w:rPr>
                <w:sz w:val="19"/>
                <w:szCs w:val="19"/>
                <w:color w:val="auto"/>
              </w:rPr>
            </w:pPr>
          </w:p>
        </w:tc>
      </w:tr>
      <w:tr>
        <w:trPr>
          <w:trHeight w:val="198"/>
        </w:trPr>
        <w:tc>
          <w:tcPr>
            <w:tcW w:w="900" w:type="dxa"/>
            <w:vAlign w:val="bottom"/>
            <w:tcBorders>
              <w:left w:val="single" w:sz="8" w:color="auto"/>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r>
      <w:tr>
        <w:trPr>
          <w:trHeight w:val="228"/>
        </w:trPr>
        <w:tc>
          <w:tcPr>
            <w:tcW w:w="24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September 30, 2026</w:t>
            </w:r>
          </w:p>
        </w:tc>
        <w:tc>
          <w:tcPr>
            <w:tcW w:w="2040" w:type="dxa"/>
            <w:vAlign w:val="bottom"/>
            <w:gridSpan w:val="2"/>
          </w:tcPr>
          <w:p>
            <w:pPr>
              <w:jc w:val="center"/>
              <w:ind w:left="1290"/>
              <w:spacing w:after="0"/>
              <w:rPr>
                <w:sz w:val="20"/>
                <w:szCs w:val="20"/>
                <w:color w:val="auto"/>
              </w:rPr>
            </w:pPr>
            <w:r>
              <w:rPr>
                <w:rFonts w:ascii="Times New Roman" w:cs="Times New Roman" w:eastAsia="Times New Roman" w:hAnsi="Times New Roman"/>
                <w:sz w:val="18"/>
                <w:szCs w:val="18"/>
                <w:color w:val="auto"/>
                <w:w w:val="97"/>
              </w:rPr>
              <w:t>[***]</w:t>
            </w:r>
          </w:p>
        </w:tc>
        <w:tc>
          <w:tcPr>
            <w:tcW w:w="960" w:type="dxa"/>
            <w:vAlign w:val="bottom"/>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174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7"/>
              </w:rPr>
              <w:t>[***]</w:t>
            </w:r>
          </w:p>
        </w:tc>
        <w:tc>
          <w:tcPr>
            <w:tcW w:w="160" w:type="dxa"/>
            <w:vAlign w:val="bottom"/>
            <w:tcBorders>
              <w:right w:val="single" w:sz="8" w:color="auto"/>
            </w:tcBorders>
          </w:tcPr>
          <w:p>
            <w:pPr>
              <w:spacing w:after="0"/>
              <w:rPr>
                <w:sz w:val="19"/>
                <w:szCs w:val="19"/>
                <w:color w:val="auto"/>
              </w:rPr>
            </w:pPr>
          </w:p>
        </w:tc>
        <w:tc>
          <w:tcPr>
            <w:tcW w:w="2820" w:type="dxa"/>
            <w:vAlign w:val="bottom"/>
            <w:gridSpan w:val="2"/>
          </w:tcPr>
          <w:p>
            <w:pPr>
              <w:jc w:val="center"/>
              <w:ind w:left="511"/>
              <w:spacing w:after="0"/>
              <w:rPr>
                <w:sz w:val="20"/>
                <w:szCs w:val="20"/>
                <w:color w:val="auto"/>
              </w:rPr>
            </w:pPr>
            <w:r>
              <w:rPr>
                <w:rFonts w:ascii="Times New Roman" w:cs="Times New Roman" w:eastAsia="Times New Roman" w:hAnsi="Times New Roman"/>
                <w:sz w:val="18"/>
                <w:szCs w:val="18"/>
                <w:color w:val="auto"/>
                <w:w w:val="97"/>
              </w:rPr>
              <w:t>[***]</w:t>
            </w:r>
          </w:p>
        </w:tc>
        <w:tc>
          <w:tcPr>
            <w:tcW w:w="620" w:type="dxa"/>
            <w:vAlign w:val="bottom"/>
            <w:tcBorders>
              <w:right w:val="single" w:sz="8" w:color="auto"/>
            </w:tcBorders>
          </w:tcPr>
          <w:p>
            <w:pPr>
              <w:spacing w:after="0"/>
              <w:rPr>
                <w:sz w:val="19"/>
                <w:szCs w:val="19"/>
                <w:color w:val="auto"/>
              </w:rPr>
            </w:pPr>
          </w:p>
        </w:tc>
      </w:tr>
      <w:tr>
        <w:trPr>
          <w:trHeight w:val="198"/>
        </w:trPr>
        <w:tc>
          <w:tcPr>
            <w:tcW w:w="900" w:type="dxa"/>
            <w:vAlign w:val="bottom"/>
            <w:tcBorders>
              <w:left w:val="single" w:sz="8" w:color="auto"/>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r>
      <w:tr>
        <w:trPr>
          <w:trHeight w:val="228"/>
        </w:trPr>
        <w:tc>
          <w:tcPr>
            <w:tcW w:w="2440" w:type="dxa"/>
            <w:vAlign w:val="bottom"/>
            <w:tcBorders>
              <w:left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December 31, 2026</w:t>
            </w:r>
          </w:p>
        </w:tc>
        <w:tc>
          <w:tcPr>
            <w:tcW w:w="2040" w:type="dxa"/>
            <w:vAlign w:val="bottom"/>
            <w:gridSpan w:val="2"/>
          </w:tcPr>
          <w:p>
            <w:pPr>
              <w:jc w:val="center"/>
              <w:ind w:left="1290"/>
              <w:spacing w:after="0"/>
              <w:rPr>
                <w:sz w:val="20"/>
                <w:szCs w:val="20"/>
                <w:color w:val="auto"/>
              </w:rPr>
            </w:pPr>
            <w:r>
              <w:rPr>
                <w:rFonts w:ascii="Times New Roman" w:cs="Times New Roman" w:eastAsia="Times New Roman" w:hAnsi="Times New Roman"/>
                <w:sz w:val="18"/>
                <w:szCs w:val="18"/>
                <w:color w:val="auto"/>
                <w:w w:val="97"/>
              </w:rPr>
              <w:t>[***]</w:t>
            </w:r>
          </w:p>
        </w:tc>
        <w:tc>
          <w:tcPr>
            <w:tcW w:w="960" w:type="dxa"/>
            <w:vAlign w:val="bottom"/>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174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7"/>
              </w:rPr>
              <w:t>[***]</w:t>
            </w:r>
          </w:p>
        </w:tc>
        <w:tc>
          <w:tcPr>
            <w:tcW w:w="160" w:type="dxa"/>
            <w:vAlign w:val="bottom"/>
            <w:tcBorders>
              <w:right w:val="single" w:sz="8" w:color="auto"/>
            </w:tcBorders>
          </w:tcPr>
          <w:p>
            <w:pPr>
              <w:spacing w:after="0"/>
              <w:rPr>
                <w:sz w:val="19"/>
                <w:szCs w:val="19"/>
                <w:color w:val="auto"/>
              </w:rPr>
            </w:pPr>
          </w:p>
        </w:tc>
        <w:tc>
          <w:tcPr>
            <w:tcW w:w="2820" w:type="dxa"/>
            <w:vAlign w:val="bottom"/>
            <w:gridSpan w:val="2"/>
          </w:tcPr>
          <w:p>
            <w:pPr>
              <w:jc w:val="center"/>
              <w:ind w:left="511"/>
              <w:spacing w:after="0"/>
              <w:rPr>
                <w:sz w:val="20"/>
                <w:szCs w:val="20"/>
                <w:color w:val="auto"/>
              </w:rPr>
            </w:pPr>
            <w:r>
              <w:rPr>
                <w:rFonts w:ascii="Times New Roman" w:cs="Times New Roman" w:eastAsia="Times New Roman" w:hAnsi="Times New Roman"/>
                <w:sz w:val="18"/>
                <w:szCs w:val="18"/>
                <w:color w:val="auto"/>
                <w:w w:val="97"/>
              </w:rPr>
              <w:t>[***]</w:t>
            </w:r>
          </w:p>
        </w:tc>
        <w:tc>
          <w:tcPr>
            <w:tcW w:w="620" w:type="dxa"/>
            <w:vAlign w:val="bottom"/>
            <w:tcBorders>
              <w:right w:val="single" w:sz="8" w:color="auto"/>
            </w:tcBorders>
          </w:tcPr>
          <w:p>
            <w:pPr>
              <w:spacing w:after="0"/>
              <w:rPr>
                <w:sz w:val="19"/>
                <w:szCs w:val="19"/>
                <w:color w:val="auto"/>
              </w:rPr>
            </w:pPr>
          </w:p>
        </w:tc>
      </w:tr>
      <w:tr>
        <w:trPr>
          <w:trHeight w:val="198"/>
        </w:trPr>
        <w:tc>
          <w:tcPr>
            <w:tcW w:w="900" w:type="dxa"/>
            <w:vAlign w:val="bottom"/>
            <w:tcBorders>
              <w:left w:val="single" w:sz="8" w:color="auto"/>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1740" w:firstLine="8"/>
        <w:spacing w:after="0" w:line="280" w:lineRule="auto"/>
        <w:tabs>
          <w:tab w:leader="none" w:pos="391"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confidential information contained in this document, marked by brackets, has been omitted because it is both (i)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7" w:name="page178"/>
    <w:bookmarkEnd w:id="177"/>
    <w:p>
      <w:pPr>
        <w:jc w:val="center"/>
        <w:ind w:right="-71"/>
        <w:spacing w:after="0"/>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HAS BEEN OMITTED BECAUSE IT IS BOTH (I) NOT</w:t>
      </w:r>
    </w:p>
    <w:p>
      <w:pPr>
        <w:spacing w:after="0" w:line="31" w:lineRule="exact"/>
        <w:rPr>
          <w:sz w:val="20"/>
          <w:szCs w:val="20"/>
          <w:color w:val="auto"/>
        </w:rPr>
      </w:pPr>
    </w:p>
    <w:p>
      <w:pPr>
        <w:jc w:val="center"/>
        <w:ind w:left="400" w:right="280"/>
        <w:spacing w:after="0" w:line="258" w:lineRule="auto"/>
        <w:rPr>
          <w:sz w:val="20"/>
          <w:szCs w:val="20"/>
          <w:color w:val="auto"/>
        </w:rPr>
      </w:pPr>
      <w:r>
        <w:rPr>
          <w:rFonts w:ascii="Times New Roman" w:cs="Times New Roman" w:eastAsia="Times New Roman" w:hAnsi="Times New Roman"/>
          <w:sz w:val="18"/>
          <w:szCs w:val="18"/>
          <w:b w:val="1"/>
          <w:bCs w:val="1"/>
          <w:color w:val="auto"/>
        </w:rPr>
        <w:t>MATERIAL AND (II) WOULD BE COMPETITIVELY HARMFUL IF PUBLICLY DISCLOSED. INFORMATION THAT HAS BEEN OMITTED HAS BEEN NOTED IN THIS DOCUMENT WITH A PLACEHOLDER IDENTIFIED BY THE MARK “[***]”.</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862" w:type="dxa"/>
        <w:tblCellMar>
          <w:top w:w="0" w:type="dxa"/>
          <w:left w:w="0" w:type="dxa"/>
          <w:bottom w:w="0" w:type="dxa"/>
          <w:right w:w="0" w:type="dxa"/>
        </w:tblCellMar>
      </w:tblPr>
      <w:tr>
        <w:trPr>
          <w:trHeight w:val="238"/>
        </w:trPr>
        <w:tc>
          <w:tcPr>
            <w:tcW w:w="2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480" w:type="dxa"/>
            <w:vAlign w:val="bottom"/>
            <w:gridSpan w:val="2"/>
          </w:tcPr>
          <w:p>
            <w:pPr>
              <w:jc w:val="center"/>
              <w:ind w:right="2940"/>
              <w:spacing w:after="0"/>
              <w:rPr>
                <w:sz w:val="20"/>
                <w:szCs w:val="20"/>
                <w:color w:val="auto"/>
              </w:rPr>
            </w:pPr>
            <w:r>
              <w:rPr>
                <w:rFonts w:ascii="Times New Roman" w:cs="Times New Roman" w:eastAsia="Times New Roman" w:hAnsi="Times New Roman"/>
                <w:sz w:val="18"/>
                <w:szCs w:val="18"/>
                <w:b w:val="1"/>
                <w:bCs w:val="1"/>
                <w:color w:val="auto"/>
              </w:rPr>
              <w:t>ANNEX A</w:t>
            </w:r>
          </w:p>
        </w:tc>
      </w:tr>
      <w:tr>
        <w:trPr>
          <w:trHeight w:val="364"/>
        </w:trPr>
        <w:tc>
          <w:tcPr>
            <w:tcW w:w="2300" w:type="dxa"/>
            <w:vAlign w:val="bottom"/>
          </w:tcPr>
          <w:p>
            <w:pPr>
              <w:spacing w:after="0"/>
              <w:rPr>
                <w:sz w:val="24"/>
                <w:szCs w:val="24"/>
                <w:color w:val="auto"/>
              </w:rPr>
            </w:pPr>
          </w:p>
        </w:tc>
        <w:tc>
          <w:tcPr>
            <w:tcW w:w="6680" w:type="dxa"/>
            <w:vAlign w:val="bottom"/>
            <w:gridSpan w:val="3"/>
          </w:tcPr>
          <w:p>
            <w:pPr>
              <w:jc w:val="center"/>
              <w:ind w:right="1740"/>
              <w:spacing w:after="0"/>
              <w:rPr>
                <w:sz w:val="20"/>
                <w:szCs w:val="20"/>
                <w:color w:val="auto"/>
              </w:rPr>
            </w:pPr>
            <w:r>
              <w:rPr>
                <w:rFonts w:ascii="Times New Roman" w:cs="Times New Roman" w:eastAsia="Times New Roman" w:hAnsi="Times New Roman"/>
                <w:sz w:val="18"/>
                <w:szCs w:val="18"/>
                <w:b w:val="1"/>
                <w:bCs w:val="1"/>
                <w:color w:val="auto"/>
                <w:w w:val="99"/>
              </w:rPr>
              <w:t>Fourth Draw Period Milestone and Fifth Draw Period Milestone</w:t>
            </w:r>
          </w:p>
        </w:tc>
      </w:tr>
      <w:tr>
        <w:trPr>
          <w:trHeight w:val="260"/>
        </w:trPr>
        <w:tc>
          <w:tcPr>
            <w:tcW w:w="2300" w:type="dxa"/>
            <w:vAlign w:val="bottom"/>
            <w:tcBorders>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spacing w:after="0"/>
              <w:rPr>
                <w:sz w:val="22"/>
                <w:szCs w:val="22"/>
                <w:color w:val="auto"/>
              </w:rPr>
            </w:pPr>
          </w:p>
        </w:tc>
        <w:tc>
          <w:tcPr>
            <w:tcW w:w="3740" w:type="dxa"/>
            <w:vAlign w:val="bottom"/>
            <w:tcBorders>
              <w:top w:val="single" w:sz="8" w:color="auto"/>
              <w:bottom w:val="single" w:sz="8" w:color="auto"/>
            </w:tcBorders>
          </w:tcPr>
          <w:p>
            <w:pPr>
              <w:spacing w:after="0"/>
              <w:rPr>
                <w:sz w:val="22"/>
                <w:szCs w:val="22"/>
                <w:color w:val="auto"/>
              </w:rPr>
            </w:pPr>
          </w:p>
        </w:tc>
        <w:tc>
          <w:tcPr>
            <w:tcW w:w="1740" w:type="dxa"/>
            <w:vAlign w:val="bottom"/>
            <w:tcBorders>
              <w:bottom w:val="single" w:sz="8" w:color="auto"/>
            </w:tcBorders>
          </w:tcPr>
          <w:p>
            <w:pPr>
              <w:spacing w:after="0"/>
              <w:rPr>
                <w:sz w:val="22"/>
                <w:szCs w:val="22"/>
                <w:color w:val="auto"/>
              </w:rPr>
            </w:pPr>
          </w:p>
        </w:tc>
      </w:tr>
      <w:tr>
        <w:trPr>
          <w:trHeight w:val="191"/>
        </w:trPr>
        <w:tc>
          <w:tcPr>
            <w:tcW w:w="2300" w:type="dxa"/>
            <w:vAlign w:val="bottom"/>
            <w:tcBorders>
              <w:lef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5480" w:type="dxa"/>
            <w:vAlign w:val="bottom"/>
            <w:tcBorders>
              <w:right w:val="single" w:sz="8" w:color="auto"/>
            </w:tcBorders>
            <w:gridSpan w:val="2"/>
          </w:tcPr>
          <w:p>
            <w:pPr>
              <w:jc w:val="center"/>
              <w:ind w:right="100"/>
              <w:spacing w:after="0" w:line="191" w:lineRule="exact"/>
              <w:rPr>
                <w:sz w:val="20"/>
                <w:szCs w:val="20"/>
                <w:color w:val="auto"/>
              </w:rPr>
            </w:pPr>
            <w:r>
              <w:rPr>
                <w:rFonts w:ascii="Times New Roman" w:cs="Times New Roman" w:eastAsia="Times New Roman" w:hAnsi="Times New Roman"/>
                <w:sz w:val="18"/>
                <w:szCs w:val="18"/>
                <w:color w:val="auto"/>
                <w:w w:val="98"/>
              </w:rPr>
              <w:t>Amount</w:t>
            </w:r>
          </w:p>
        </w:tc>
      </w:tr>
      <w:tr>
        <w:trPr>
          <w:trHeight w:val="234"/>
        </w:trPr>
        <w:tc>
          <w:tcPr>
            <w:tcW w:w="2300" w:type="dxa"/>
            <w:vAlign w:val="bottom"/>
            <w:tcBorders>
              <w:left w:val="single" w:sz="8" w:color="auto"/>
              <w:bottom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3740" w:type="dxa"/>
            <w:vAlign w:val="bottom"/>
            <w:tcBorders>
              <w:bottom w:val="single" w:sz="8" w:color="auto"/>
            </w:tcBorders>
          </w:tcPr>
          <w:p>
            <w:pPr>
              <w:spacing w:after="0"/>
              <w:rPr>
                <w:sz w:val="20"/>
                <w:szCs w:val="20"/>
                <w:color w:val="auto"/>
              </w:rPr>
            </w:pPr>
          </w:p>
        </w:tc>
        <w:tc>
          <w:tcPr>
            <w:tcW w:w="1740" w:type="dxa"/>
            <w:vAlign w:val="bottom"/>
            <w:tcBorders>
              <w:bottom w:val="single" w:sz="8" w:color="auto"/>
              <w:right w:val="single" w:sz="8" w:color="auto"/>
            </w:tcBorders>
          </w:tcPr>
          <w:p>
            <w:pPr>
              <w:spacing w:after="0"/>
              <w:rPr>
                <w:sz w:val="20"/>
                <w:szCs w:val="20"/>
                <w:color w:val="auto"/>
              </w:rPr>
            </w:pPr>
          </w:p>
        </w:tc>
      </w:tr>
      <w:tr>
        <w:trPr>
          <w:trHeight w:val="194"/>
        </w:trPr>
        <w:tc>
          <w:tcPr>
            <w:tcW w:w="3500" w:type="dxa"/>
            <w:vAlign w:val="bottom"/>
            <w:tcBorders>
              <w:left w:val="single" w:sz="8" w:color="auto"/>
              <w:right w:val="single" w:sz="8" w:color="auto"/>
            </w:tcBorders>
            <w:gridSpan w:val="2"/>
          </w:tcPr>
          <w:p>
            <w:pPr>
              <w:jc w:val="center"/>
              <w:spacing w:after="0" w:line="195" w:lineRule="exact"/>
              <w:rPr>
                <w:sz w:val="20"/>
                <w:szCs w:val="20"/>
                <w:color w:val="auto"/>
              </w:rPr>
            </w:pPr>
            <w:r>
              <w:rPr>
                <w:rFonts w:ascii="Times New Roman" w:cs="Times New Roman" w:eastAsia="Times New Roman" w:hAnsi="Times New Roman"/>
                <w:sz w:val="18"/>
                <w:szCs w:val="18"/>
                <w:color w:val="auto"/>
              </w:rPr>
              <w:t>Fourth Draw Period Milestone</w:t>
            </w:r>
          </w:p>
        </w:tc>
        <w:tc>
          <w:tcPr>
            <w:tcW w:w="3740" w:type="dxa"/>
            <w:vAlign w:val="bottom"/>
          </w:tcPr>
          <w:p>
            <w:pPr>
              <w:jc w:val="center"/>
              <w:ind w:left="1590"/>
              <w:spacing w:after="0" w:line="195" w:lineRule="exact"/>
              <w:rPr>
                <w:sz w:val="20"/>
                <w:szCs w:val="20"/>
                <w:color w:val="auto"/>
              </w:rPr>
            </w:pPr>
            <w:r>
              <w:rPr>
                <w:rFonts w:ascii="Times New Roman" w:cs="Times New Roman" w:eastAsia="Times New Roman" w:hAnsi="Times New Roman"/>
                <w:sz w:val="18"/>
                <w:szCs w:val="18"/>
                <w:color w:val="auto"/>
                <w:w w:val="97"/>
              </w:rPr>
              <w:t>[***]</w:t>
            </w:r>
          </w:p>
        </w:tc>
        <w:tc>
          <w:tcPr>
            <w:tcW w:w="1740" w:type="dxa"/>
            <w:vAlign w:val="bottom"/>
            <w:tcBorders>
              <w:right w:val="single" w:sz="8" w:color="auto"/>
            </w:tcBorders>
          </w:tcPr>
          <w:p>
            <w:pPr>
              <w:spacing w:after="0"/>
              <w:rPr>
                <w:sz w:val="16"/>
                <w:szCs w:val="16"/>
                <w:color w:val="auto"/>
              </w:rPr>
            </w:pPr>
          </w:p>
        </w:tc>
      </w:tr>
      <w:tr>
        <w:trPr>
          <w:trHeight w:val="194"/>
        </w:trPr>
        <w:tc>
          <w:tcPr>
            <w:tcW w:w="2300" w:type="dxa"/>
            <w:vAlign w:val="bottom"/>
            <w:tcBorders>
              <w:left w:val="single" w:sz="8" w:color="auto"/>
              <w:bottom w:val="single" w:sz="8" w:color="auto"/>
            </w:tcBorders>
          </w:tcPr>
          <w:p>
            <w:pPr>
              <w:spacing w:after="0"/>
              <w:rPr>
                <w:sz w:val="16"/>
                <w:szCs w:val="16"/>
                <w:color w:val="auto"/>
              </w:rPr>
            </w:pPr>
          </w:p>
        </w:tc>
        <w:tc>
          <w:tcPr>
            <w:tcW w:w="1200" w:type="dxa"/>
            <w:vAlign w:val="bottom"/>
            <w:tcBorders>
              <w:bottom w:val="single" w:sz="8" w:color="auto"/>
              <w:right w:val="single" w:sz="8" w:color="auto"/>
            </w:tcBorders>
          </w:tcPr>
          <w:p>
            <w:pPr>
              <w:spacing w:after="0"/>
              <w:rPr>
                <w:sz w:val="16"/>
                <w:szCs w:val="16"/>
                <w:color w:val="auto"/>
              </w:rPr>
            </w:pPr>
          </w:p>
        </w:tc>
        <w:tc>
          <w:tcPr>
            <w:tcW w:w="3740" w:type="dxa"/>
            <w:vAlign w:val="bottom"/>
            <w:tcBorders>
              <w:bottom w:val="single" w:sz="8" w:color="auto"/>
            </w:tcBorders>
          </w:tcPr>
          <w:p>
            <w:pPr>
              <w:spacing w:after="0"/>
              <w:rPr>
                <w:sz w:val="16"/>
                <w:szCs w:val="16"/>
                <w:color w:val="auto"/>
              </w:rPr>
            </w:pPr>
          </w:p>
        </w:tc>
        <w:tc>
          <w:tcPr>
            <w:tcW w:w="1740" w:type="dxa"/>
            <w:vAlign w:val="bottom"/>
            <w:tcBorders>
              <w:bottom w:val="single" w:sz="8" w:color="auto"/>
              <w:right w:val="single" w:sz="8" w:color="auto"/>
            </w:tcBorders>
          </w:tcPr>
          <w:p>
            <w:pPr>
              <w:spacing w:after="0"/>
              <w:rPr>
                <w:sz w:val="16"/>
                <w:szCs w:val="16"/>
                <w:color w:val="auto"/>
              </w:rPr>
            </w:pPr>
          </w:p>
        </w:tc>
      </w:tr>
      <w:tr>
        <w:trPr>
          <w:trHeight w:val="228"/>
        </w:trPr>
        <w:tc>
          <w:tcPr>
            <w:tcW w:w="350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Fifth Draw Period Milestone</w:t>
            </w:r>
          </w:p>
        </w:tc>
        <w:tc>
          <w:tcPr>
            <w:tcW w:w="374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w w:val="97"/>
              </w:rPr>
              <w:t>[***]</w:t>
            </w:r>
          </w:p>
        </w:tc>
        <w:tc>
          <w:tcPr>
            <w:tcW w:w="1740" w:type="dxa"/>
            <w:vAlign w:val="bottom"/>
            <w:tcBorders>
              <w:right w:val="single" w:sz="8" w:color="auto"/>
            </w:tcBorders>
          </w:tcPr>
          <w:p>
            <w:pPr>
              <w:spacing w:after="0"/>
              <w:rPr>
                <w:sz w:val="19"/>
                <w:szCs w:val="19"/>
                <w:color w:val="auto"/>
              </w:rPr>
            </w:pPr>
          </w:p>
        </w:tc>
      </w:tr>
      <w:tr>
        <w:trPr>
          <w:trHeight w:val="198"/>
        </w:trPr>
        <w:tc>
          <w:tcPr>
            <w:tcW w:w="2300" w:type="dxa"/>
            <w:vAlign w:val="bottom"/>
            <w:tcBorders>
              <w:left w:val="single" w:sz="8" w:color="auto"/>
              <w:bottom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c>
          <w:tcPr>
            <w:tcW w:w="3740" w:type="dxa"/>
            <w:vAlign w:val="bottom"/>
            <w:tcBorders>
              <w:bottom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r>
    </w:tbl>
    <w:p>
      <w:pPr>
        <w:spacing w:after="0" w:line="200" w:lineRule="exact"/>
        <w:rPr>
          <w:sz w:val="20"/>
          <w:szCs w:val="20"/>
          <w:color w:val="auto"/>
        </w:rPr>
      </w:pPr>
    </w:p>
    <w:p>
      <w:pPr>
        <w:spacing w:after="0" w:line="340" w:lineRule="exact"/>
        <w:rPr>
          <w:sz w:val="20"/>
          <w:szCs w:val="20"/>
          <w:color w:val="auto"/>
        </w:rPr>
      </w:pPr>
    </w:p>
    <w:p>
      <w:pPr>
        <w:ind w:left="-8" w:right="1620" w:firstLine="8"/>
        <w:spacing w:after="0" w:line="280" w:lineRule="auto"/>
        <w:tabs>
          <w:tab w:leader="none" w:pos="383"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confidential information contained in this document, marked by brackets, has been omitted because it is both (i)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32385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12"/>
          </w:cols>
          <w:pgMar w:left="328" w:top="117" w:right="459" w:bottom="1440" w:gutter="0" w:footer="0" w:header="0"/>
        </w:sectPr>
      </w:pPr>
    </w:p>
    <w:bookmarkStart w:id="178" w:name="page179"/>
    <w:bookmarkEnd w:id="17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HAS BEEN OMITTED BECAUSE IT IS BOTH (I) NOT</w:t>
      </w:r>
    </w:p>
    <w:p>
      <w:pPr>
        <w:spacing w:after="0" w:line="20" w:lineRule="exact"/>
        <w:rPr>
          <w:sz w:val="20"/>
          <w:szCs w:val="20"/>
          <w:color w:val="auto"/>
        </w:rPr>
      </w:pPr>
    </w:p>
    <w:p>
      <w:pPr>
        <w:jc w:val="center"/>
        <w:ind w:right="40"/>
        <w:spacing w:after="0" w:line="258" w:lineRule="auto"/>
        <w:rPr>
          <w:sz w:val="20"/>
          <w:szCs w:val="20"/>
          <w:color w:val="auto"/>
        </w:rPr>
      </w:pPr>
      <w:r>
        <w:rPr>
          <w:rFonts w:ascii="Times New Roman" w:cs="Times New Roman" w:eastAsia="Times New Roman" w:hAnsi="Times New Roman"/>
          <w:sz w:val="18"/>
          <w:szCs w:val="18"/>
          <w:b w:val="1"/>
          <w:bCs w:val="1"/>
          <w:color w:val="auto"/>
        </w:rPr>
        <w:t>MATERIAL AND (II) WOULD BE COMPETITIVELY HARMFUL IF PUBLICLY DISCLOSED. INFORMATION THAT HAS BEEN OMITTED HAS BEEN NOTED IN THIS DOCUMENT WITH A PLACEHOLDER IDENTIFIED BY THE MARK “[***]”.</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10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C</w:t>
            </w:r>
          </w:p>
        </w:tc>
      </w:tr>
      <w:tr>
        <w:trPr>
          <w:trHeight w:val="364"/>
        </w:trPr>
        <w:tc>
          <w:tcPr>
            <w:tcW w:w="10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Compliance Certificate</w:t>
            </w:r>
          </w:p>
        </w:tc>
      </w:tr>
      <w:tr>
        <w:trPr>
          <w:trHeight w:val="439"/>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TO:</w:t>
            </w:r>
          </w:p>
        </w:tc>
        <w:tc>
          <w:tcPr>
            <w:tcW w:w="53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OXFORD FINANCE LLC, as Collateral Agent and Lender</w:t>
            </w:r>
          </w:p>
        </w:tc>
      </w:tr>
      <w:tr>
        <w:trPr>
          <w:trHeight w:val="43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FROM:</w:t>
            </w:r>
          </w:p>
        </w:tc>
        <w:tc>
          <w:tcPr>
            <w:tcW w:w="53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RXSIGHT, INC.</w:t>
            </w:r>
          </w:p>
        </w:tc>
      </w:tr>
    </w:tbl>
    <w:p>
      <w:pPr>
        <w:spacing w:after="0" w:line="1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undersigned authorized officer (“</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of RXSIGHT, INC., a Delaware corporation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hereby certifies that in accordance with the terms and conditions of the Loan and Security Agreement by and among Borrower, Collateral Agent, and the Lenders from time to time party thereto (the “</w:t>
      </w:r>
      <w:r>
        <w:rPr>
          <w:rFonts w:ascii="Times New Roman" w:cs="Times New Roman" w:eastAsia="Times New Roman" w:hAnsi="Times New Roman"/>
          <w:sz w:val="18"/>
          <w:szCs w:val="18"/>
          <w:b w:val="1"/>
          <w:bCs w:val="1"/>
          <w:color w:val="auto"/>
        </w:rPr>
        <w:t>Loan Agreement</w:t>
      </w:r>
      <w:r>
        <w:rPr>
          <w:rFonts w:ascii="Times New Roman" w:cs="Times New Roman" w:eastAsia="Times New Roman" w:hAnsi="Times New Roman"/>
          <w:sz w:val="18"/>
          <w:szCs w:val="18"/>
          <w:color w:val="auto"/>
        </w:rPr>
        <w:t>;” capitalized terms used but not otherwise defined herein shall have the meanings given them in the Loan Agreement),</w:t>
      </w:r>
    </w:p>
    <w:p>
      <w:pPr>
        <w:spacing w:after="0" w:line="168" w:lineRule="exact"/>
        <w:rPr>
          <w:sz w:val="20"/>
          <w:szCs w:val="20"/>
          <w:color w:val="auto"/>
        </w:rPr>
      </w:pPr>
    </w:p>
    <w:p>
      <w:pPr>
        <w:ind w:left="1120" w:hanging="363"/>
        <w:spacing w:after="0"/>
        <w:tabs>
          <w:tab w:leader="none" w:pos="112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is in complete compliance for the period ending _______________ with all required covenants except as noted below;</w:t>
      </w:r>
    </w:p>
    <w:p>
      <w:pPr>
        <w:spacing w:after="0" w:line="225"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Events of Default, except as noted below;</w:t>
      </w:r>
    </w:p>
    <w:p>
      <w:pPr>
        <w:spacing w:after="0" w:line="211" w:lineRule="exact"/>
        <w:rPr>
          <w:rFonts w:ascii="Times New Roman" w:cs="Times New Roman" w:eastAsia="Times New Roman" w:hAnsi="Times New Roman"/>
          <w:sz w:val="18"/>
          <w:szCs w:val="18"/>
          <w:color w:val="auto"/>
        </w:rPr>
      </w:pPr>
    </w:p>
    <w:p>
      <w:pPr>
        <w:jc w:val="both"/>
        <w:ind w:firstLine="757"/>
        <w:spacing w:after="0" w:line="250" w:lineRule="auto"/>
        <w:tabs>
          <w:tab w:leader="none" w:pos="1109"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noted below, all representations and warranties of Borrower stated in the Loan Documents are true and correct in all material respects on this date and for the period described in (a), above;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177" w:lineRule="exact"/>
        <w:rPr>
          <w:rFonts w:ascii="Times New Roman" w:cs="Times New Roman" w:eastAsia="Times New Roman" w:hAnsi="Times New Roman"/>
          <w:sz w:val="18"/>
          <w:szCs w:val="18"/>
          <w:color w:val="auto"/>
        </w:rPr>
      </w:pPr>
    </w:p>
    <w:p>
      <w:pPr>
        <w:jc w:val="both"/>
        <w:ind w:firstLine="757"/>
        <w:spacing w:after="0" w:line="258" w:lineRule="auto"/>
        <w:tabs>
          <w:tab w:leader="none" w:pos="1109"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each of Borrower’s Subsidiaries, has timely filed all required foreign, federal and material state and local tax returns and reports, Borrower, and each of Borrower’s Subsidiaries, has timely paid all foreign, federal, and material state and local taxes, assessments, deposits and contributions owed by Borrower, or Subsidiary, except as otherwise permitted pursuant to the terms of Section 5.8 of the Loan Agreement;</w:t>
      </w:r>
    </w:p>
    <w:p>
      <w:pPr>
        <w:spacing w:after="0" w:line="169" w:lineRule="exact"/>
        <w:rPr>
          <w:rFonts w:ascii="Times New Roman" w:cs="Times New Roman" w:eastAsia="Times New Roman" w:hAnsi="Times New Roman"/>
          <w:sz w:val="18"/>
          <w:szCs w:val="18"/>
          <w:color w:val="auto"/>
        </w:rPr>
      </w:pPr>
    </w:p>
    <w:p>
      <w:pPr>
        <w:ind w:right="20" w:firstLine="757"/>
        <w:spacing w:after="0" w:line="282" w:lineRule="auto"/>
        <w:tabs>
          <w:tab w:leader="none" w:pos="1109"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Liens have been levied or claims made against Borrower or any of its Subsidiaries relating to unpaid employee payroll or benefits of which Borrower has not previously provided written notification to Collateral Agent and the Lenders.</w:t>
      </w:r>
    </w:p>
    <w:p>
      <w:pPr>
        <w:spacing w:after="0" w:line="148"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Attached are the required documents, if any, supporting our certification(s). The Officer, on behalf of Borrower, further certifies that the attached financial statements are prepared in accordance with Generally Accepted Accounting Principles (GAAP) and are consistently applied from one period to the next except as explained in an accompanying letter or footnotes and except, in the case of unaudited financial statements, for the absence of footnotes and subject to year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end audit adjustments as to the interim financial statements.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Please indicate compliance status since the last Compliance Certificate by circling Yes, No, or N/A under “Complies” column.</w:t>
      </w:r>
    </w:p>
    <w:p>
      <w:pPr>
        <w:spacing w:after="0" w:line="207" w:lineRule="exact"/>
        <w:rPr>
          <w:sz w:val="20"/>
          <w:szCs w:val="20"/>
          <w:color w:val="auto"/>
        </w:rPr>
      </w:pPr>
    </w:p>
    <w:p>
      <w:pPr>
        <w:ind w:right="1740" w:firstLine="8"/>
        <w:spacing w:after="0" w:line="280" w:lineRule="auto"/>
        <w:tabs>
          <w:tab w:leader="none" w:pos="391"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confidential information contained in this document, marked by brackets, has been omitted because it is both (i)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9" w:name="page180"/>
    <w:bookmarkEnd w:id="179"/>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HAS BEEN OMITTED BECAUSE IT IS BOTH (I) NOT</w:t>
      </w:r>
    </w:p>
    <w:p>
      <w:pPr>
        <w:spacing w:after="0" w:line="31" w:lineRule="exact"/>
        <w:rPr>
          <w:sz w:val="20"/>
          <w:szCs w:val="20"/>
          <w:color w:val="auto"/>
        </w:rPr>
      </w:pPr>
    </w:p>
    <w:p>
      <w:pPr>
        <w:jc w:val="center"/>
        <w:ind w:left="400" w:right="280"/>
        <w:spacing w:after="0" w:line="258" w:lineRule="auto"/>
        <w:rPr>
          <w:sz w:val="20"/>
          <w:szCs w:val="20"/>
          <w:color w:val="auto"/>
        </w:rPr>
      </w:pPr>
      <w:r>
        <w:rPr>
          <w:rFonts w:ascii="Times New Roman" w:cs="Times New Roman" w:eastAsia="Times New Roman" w:hAnsi="Times New Roman"/>
          <w:sz w:val="18"/>
          <w:szCs w:val="18"/>
          <w:b w:val="1"/>
          <w:bCs w:val="1"/>
          <w:color w:val="auto"/>
        </w:rPr>
        <w:t>MATERIAL AND (II) WOULD BE COMPETITIVELY HARMFUL IF PUBLICLY DISCLOSED. INFORMATION THAT HAS BEEN OMITTED HAS BEEN NOTED IN THIS DOCUMENT WITH A PLACEHOLDER IDENTIFIED BY THE MARK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8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Reporting Covenant</w:t>
            </w:r>
          </w:p>
        </w:tc>
        <w:tc>
          <w:tcPr>
            <w:tcW w:w="620" w:type="dxa"/>
            <w:vAlign w:val="bottom"/>
          </w:tcPr>
          <w:p>
            <w:pPr>
              <w:spacing w:after="0"/>
              <w:rPr>
                <w:sz w:val="20"/>
                <w:szCs w:val="20"/>
                <w:color w:val="auto"/>
              </w:rPr>
            </w:pPr>
          </w:p>
        </w:tc>
        <w:tc>
          <w:tcPr>
            <w:tcW w:w="2340" w:type="dxa"/>
            <w:vAlign w:val="bottom"/>
          </w:tcPr>
          <w:p>
            <w:pPr>
              <w:ind w:left="1240"/>
              <w:spacing w:after="0"/>
              <w:rPr>
                <w:sz w:val="20"/>
                <w:szCs w:val="20"/>
                <w:color w:val="auto"/>
              </w:rPr>
            </w:pPr>
            <w:r>
              <w:rPr>
                <w:rFonts w:ascii="Times New Roman" w:cs="Times New Roman" w:eastAsia="Times New Roman" w:hAnsi="Times New Roman"/>
                <w:sz w:val="18"/>
                <w:szCs w:val="18"/>
                <w:b w:val="1"/>
                <w:bCs w:val="1"/>
                <w:color w:val="auto"/>
              </w:rPr>
              <w:t>Requirement</w:t>
            </w: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46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Complies</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1)</w:t>
            </w:r>
          </w:p>
        </w:tc>
        <w:tc>
          <w:tcPr>
            <w:tcW w:w="2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Financial statements</w:t>
            </w:r>
          </w:p>
        </w:tc>
        <w:tc>
          <w:tcPr>
            <w:tcW w:w="620" w:type="dxa"/>
            <w:vAlign w:val="bottom"/>
          </w:tcPr>
          <w:p>
            <w:pPr>
              <w:spacing w:after="0"/>
              <w:rPr>
                <w:sz w:val="24"/>
                <w:szCs w:val="24"/>
                <w:color w:val="auto"/>
              </w:rPr>
            </w:pPr>
          </w:p>
        </w:tc>
        <w:tc>
          <w:tcPr>
            <w:tcW w:w="2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Quarterly within 45 days</w:t>
            </w: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Yes</w:t>
            </w: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No</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0"/>
              </w:rPr>
              <w:t>N/A</w:t>
            </w:r>
          </w:p>
        </w:tc>
        <w:tc>
          <w:tcPr>
            <w:tcW w:w="0" w:type="dxa"/>
            <w:vAlign w:val="bottom"/>
          </w:tcPr>
          <w:p>
            <w:pPr>
              <w:spacing w:after="0"/>
              <w:rPr>
                <w:sz w:val="1"/>
                <w:szCs w:val="1"/>
                <w:color w:val="auto"/>
              </w:rPr>
            </w:pPr>
          </w:p>
        </w:tc>
      </w:tr>
      <w:tr>
        <w:trPr>
          <w:trHeight w:val="459"/>
        </w:trPr>
        <w:tc>
          <w:tcPr>
            <w:tcW w:w="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2)</w:t>
            </w:r>
          </w:p>
        </w:tc>
        <w:tc>
          <w:tcPr>
            <w:tcW w:w="2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Annual (CPA Audited) statements</w:t>
            </w:r>
          </w:p>
        </w:tc>
        <w:tc>
          <w:tcPr>
            <w:tcW w:w="620" w:type="dxa"/>
            <w:vAlign w:val="bottom"/>
          </w:tcPr>
          <w:p>
            <w:pPr>
              <w:spacing w:after="0"/>
              <w:rPr>
                <w:sz w:val="24"/>
                <w:szCs w:val="24"/>
                <w:color w:val="auto"/>
              </w:rPr>
            </w:pPr>
          </w:p>
        </w:tc>
        <w:tc>
          <w:tcPr>
            <w:tcW w:w="2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Within 90 days after FYE</w:t>
            </w: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Yes</w:t>
            </w: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No</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0"/>
              </w:rPr>
              <w:t>N/A</w:t>
            </w:r>
          </w:p>
        </w:tc>
        <w:tc>
          <w:tcPr>
            <w:tcW w:w="0" w:type="dxa"/>
            <w:vAlign w:val="bottom"/>
          </w:tcPr>
          <w:p>
            <w:pPr>
              <w:spacing w:after="0"/>
              <w:rPr>
                <w:sz w:val="1"/>
                <w:szCs w:val="1"/>
                <w:color w:val="auto"/>
              </w:rPr>
            </w:pPr>
          </w:p>
        </w:tc>
      </w:tr>
      <w:tr>
        <w:trPr>
          <w:trHeight w:val="405"/>
        </w:trPr>
        <w:tc>
          <w:tcPr>
            <w:tcW w:w="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3)</w:t>
            </w:r>
          </w:p>
        </w:tc>
        <w:tc>
          <w:tcPr>
            <w:tcW w:w="33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Annual Financial Projections/Budget</w:t>
            </w:r>
          </w:p>
        </w:tc>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Annually (within 30 days after FYE), and</w:t>
            </w: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Yes</w:t>
            </w:r>
          </w:p>
        </w:tc>
        <w:tc>
          <w:tcPr>
            <w:tcW w:w="122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w w:val="99"/>
              </w:rPr>
              <w:t>No</w:t>
            </w: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90"/>
              </w:rPr>
              <w:t>N/A</w:t>
            </w:r>
          </w:p>
        </w:tc>
        <w:tc>
          <w:tcPr>
            <w:tcW w:w="0" w:type="dxa"/>
            <w:vAlign w:val="bottom"/>
          </w:tcPr>
          <w:p>
            <w:pPr>
              <w:spacing w:after="0"/>
              <w:rPr>
                <w:sz w:val="1"/>
                <w:szCs w:val="1"/>
                <w:color w:val="auto"/>
              </w:rPr>
            </w:pPr>
          </w:p>
        </w:tc>
      </w:tr>
      <w:tr>
        <w:trPr>
          <w:trHeight w:val="243"/>
        </w:trPr>
        <w:tc>
          <w:tcPr>
            <w:tcW w:w="540" w:type="dxa"/>
            <w:vAlign w:val="bottom"/>
            <w:gridSpan w:val="2"/>
            <w:vMerge w:val="continue"/>
          </w:tcPr>
          <w:p>
            <w:pPr>
              <w:spacing w:after="0"/>
              <w:rPr>
                <w:sz w:val="21"/>
                <w:szCs w:val="21"/>
                <w:color w:val="auto"/>
              </w:rPr>
            </w:pPr>
          </w:p>
        </w:tc>
        <w:tc>
          <w:tcPr>
            <w:tcW w:w="2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(prepared on a monthly basis)</w:t>
            </w:r>
          </w:p>
        </w:tc>
        <w:tc>
          <w:tcPr>
            <w:tcW w:w="620" w:type="dxa"/>
            <w:vAlign w:val="bottom"/>
          </w:tcPr>
          <w:p>
            <w:pPr>
              <w:spacing w:after="0"/>
              <w:rPr>
                <w:sz w:val="21"/>
                <w:szCs w:val="21"/>
                <w:color w:val="auto"/>
              </w:rPr>
            </w:pPr>
          </w:p>
        </w:tc>
        <w:tc>
          <w:tcPr>
            <w:tcW w:w="2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when revised</w:t>
            </w:r>
          </w:p>
        </w:tc>
        <w:tc>
          <w:tcPr>
            <w:tcW w:w="9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60" w:type="dxa"/>
            <w:vAlign w:val="bottom"/>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4)</w:t>
            </w:r>
          </w:p>
        </w:tc>
        <w:tc>
          <w:tcPr>
            <w:tcW w:w="2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A/R &amp; A/P agings</w:t>
            </w:r>
          </w:p>
        </w:tc>
        <w:tc>
          <w:tcPr>
            <w:tcW w:w="620" w:type="dxa"/>
            <w:vAlign w:val="bottom"/>
          </w:tcPr>
          <w:p>
            <w:pPr>
              <w:spacing w:after="0"/>
              <w:rPr>
                <w:sz w:val="24"/>
                <w:szCs w:val="24"/>
                <w:color w:val="auto"/>
              </w:rPr>
            </w:pPr>
          </w:p>
        </w:tc>
        <w:tc>
          <w:tcPr>
            <w:tcW w:w="2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If applicable</w:t>
            </w: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Yes</w:t>
            </w: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No</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0"/>
              </w:rPr>
              <w:t>N/A</w:t>
            </w:r>
          </w:p>
        </w:tc>
        <w:tc>
          <w:tcPr>
            <w:tcW w:w="0" w:type="dxa"/>
            <w:vAlign w:val="bottom"/>
          </w:tcPr>
          <w:p>
            <w:pPr>
              <w:spacing w:after="0"/>
              <w:rPr>
                <w:sz w:val="1"/>
                <w:szCs w:val="1"/>
                <w:color w:val="auto"/>
              </w:rPr>
            </w:pPr>
          </w:p>
        </w:tc>
      </w:tr>
      <w:tr>
        <w:trPr>
          <w:trHeight w:val="324"/>
        </w:trPr>
        <w:tc>
          <w:tcPr>
            <w:tcW w:w="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5)</w:t>
            </w:r>
          </w:p>
        </w:tc>
        <w:tc>
          <w:tcPr>
            <w:tcW w:w="2680" w:type="dxa"/>
            <w:vAlign w:val="bottom"/>
            <w:gridSpan w:val="2"/>
          </w:tcPr>
          <w:p>
            <w:pPr>
              <w:ind w:left="160"/>
              <w:spacing w:after="0" w:line="207" w:lineRule="exact"/>
              <w:rPr>
                <w:sz w:val="20"/>
                <w:szCs w:val="20"/>
                <w:color w:val="auto"/>
              </w:rPr>
            </w:pPr>
            <w:r>
              <w:rPr>
                <w:rFonts w:ascii="Times New Roman" w:cs="Times New Roman" w:eastAsia="Times New Roman" w:hAnsi="Times New Roman"/>
                <w:sz w:val="18"/>
                <w:szCs w:val="18"/>
                <w:color w:val="auto"/>
              </w:rPr>
              <w:t>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Filings</w:t>
            </w:r>
          </w:p>
        </w:tc>
        <w:tc>
          <w:tcPr>
            <w:tcW w:w="620" w:type="dxa"/>
            <w:vAlign w:val="bottom"/>
          </w:tcPr>
          <w:p>
            <w:pPr>
              <w:spacing w:after="0"/>
              <w:rPr>
                <w:sz w:val="24"/>
                <w:szCs w:val="24"/>
                <w:color w:val="auto"/>
              </w:rPr>
            </w:pPr>
          </w:p>
        </w:tc>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If applicable, within 5 days of filing</w:t>
            </w: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Yes</w:t>
            </w: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No</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0"/>
              </w:rPr>
              <w:t>N/A</w:t>
            </w:r>
          </w:p>
        </w:tc>
        <w:tc>
          <w:tcPr>
            <w:tcW w:w="0" w:type="dxa"/>
            <w:vAlign w:val="bottom"/>
          </w:tcPr>
          <w:p>
            <w:pPr>
              <w:spacing w:after="0"/>
              <w:rPr>
                <w:sz w:val="1"/>
                <w:szCs w:val="1"/>
                <w:color w:val="auto"/>
              </w:rPr>
            </w:pPr>
          </w:p>
        </w:tc>
      </w:tr>
      <w:tr>
        <w:trPr>
          <w:trHeight w:val="324"/>
        </w:trPr>
        <w:tc>
          <w:tcPr>
            <w:tcW w:w="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6)</w:t>
            </w:r>
          </w:p>
        </w:tc>
        <w:tc>
          <w:tcPr>
            <w:tcW w:w="2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Compliance Certificate</w:t>
            </w:r>
          </w:p>
        </w:tc>
        <w:tc>
          <w:tcPr>
            <w:tcW w:w="620" w:type="dxa"/>
            <w:vAlign w:val="bottom"/>
          </w:tcPr>
          <w:p>
            <w:pPr>
              <w:spacing w:after="0"/>
              <w:rPr>
                <w:sz w:val="24"/>
                <w:szCs w:val="24"/>
                <w:color w:val="auto"/>
              </w:rPr>
            </w:pPr>
          </w:p>
        </w:tc>
        <w:tc>
          <w:tcPr>
            <w:tcW w:w="2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Monthly within 30 days</w:t>
            </w: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Yes</w:t>
            </w: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No</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0"/>
              </w:rPr>
              <w:t>N/A</w:t>
            </w:r>
          </w:p>
        </w:tc>
        <w:tc>
          <w:tcPr>
            <w:tcW w:w="0" w:type="dxa"/>
            <w:vAlign w:val="bottom"/>
          </w:tcPr>
          <w:p>
            <w:pPr>
              <w:spacing w:after="0"/>
              <w:rPr>
                <w:sz w:val="1"/>
                <w:szCs w:val="1"/>
                <w:color w:val="auto"/>
              </w:rPr>
            </w:pPr>
          </w:p>
        </w:tc>
      </w:tr>
      <w:tr>
        <w:trPr>
          <w:trHeight w:val="324"/>
        </w:trPr>
        <w:tc>
          <w:tcPr>
            <w:tcW w:w="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7)</w:t>
            </w:r>
          </w:p>
        </w:tc>
        <w:tc>
          <w:tcPr>
            <w:tcW w:w="2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IP Report</w:t>
            </w:r>
          </w:p>
        </w:tc>
        <w:tc>
          <w:tcPr>
            <w:tcW w:w="620" w:type="dxa"/>
            <w:vAlign w:val="bottom"/>
          </w:tcPr>
          <w:p>
            <w:pPr>
              <w:spacing w:after="0"/>
              <w:rPr>
                <w:sz w:val="24"/>
                <w:szCs w:val="24"/>
                <w:color w:val="auto"/>
              </w:rPr>
            </w:pPr>
          </w:p>
        </w:tc>
        <w:tc>
          <w:tcPr>
            <w:tcW w:w="2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When required</w:t>
            </w: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Yes</w:t>
            </w: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No</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0"/>
              </w:rPr>
              <w:t>N/A</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3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Total amount of Borrower’s cash and cash</w:t>
            </w:r>
          </w:p>
        </w:tc>
        <w:tc>
          <w:tcPr>
            <w:tcW w:w="2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8)</w:t>
            </w:r>
          </w:p>
        </w:tc>
        <w:tc>
          <w:tcPr>
            <w:tcW w:w="2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equivalents at the last day of the</w:t>
            </w:r>
          </w:p>
        </w:tc>
        <w:tc>
          <w:tcPr>
            <w:tcW w:w="6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$________</w:t>
            </w: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Yes</w:t>
            </w: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No</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0"/>
              </w:rPr>
              <w:t>N/A</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measurement period</w:t>
            </w:r>
          </w:p>
        </w:tc>
        <w:tc>
          <w:tcPr>
            <w:tcW w:w="6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3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Total amount of Borrower’s Subsidiaries’</w:t>
            </w:r>
          </w:p>
        </w:tc>
        <w:tc>
          <w:tcPr>
            <w:tcW w:w="2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9)</w:t>
            </w:r>
          </w:p>
        </w:tc>
        <w:tc>
          <w:tcPr>
            <w:tcW w:w="33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cash and cash equivalents at the last day</w:t>
            </w:r>
          </w:p>
        </w:tc>
        <w:tc>
          <w:tcPr>
            <w:tcW w:w="2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$________</w:t>
            </w: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Yes</w:t>
            </w: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No</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0"/>
              </w:rPr>
              <w:t>N/A</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of the measurement period</w:t>
            </w:r>
          </w:p>
        </w:tc>
        <w:tc>
          <w:tcPr>
            <w:tcW w:w="6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10)</w:t>
            </w:r>
          </w:p>
        </w:tc>
        <w:tc>
          <w:tcPr>
            <w:tcW w:w="33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Total aggregate assets held at Borrower’s</w:t>
            </w:r>
          </w:p>
        </w:tc>
        <w:tc>
          <w:tcPr>
            <w:tcW w:w="23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$___________________</w:t>
            </w:r>
          </w:p>
        </w:tc>
        <w:tc>
          <w:tcPr>
            <w:tcW w:w="940" w:type="dxa"/>
            <w:vAlign w:val="bottom"/>
          </w:tcPr>
          <w:p>
            <w:pPr>
              <w:spacing w:after="0"/>
              <w:rPr>
                <w:sz w:val="20"/>
                <w:szCs w:val="20"/>
                <w:color w:val="auto"/>
              </w:rPr>
            </w:pPr>
          </w:p>
        </w:tc>
        <w:tc>
          <w:tcPr>
            <w:tcW w:w="18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color w:val="auto"/>
              </w:rPr>
              <w:t>$________</w:t>
            </w: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Yes</w:t>
            </w:r>
          </w:p>
        </w:tc>
        <w:tc>
          <w:tcPr>
            <w:tcW w:w="122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w w:val="99"/>
              </w:rPr>
              <w:t>No</w:t>
            </w: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90"/>
              </w:rPr>
              <w:t>N/A</w:t>
            </w:r>
          </w:p>
        </w:tc>
        <w:tc>
          <w:tcPr>
            <w:tcW w:w="0" w:type="dxa"/>
            <w:vAlign w:val="bottom"/>
          </w:tcPr>
          <w:p>
            <w:pPr>
              <w:spacing w:after="0"/>
              <w:rPr>
                <w:sz w:val="1"/>
                <w:szCs w:val="1"/>
                <w:color w:val="auto"/>
              </w:rPr>
            </w:pPr>
          </w:p>
        </w:tc>
      </w:tr>
      <w:tr>
        <w:trPr>
          <w:trHeight w:val="234"/>
        </w:trPr>
        <w:tc>
          <w:tcPr>
            <w:tcW w:w="540" w:type="dxa"/>
            <w:vAlign w:val="bottom"/>
            <w:gridSpan w:val="2"/>
            <w:vMerge w:val="continue"/>
          </w:tcPr>
          <w:p>
            <w:pPr>
              <w:spacing w:after="0"/>
              <w:rPr>
                <w:sz w:val="20"/>
                <w:szCs w:val="20"/>
                <w:color w:val="auto"/>
              </w:rPr>
            </w:pPr>
          </w:p>
        </w:tc>
        <w:tc>
          <w:tcPr>
            <w:tcW w:w="2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Foreign Subsidiaries</w:t>
            </w:r>
          </w:p>
        </w:tc>
        <w:tc>
          <w:tcPr>
            <w:tcW w:w="620" w:type="dxa"/>
            <w:vAlign w:val="bottom"/>
          </w:tcPr>
          <w:p>
            <w:pPr>
              <w:spacing w:after="0"/>
              <w:rPr>
                <w:sz w:val="20"/>
                <w:szCs w:val="20"/>
                <w:color w:val="auto"/>
              </w:rPr>
            </w:pPr>
          </w:p>
        </w:tc>
        <w:tc>
          <w:tcPr>
            <w:tcW w:w="2340" w:type="dxa"/>
            <w:vAlign w:val="bottom"/>
            <w:vMerge w:val="continue"/>
          </w:tcPr>
          <w:p>
            <w:pPr>
              <w:spacing w:after="0"/>
              <w:rPr>
                <w:sz w:val="20"/>
                <w:szCs w:val="20"/>
                <w:color w:val="auto"/>
              </w:rPr>
            </w:pPr>
          </w:p>
        </w:tc>
        <w:tc>
          <w:tcPr>
            <w:tcW w:w="940" w:type="dxa"/>
            <w:vAlign w:val="bottom"/>
          </w:tcPr>
          <w:p>
            <w:pPr>
              <w:spacing w:after="0"/>
              <w:rPr>
                <w:sz w:val="20"/>
                <w:szCs w:val="20"/>
                <w:color w:val="auto"/>
              </w:rPr>
            </w:pPr>
          </w:p>
        </w:tc>
        <w:tc>
          <w:tcPr>
            <w:tcW w:w="1840" w:type="dxa"/>
            <w:vAlign w:val="bottom"/>
            <w:gridSpan w:val="2"/>
            <w:vMerge w:val="continue"/>
          </w:tcPr>
          <w:p>
            <w:pPr>
              <w:spacing w:after="0"/>
              <w:rPr>
                <w:sz w:val="20"/>
                <w:szCs w:val="20"/>
                <w:color w:val="auto"/>
              </w:rPr>
            </w:pPr>
          </w:p>
        </w:tc>
        <w:tc>
          <w:tcPr>
            <w:tcW w:w="460" w:type="dxa"/>
            <w:vAlign w:val="bottom"/>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480" w:type="dxa"/>
            <w:vAlign w:val="bottom"/>
            <w:gridSpan w:val="3"/>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000000"/>
          </w:tcPr>
          <w:p>
            <w:pPr>
              <w:spacing w:after="0"/>
              <w:rPr>
                <w:sz w:val="17"/>
                <w:szCs w:val="17"/>
                <w:color w:val="auto"/>
              </w:rPr>
            </w:pPr>
          </w:p>
        </w:tc>
        <w:tc>
          <w:tcPr>
            <w:tcW w:w="31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Deposit and Securities Accounts</w:t>
            </w:r>
          </w:p>
        </w:tc>
        <w:tc>
          <w:tcPr>
            <w:tcW w:w="6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180" w:type="dxa"/>
            <w:vAlign w:val="bottom"/>
            <w:gridSpan w:val="3"/>
            <w:vMerge w:val="continue"/>
          </w:tcPr>
          <w:p>
            <w:pPr>
              <w:spacing w:after="0"/>
              <w:rPr>
                <w:sz w:val="15"/>
                <w:szCs w:val="15"/>
                <w:color w:val="auto"/>
              </w:rPr>
            </w:pPr>
          </w:p>
        </w:tc>
        <w:tc>
          <w:tcPr>
            <w:tcW w:w="6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4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(Please list all accounts; attach</w:t>
            </w:r>
          </w:p>
        </w:tc>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separate sheet if additional space needed)</w:t>
            </w: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1"/>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Institution Name</w:t>
            </w:r>
          </w:p>
        </w:tc>
        <w:tc>
          <w:tcPr>
            <w:tcW w:w="29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Account Number</w:t>
            </w: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New Account?</w:t>
            </w:r>
          </w:p>
        </w:tc>
        <w:tc>
          <w:tcPr>
            <w:tcW w:w="3020" w:type="dxa"/>
            <w:vAlign w:val="bottom"/>
            <w:gridSpan w:val="3"/>
          </w:tcPr>
          <w:p>
            <w:pPr>
              <w:ind w:left="280"/>
              <w:spacing w:after="0"/>
              <w:rPr>
                <w:sz w:val="20"/>
                <w:szCs w:val="20"/>
                <w:color w:val="auto"/>
              </w:rPr>
            </w:pPr>
            <w:r>
              <w:rPr>
                <w:rFonts w:ascii="Times New Roman" w:cs="Times New Roman" w:eastAsia="Times New Roman" w:hAnsi="Times New Roman"/>
                <w:sz w:val="16"/>
                <w:szCs w:val="16"/>
                <w:b w:val="1"/>
                <w:bCs w:val="1"/>
                <w:color w:val="auto"/>
              </w:rPr>
              <w:t>Account Control Agreement in place?</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w:t>
            </w:r>
          </w:p>
        </w:tc>
        <w:tc>
          <w:tcPr>
            <w:tcW w:w="1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Yes</w:t>
            </w: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w:t>
            </w:r>
          </w:p>
        </w:tc>
        <w:tc>
          <w:tcPr>
            <w:tcW w:w="134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99"/>
              </w:rPr>
              <w:t>Yes</w:t>
            </w:r>
          </w:p>
        </w:tc>
        <w:tc>
          <w:tcPr>
            <w:tcW w:w="460" w:type="dxa"/>
            <w:vAlign w:val="bottom"/>
          </w:tcPr>
          <w:p>
            <w:pPr>
              <w:spacing w:after="0"/>
              <w:rPr>
                <w:sz w:val="24"/>
                <w:szCs w:val="24"/>
                <w:color w:val="auto"/>
              </w:rPr>
            </w:pPr>
          </w:p>
        </w:tc>
        <w:tc>
          <w:tcPr>
            <w:tcW w:w="12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9"/>
              </w:rPr>
              <w:t>No</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w:t>
            </w:r>
          </w:p>
        </w:tc>
        <w:tc>
          <w:tcPr>
            <w:tcW w:w="1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Yes</w:t>
            </w: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w:t>
            </w:r>
          </w:p>
        </w:tc>
        <w:tc>
          <w:tcPr>
            <w:tcW w:w="134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99"/>
              </w:rPr>
              <w:t>Yes</w:t>
            </w:r>
          </w:p>
        </w:tc>
        <w:tc>
          <w:tcPr>
            <w:tcW w:w="460" w:type="dxa"/>
            <w:vAlign w:val="bottom"/>
          </w:tcPr>
          <w:p>
            <w:pPr>
              <w:spacing w:after="0"/>
              <w:rPr>
                <w:sz w:val="24"/>
                <w:szCs w:val="24"/>
                <w:color w:val="auto"/>
              </w:rPr>
            </w:pPr>
          </w:p>
        </w:tc>
        <w:tc>
          <w:tcPr>
            <w:tcW w:w="12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9"/>
              </w:rPr>
              <w:t>No</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w:t>
            </w:r>
          </w:p>
        </w:tc>
        <w:tc>
          <w:tcPr>
            <w:tcW w:w="1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Yes</w:t>
            </w: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w:t>
            </w:r>
          </w:p>
        </w:tc>
        <w:tc>
          <w:tcPr>
            <w:tcW w:w="134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99"/>
              </w:rPr>
              <w:t>Yes</w:t>
            </w:r>
          </w:p>
        </w:tc>
        <w:tc>
          <w:tcPr>
            <w:tcW w:w="460" w:type="dxa"/>
            <w:vAlign w:val="bottom"/>
          </w:tcPr>
          <w:p>
            <w:pPr>
              <w:spacing w:after="0"/>
              <w:rPr>
                <w:sz w:val="24"/>
                <w:szCs w:val="24"/>
                <w:color w:val="auto"/>
              </w:rPr>
            </w:pPr>
          </w:p>
        </w:tc>
        <w:tc>
          <w:tcPr>
            <w:tcW w:w="12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9"/>
              </w:rPr>
              <w:t>No</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w:t>
            </w:r>
          </w:p>
        </w:tc>
        <w:tc>
          <w:tcPr>
            <w:tcW w:w="1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Yes</w:t>
            </w: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w:t>
            </w:r>
          </w:p>
        </w:tc>
        <w:tc>
          <w:tcPr>
            <w:tcW w:w="134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99"/>
              </w:rPr>
              <w:t>Yes</w:t>
            </w:r>
          </w:p>
        </w:tc>
        <w:tc>
          <w:tcPr>
            <w:tcW w:w="460" w:type="dxa"/>
            <w:vAlign w:val="bottom"/>
          </w:tcPr>
          <w:p>
            <w:pPr>
              <w:spacing w:after="0"/>
              <w:rPr>
                <w:sz w:val="24"/>
                <w:szCs w:val="24"/>
                <w:color w:val="auto"/>
              </w:rPr>
            </w:pPr>
          </w:p>
        </w:tc>
        <w:tc>
          <w:tcPr>
            <w:tcW w:w="12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9"/>
              </w:rPr>
              <w:t>No</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Covenants</w:t>
      </w:r>
    </w:p>
    <w:p>
      <w:pPr>
        <w:spacing w:after="0" w:line="355" w:lineRule="exact"/>
        <w:rPr>
          <w:sz w:val="20"/>
          <w:szCs w:val="20"/>
          <w:color w:val="auto"/>
        </w:rPr>
      </w:pPr>
    </w:p>
    <w:p>
      <w:pPr>
        <w:ind w:right="1620" w:firstLine="8"/>
        <w:spacing w:after="0" w:line="263" w:lineRule="auto"/>
        <w:tabs>
          <w:tab w:leader="none" w:pos="391" w:val="left"/>
        </w:tabs>
        <w:numPr>
          <w:ilvl w:val="0"/>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confidential information contained in this document, marked by brackets, has been omitted because it is both (i)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180" w:name="page181"/>
    <w:bookmarkEnd w:id="180"/>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HAS BEEN OMITTED BECAUSE IT IS BOTH (I) NOT</w:t>
      </w:r>
    </w:p>
    <w:p>
      <w:pPr>
        <w:spacing w:after="0" w:line="31" w:lineRule="exact"/>
        <w:rPr>
          <w:sz w:val="20"/>
          <w:szCs w:val="20"/>
          <w:color w:val="auto"/>
        </w:rPr>
      </w:pPr>
    </w:p>
    <w:p>
      <w:pPr>
        <w:jc w:val="center"/>
        <w:ind w:left="80"/>
        <w:spacing w:after="0" w:line="258" w:lineRule="auto"/>
        <w:rPr>
          <w:sz w:val="20"/>
          <w:szCs w:val="20"/>
          <w:color w:val="auto"/>
        </w:rPr>
      </w:pPr>
      <w:r>
        <w:rPr>
          <w:rFonts w:ascii="Times New Roman" w:cs="Times New Roman" w:eastAsia="Times New Roman" w:hAnsi="Times New Roman"/>
          <w:sz w:val="18"/>
          <w:szCs w:val="18"/>
          <w:b w:val="1"/>
          <w:bCs w:val="1"/>
          <w:color w:val="auto"/>
        </w:rPr>
        <w:t>MATERIAL AND (II) WOULD BE COMPETITIVELY HARMFUL IF PUBLICLY DISCLOSED. INFORMATION THAT HAS BEEN OMITTED HAS BEEN NOTED IN THIS DOCUMENT WITH A PLACEHOLDER IDENTIFIED BY THE MARK “[***]”.</w:t>
      </w:r>
    </w:p>
    <w:p>
      <w:pPr>
        <w:sectPr>
          <w:pgSz w:w="11900" w:h="16838" w:orient="portrait"/>
          <w:cols w:equalWidth="0" w:num="1">
            <w:col w:w="11120"/>
          </w:cols>
          <w:pgMar w:left="320" w:top="117"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200" w:type="dxa"/>
        <w:tblCellMar>
          <w:top w:w="0" w:type="dxa"/>
          <w:left w:w="0" w:type="dxa"/>
          <w:bottom w:w="0" w:type="dxa"/>
          <w:right w:w="0" w:type="dxa"/>
        </w:tblCellMar>
      </w:tblPr>
      <w:tr>
        <w:trPr>
          <w:trHeight w:val="238"/>
        </w:trPr>
        <w:tc>
          <w:tcPr>
            <w:tcW w:w="300" w:type="dxa"/>
            <w:vAlign w:val="bottom"/>
          </w:tcPr>
          <w:p>
            <w:pPr>
              <w:spacing w:after="0"/>
              <w:rPr>
                <w:sz w:val="20"/>
                <w:szCs w:val="20"/>
                <w:color w:val="auto"/>
              </w:rPr>
            </w:pPr>
          </w:p>
        </w:tc>
        <w:tc>
          <w:tcPr>
            <w:tcW w:w="2660" w:type="dxa"/>
            <w:vAlign w:val="bottom"/>
          </w:tcPr>
          <w:p>
            <w:pPr>
              <w:ind w:left="1160"/>
              <w:spacing w:after="0"/>
              <w:rPr>
                <w:sz w:val="20"/>
                <w:szCs w:val="20"/>
                <w:color w:val="auto"/>
              </w:rPr>
            </w:pPr>
            <w:r>
              <w:rPr>
                <w:rFonts w:ascii="Times New Roman" w:cs="Times New Roman" w:eastAsia="Times New Roman" w:hAnsi="Times New Roman"/>
                <w:sz w:val="18"/>
                <w:szCs w:val="18"/>
                <w:b w:val="1"/>
                <w:bCs w:val="1"/>
                <w:color w:val="auto"/>
              </w:rPr>
              <w:t>Covenant</w:t>
            </w:r>
          </w:p>
        </w:tc>
        <w:tc>
          <w:tcPr>
            <w:tcW w:w="3100" w:type="dxa"/>
            <w:vAlign w:val="bottom"/>
          </w:tcPr>
          <w:p>
            <w:pPr>
              <w:ind w:left="1240"/>
              <w:spacing w:after="0"/>
              <w:rPr>
                <w:sz w:val="20"/>
                <w:szCs w:val="20"/>
                <w:color w:val="auto"/>
              </w:rPr>
            </w:pPr>
            <w:r>
              <w:rPr>
                <w:rFonts w:ascii="Times New Roman" w:cs="Times New Roman" w:eastAsia="Times New Roman" w:hAnsi="Times New Roman"/>
                <w:sz w:val="18"/>
                <w:szCs w:val="18"/>
                <w:b w:val="1"/>
                <w:bCs w:val="1"/>
                <w:color w:val="auto"/>
              </w:rPr>
              <w:t>Requirement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0" w:type="dxa"/>
            <w:vAlign w:val="bottom"/>
          </w:tcPr>
          <w:p>
            <w:pPr>
              <w:spacing w:after="0"/>
              <w:rPr>
                <w:sz w:val="1"/>
                <w:szCs w:val="1"/>
                <w:color w:val="auto"/>
              </w:rPr>
            </w:pPr>
          </w:p>
        </w:tc>
      </w:tr>
      <w:tr>
        <w:trPr>
          <w:trHeight w:val="265"/>
        </w:trPr>
        <w:tc>
          <w:tcPr>
            <w:tcW w:w="30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31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Required Percentage of projections</w:t>
            </w: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3100" w:type="dxa"/>
            <w:vAlign w:val="bottom"/>
          </w:tcPr>
          <w:p>
            <w:pPr>
              <w:ind w:left="440"/>
              <w:spacing w:after="0" w:line="189" w:lineRule="exact"/>
              <w:rPr>
                <w:sz w:val="20"/>
                <w:szCs w:val="20"/>
                <w:color w:val="auto"/>
              </w:rPr>
            </w:pPr>
            <w:r>
              <w:rPr>
                <w:rFonts w:ascii="Times New Roman" w:cs="Times New Roman" w:eastAsia="Times New Roman" w:hAnsi="Times New Roman"/>
                <w:sz w:val="18"/>
                <w:szCs w:val="18"/>
                <w:color w:val="auto"/>
              </w:rPr>
              <w:t>(at least [***] for FYE 2022, at</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3"/>
              </w:rPr>
              <w:t>1)</w:t>
            </w:r>
          </w:p>
        </w:tc>
        <w:tc>
          <w:tcPr>
            <w:tcW w:w="266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Minimum sales</w:t>
            </w:r>
          </w:p>
        </w:tc>
        <w:tc>
          <w:tcPr>
            <w:tcW w:w="3100" w:type="dxa"/>
            <w:vAlign w:val="bottom"/>
          </w:tcPr>
          <w:p>
            <w:pPr>
              <w:ind w:left="440"/>
              <w:spacing w:after="0" w:line="181" w:lineRule="exact"/>
              <w:rPr>
                <w:sz w:val="20"/>
                <w:szCs w:val="20"/>
                <w:color w:val="auto"/>
              </w:rPr>
            </w:pPr>
            <w:r>
              <w:rPr>
                <w:rFonts w:ascii="Times New Roman" w:cs="Times New Roman" w:eastAsia="Times New Roman" w:hAnsi="Times New Roman"/>
                <w:sz w:val="18"/>
                <w:szCs w:val="18"/>
                <w:color w:val="auto"/>
              </w:rPr>
              <w:t>least [***] for FYE 2023, at least</w:t>
            </w:r>
          </w:p>
        </w:tc>
        <w:tc>
          <w:tcPr>
            <w:tcW w:w="1220" w:type="dxa"/>
            <w:vAlign w:val="bottom"/>
            <w:vMerge w:val="restart"/>
          </w:tcPr>
          <w:p>
            <w:pPr>
              <w:jc w:val="right"/>
              <w:ind w:right="670"/>
              <w:spacing w:after="0"/>
              <w:rPr>
                <w:sz w:val="20"/>
                <w:szCs w:val="20"/>
                <w:color w:val="auto"/>
              </w:rPr>
            </w:pPr>
            <w:r>
              <w:rPr>
                <w:rFonts w:ascii="Times New Roman" w:cs="Times New Roman" w:eastAsia="Times New Roman" w:hAnsi="Times New Roman"/>
                <w:sz w:val="18"/>
                <w:szCs w:val="18"/>
                <w:color w:val="auto"/>
              </w:rPr>
              <w:t>__%</w:t>
            </w:r>
          </w:p>
        </w:tc>
        <w:tc>
          <w:tcPr>
            <w:tcW w:w="0" w:type="dxa"/>
            <w:vAlign w:val="bottom"/>
          </w:tcPr>
          <w:p>
            <w:pPr>
              <w:spacing w:after="0"/>
              <w:rPr>
                <w:sz w:val="1"/>
                <w:szCs w:val="1"/>
                <w:color w:val="auto"/>
              </w:rPr>
            </w:pPr>
          </w:p>
        </w:tc>
      </w:tr>
      <w:tr>
        <w:trPr>
          <w:trHeight w:val="149"/>
        </w:trPr>
        <w:tc>
          <w:tcPr>
            <w:tcW w:w="300" w:type="dxa"/>
            <w:vAlign w:val="bottom"/>
            <w:vMerge w:val="continue"/>
          </w:tcPr>
          <w:p>
            <w:pPr>
              <w:spacing w:after="0"/>
              <w:rPr>
                <w:sz w:val="12"/>
                <w:szCs w:val="12"/>
                <w:color w:val="auto"/>
              </w:rPr>
            </w:pPr>
          </w:p>
        </w:tc>
        <w:tc>
          <w:tcPr>
            <w:tcW w:w="2660" w:type="dxa"/>
            <w:vAlign w:val="bottom"/>
            <w:vMerge w:val="restart"/>
          </w:tcPr>
          <w:p>
            <w:pPr>
              <w:ind w:left="140"/>
              <w:spacing w:after="0" w:line="204" w:lineRule="exact"/>
              <w:rPr>
                <w:sz w:val="20"/>
                <w:szCs w:val="20"/>
                <w:color w:val="auto"/>
              </w:rPr>
            </w:pPr>
            <w:r>
              <w:rPr>
                <w:rFonts w:ascii="Times New Roman" w:cs="Times New Roman" w:eastAsia="Times New Roman" w:hAnsi="Times New Roman"/>
                <w:sz w:val="18"/>
                <w:szCs w:val="18"/>
                <w:color w:val="auto"/>
              </w:rPr>
              <w:t>(trailing twelve (12) months)</w:t>
            </w:r>
          </w:p>
        </w:tc>
        <w:tc>
          <w:tcPr>
            <w:tcW w:w="3100" w:type="dxa"/>
            <w:vAlign w:val="bottom"/>
            <w:vMerge w:val="restart"/>
          </w:tcPr>
          <w:p>
            <w:pPr>
              <w:ind w:left="440"/>
              <w:spacing w:after="0" w:line="204" w:lineRule="exact"/>
              <w:rPr>
                <w:sz w:val="20"/>
                <w:szCs w:val="20"/>
                <w:color w:val="auto"/>
              </w:rPr>
            </w:pPr>
            <w:r>
              <w:rPr>
                <w:rFonts w:ascii="Times New Roman" w:cs="Times New Roman" w:eastAsia="Times New Roman" w:hAnsi="Times New Roman"/>
                <w:sz w:val="18"/>
                <w:szCs w:val="18"/>
                <w:color w:val="auto"/>
              </w:rPr>
              <w:t>[***] for FYE 2024 and at least</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300" w:type="dxa"/>
            <w:vAlign w:val="bottom"/>
          </w:tcPr>
          <w:p>
            <w:pPr>
              <w:spacing w:after="0"/>
              <w:rPr>
                <w:sz w:val="4"/>
                <w:szCs w:val="4"/>
                <w:color w:val="auto"/>
              </w:rPr>
            </w:pPr>
          </w:p>
        </w:tc>
        <w:tc>
          <w:tcPr>
            <w:tcW w:w="2660" w:type="dxa"/>
            <w:vAlign w:val="bottom"/>
            <w:vMerge w:val="continue"/>
          </w:tcPr>
          <w:p>
            <w:pPr>
              <w:spacing w:after="0"/>
              <w:rPr>
                <w:sz w:val="4"/>
                <w:szCs w:val="4"/>
                <w:color w:val="auto"/>
              </w:rPr>
            </w:pPr>
          </w:p>
        </w:tc>
        <w:tc>
          <w:tcPr>
            <w:tcW w:w="3100" w:type="dxa"/>
            <w:vAlign w:val="bottom"/>
            <w:vMerge w:val="continue"/>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600"/>
        <w:spacing w:after="0" w:line="219" w:lineRule="auto"/>
        <w:rPr>
          <w:sz w:val="20"/>
          <w:szCs w:val="20"/>
          <w:color w:val="auto"/>
        </w:rPr>
      </w:pPr>
      <w:r>
        <w:rPr>
          <w:rFonts w:ascii="Times New Roman" w:cs="Times New Roman" w:eastAsia="Times New Roman" w:hAnsi="Times New Roman"/>
          <w:sz w:val="18"/>
          <w:szCs w:val="18"/>
          <w:color w:val="auto"/>
        </w:rPr>
        <w:t>[***] for FYE 2025 and FYE</w:t>
      </w:r>
    </w:p>
    <w:p>
      <w:pPr>
        <w:ind w:left="3600"/>
        <w:spacing w:after="0"/>
        <w:rPr>
          <w:sz w:val="20"/>
          <w:szCs w:val="20"/>
          <w:color w:val="auto"/>
        </w:rPr>
      </w:pPr>
      <w:r>
        <w:rPr>
          <w:rFonts w:ascii="Times New Roman" w:cs="Times New Roman" w:eastAsia="Times New Roman" w:hAnsi="Times New Roman"/>
          <w:sz w:val="18"/>
          <w:szCs w:val="18"/>
          <w:color w:val="auto"/>
        </w:rPr>
        <w:t>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Compliance</w:t>
      </w:r>
    </w:p>
    <w:p>
      <w:pPr>
        <w:spacing w:after="0" w:line="200" w:lineRule="exact"/>
        <w:rPr>
          <w:sz w:val="20"/>
          <w:szCs w:val="20"/>
          <w:color w:val="auto"/>
        </w:rPr>
      </w:pPr>
    </w:p>
    <w:p>
      <w:pPr>
        <w:spacing w:after="0" w:line="380" w:lineRule="exact"/>
        <w:rPr>
          <w:sz w:val="20"/>
          <w:szCs w:val="20"/>
          <w:color w:val="auto"/>
        </w:rPr>
      </w:pPr>
    </w:p>
    <w:p>
      <w:pPr>
        <w:spacing w:after="0"/>
        <w:tabs>
          <w:tab w:leader="none" w:pos="1040" w:val="left"/>
          <w:tab w:leader="none" w:pos="202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7"/>
          <w:szCs w:val="17"/>
          <w:color w:val="auto"/>
        </w:rPr>
        <w:t>N/A</w:t>
      </w:r>
    </w:p>
    <w:p>
      <w:pPr>
        <w:spacing w:after="0" w:line="563" w:lineRule="exact"/>
        <w:rPr>
          <w:sz w:val="20"/>
          <w:szCs w:val="20"/>
          <w:color w:val="auto"/>
        </w:rPr>
      </w:pPr>
    </w:p>
    <w:p>
      <w:pPr>
        <w:sectPr>
          <w:pgSz w:w="11900" w:h="16838" w:orient="portrait"/>
          <w:cols w:equalWidth="0" w:num="2">
            <w:col w:w="7820" w:space="720"/>
            <w:col w:w="2580"/>
          </w:cols>
          <w:pgMar w:left="320" w:top="117" w:right="459" w:bottom="1440" w:gutter="0" w:footer="0" w:header="0"/>
          <w:type w:val="continuous"/>
        </w:sectPr>
      </w:pPr>
    </w:p>
    <w:p>
      <w:pPr>
        <w:ind w:left="3600"/>
        <w:spacing w:after="0"/>
        <w:tabs>
          <w:tab w:leader="none" w:pos="6360" w:val="left"/>
        </w:tabs>
        <w:rPr>
          <w:sz w:val="20"/>
          <w:szCs w:val="20"/>
          <w:color w:val="auto"/>
        </w:rPr>
      </w:pPr>
      <w:r>
        <w:rPr>
          <w:rFonts w:ascii="Times New Roman" w:cs="Times New Roman" w:eastAsia="Times New Roman" w:hAnsi="Times New Roman"/>
          <w:sz w:val="18"/>
          <w:szCs w:val="18"/>
          <w:color w:val="auto"/>
        </w:rPr>
        <w:t>$_________</w:t>
      </w:r>
      <w:r>
        <w:rPr>
          <w:sz w:val="20"/>
          <w:szCs w:val="20"/>
          <w:color w:val="auto"/>
        </w:rPr>
        <w:tab/>
      </w:r>
      <w:r>
        <w:rPr>
          <w:rFonts w:ascii="Times New Roman" w:cs="Times New Roman" w:eastAsia="Times New Roman" w:hAnsi="Times New Roman"/>
          <w:sz w:val="18"/>
          <w:szCs w:val="18"/>
          <w:color w:val="auto"/>
        </w:rPr>
        <w:t>$________</w:t>
      </w:r>
    </w:p>
    <w:p>
      <w:pPr>
        <w:sectPr>
          <w:pgSz w:w="11900" w:h="16838" w:orient="portrait"/>
          <w:cols w:equalWidth="0" w:num="1">
            <w:col w:w="11120"/>
          </w:cols>
          <w:pgMar w:left="320" w:top="117" w:right="459" w:bottom="1440" w:gutter="0" w:footer="0" w:header="0"/>
          <w:type w:val="continuous"/>
        </w:sect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Matters</w:t>
      </w:r>
    </w:p>
    <w:p>
      <w:pPr>
        <w:spacing w:after="0" w:line="216" w:lineRule="exact"/>
        <w:rPr>
          <w:sz w:val="20"/>
          <w:szCs w:val="20"/>
          <w:color w:val="auto"/>
        </w:rPr>
      </w:pPr>
    </w:p>
    <w:p>
      <w:pPr>
        <w:ind w:left="900" w:hanging="569"/>
        <w:spacing w:after="0"/>
        <w:tabs>
          <w:tab w:leader="none" w:pos="900" w:val="left"/>
        </w:tabs>
        <w:numPr>
          <w:ilvl w:val="0"/>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Has any Key Person ceased to be actively engaged in management since the last Compliance Certificate?</w:t>
      </w:r>
    </w:p>
    <w:p>
      <w:pPr>
        <w:spacing w:after="0" w:line="292" w:lineRule="exact"/>
        <w:rPr>
          <w:rFonts w:ascii="Times New Roman" w:cs="Times New Roman" w:eastAsia="Times New Roman" w:hAnsi="Times New Roman"/>
          <w:sz w:val="18"/>
          <w:szCs w:val="18"/>
          <w:b w:val="1"/>
          <w:bCs w:val="1"/>
          <w:color w:val="auto"/>
        </w:rPr>
      </w:pPr>
    </w:p>
    <w:p>
      <w:pPr>
        <w:ind w:left="900" w:right="700" w:hanging="569"/>
        <w:spacing w:after="0" w:line="184" w:lineRule="auto"/>
        <w:tabs>
          <w:tab w:leader="none" w:pos="900" w:val="left"/>
        </w:tabs>
        <w:numPr>
          <w:ilvl w:val="0"/>
          <w:numId w:val="188"/>
        </w:numPr>
        <w:rPr>
          <w:rFonts w:ascii="Times New Roman" w:cs="Times New Roman" w:eastAsia="Times New Roman" w:hAnsi="Times New Roman"/>
          <w:sz w:val="32"/>
          <w:szCs w:val="32"/>
          <w:b w:val="1"/>
          <w:bCs w:val="1"/>
          <w:color w:val="auto"/>
          <w:vertAlign w:val="subscript"/>
        </w:rPr>
      </w:pPr>
      <w:r>
        <w:rPr>
          <w:rFonts w:ascii="Times New Roman" w:cs="Times New Roman" w:eastAsia="Times New Roman" w:hAnsi="Times New Roman"/>
          <w:sz w:val="16"/>
          <w:szCs w:val="16"/>
          <w:color w:val="auto"/>
        </w:rPr>
        <w:t>Have there been any transfers/sales/disposals/retirement of Collateral or IP prohibited by the Loan Agreement?</w:t>
      </w:r>
    </w:p>
    <w:p>
      <w:pPr>
        <w:spacing w:after="0" w:line="346" w:lineRule="exact"/>
        <w:rPr>
          <w:rFonts w:ascii="Times New Roman" w:cs="Times New Roman" w:eastAsia="Times New Roman" w:hAnsi="Times New Roman"/>
          <w:sz w:val="32"/>
          <w:szCs w:val="32"/>
          <w:b w:val="1"/>
          <w:bCs w:val="1"/>
          <w:color w:val="auto"/>
          <w:vertAlign w:val="subscript"/>
        </w:rPr>
      </w:pPr>
    </w:p>
    <w:p>
      <w:pPr>
        <w:ind w:left="900" w:right="40" w:hanging="569"/>
        <w:spacing w:after="0" w:line="184" w:lineRule="auto"/>
        <w:tabs>
          <w:tab w:leader="none" w:pos="900" w:val="left"/>
        </w:tabs>
        <w:numPr>
          <w:ilvl w:val="0"/>
          <w:numId w:val="188"/>
        </w:numPr>
        <w:rPr>
          <w:rFonts w:ascii="Times New Roman" w:cs="Times New Roman" w:eastAsia="Times New Roman" w:hAnsi="Times New Roman"/>
          <w:sz w:val="32"/>
          <w:szCs w:val="32"/>
          <w:b w:val="1"/>
          <w:bCs w:val="1"/>
          <w:color w:val="auto"/>
          <w:vertAlign w:val="subscript"/>
        </w:rPr>
      </w:pPr>
      <w:r>
        <w:rPr>
          <w:rFonts w:ascii="Times New Roman" w:cs="Times New Roman" w:eastAsia="Times New Roman" w:hAnsi="Times New Roman"/>
          <w:sz w:val="16"/>
          <w:szCs w:val="16"/>
          <w:color w:val="auto"/>
        </w:rPr>
        <w:t>Have there been any new or pending claims or causes of action against Borrower that could reasonably be expected to result in aggregate damages of more than Two Hundred Fifty Thousand Dollars ($250,000.00)?</w:t>
      </w:r>
    </w:p>
    <w:p>
      <w:pPr>
        <w:spacing w:after="0" w:line="359" w:lineRule="exact"/>
        <w:rPr>
          <w:rFonts w:ascii="Times New Roman" w:cs="Times New Roman" w:eastAsia="Times New Roman" w:hAnsi="Times New Roman"/>
          <w:sz w:val="32"/>
          <w:szCs w:val="32"/>
          <w:b w:val="1"/>
          <w:bCs w:val="1"/>
          <w:color w:val="auto"/>
          <w:vertAlign w:val="subscript"/>
        </w:rPr>
      </w:pPr>
    </w:p>
    <w:p>
      <w:pPr>
        <w:ind w:left="900"/>
        <w:spacing w:after="0"/>
        <w:rPr>
          <w:rFonts w:ascii="Times New Roman" w:cs="Times New Roman" w:eastAsia="Times New Roman" w:hAnsi="Times New Roman"/>
          <w:sz w:val="32"/>
          <w:szCs w:val="32"/>
          <w:b w:val="1"/>
          <w:bCs w:val="1"/>
          <w:color w:val="auto"/>
          <w:vertAlign w:val="subscript"/>
        </w:rPr>
      </w:pPr>
      <w:r>
        <w:rPr>
          <w:rFonts w:ascii="Times New Roman" w:cs="Times New Roman" w:eastAsia="Times New Roman" w:hAnsi="Times New Roman"/>
          <w:sz w:val="18"/>
          <w:szCs w:val="18"/>
          <w:color w:val="auto"/>
        </w:rPr>
        <w:t>Have there been any amendments of or other changes to the capitalization table of Borrower (which are</w:t>
      </w:r>
    </w:p>
    <w:p>
      <w:pPr>
        <w:spacing w:after="0" w:line="2" w:lineRule="exact"/>
        <w:rPr>
          <w:rFonts w:ascii="Times New Roman" w:cs="Times New Roman" w:eastAsia="Times New Roman" w:hAnsi="Times New Roman"/>
          <w:sz w:val="32"/>
          <w:szCs w:val="32"/>
          <w:b w:val="1"/>
          <w:bCs w:val="1"/>
          <w:color w:val="auto"/>
          <w:vertAlign w:val="subscript"/>
        </w:rPr>
      </w:pPr>
    </w:p>
    <w:p>
      <w:pPr>
        <w:ind w:left="900" w:right="60" w:hanging="569"/>
        <w:spacing w:after="0" w:line="233" w:lineRule="auto"/>
        <w:tabs>
          <w:tab w:leader="none" w:pos="900" w:val="left"/>
        </w:tabs>
        <w:numPr>
          <w:ilvl w:val="0"/>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material) and to the Operating Documents of Borrower or any of its Subsidiaries? If yes, provide copies of any such amendments or changes with this Compliance Certificate.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Exceptions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No</w:t>
      </w:r>
    </w:p>
    <w:p>
      <w:pPr>
        <w:spacing w:after="0" w:line="38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No</w:t>
      </w:r>
    </w:p>
    <w:p>
      <w:pPr>
        <w:spacing w:after="0" w:line="200" w:lineRule="exact"/>
        <w:rPr>
          <w:sz w:val="20"/>
          <w:szCs w:val="20"/>
          <w:color w:val="auto"/>
        </w:rPr>
      </w:pPr>
    </w:p>
    <w:p>
      <w:pPr>
        <w:spacing w:after="0" w:line="36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No</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No</w:t>
      </w:r>
    </w:p>
    <w:p>
      <w:pPr>
        <w:spacing w:after="0" w:line="817" w:lineRule="exact"/>
        <w:rPr>
          <w:sz w:val="20"/>
          <w:szCs w:val="20"/>
          <w:color w:val="auto"/>
        </w:rPr>
      </w:pPr>
    </w:p>
    <w:p>
      <w:pPr>
        <w:sectPr>
          <w:pgSz w:w="11900" w:h="16838" w:orient="portrait"/>
          <w:cols w:equalWidth="0" w:num="2">
            <w:col w:w="8680" w:space="720"/>
            <w:col w:w="1720"/>
          </w:cols>
          <w:pgMar w:left="320" w:top="117" w:right="459" w:bottom="1440" w:gutter="0" w:footer="0" w:header="0"/>
          <w:type w:val="continuous"/>
        </w:sectPr>
      </w:pPr>
    </w:p>
    <w:p>
      <w:pPr>
        <w:spacing w:after="0" w:line="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Please explain any exceptions with respect to the certification above: (If no exceptions exist, state “No exceptions.” Attach separate sheet if additional space needed.)</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RXSIGHT, INC.</w:t>
      </w:r>
    </w:p>
    <w:p>
      <w:pPr>
        <w:spacing w:after="0" w:line="200" w:lineRule="exact"/>
        <w:rPr>
          <w:sz w:val="20"/>
          <w:szCs w:val="20"/>
          <w:color w:val="auto"/>
        </w:rPr>
      </w:pPr>
    </w:p>
    <w:p>
      <w:pPr>
        <w:spacing w:after="0" w:line="2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17145</wp:posOffset>
            </wp:positionV>
            <wp:extent cx="206565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065655" cy="889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14605</wp:posOffset>
            </wp:positionV>
            <wp:extent cx="206565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14605</wp:posOffset>
            </wp:positionV>
            <wp:extent cx="206565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LENDER USE ONLY</w:t>
      </w:r>
    </w:p>
    <w:p>
      <w:pPr>
        <w:spacing w:after="0" w:line="229" w:lineRule="exact"/>
        <w:rPr>
          <w:sz w:val="20"/>
          <w:szCs w:val="20"/>
          <w:color w:val="auto"/>
        </w:rPr>
      </w:pPr>
    </w:p>
    <w:p>
      <w:pPr>
        <w:ind w:left="3580"/>
        <w:spacing w:after="0"/>
        <w:tabs>
          <w:tab w:leader="none" w:pos="8240" w:val="left"/>
        </w:tabs>
        <w:rPr>
          <w:sz w:val="20"/>
          <w:szCs w:val="20"/>
          <w:color w:val="auto"/>
        </w:rPr>
      </w:pPr>
      <w:r>
        <w:rPr>
          <w:rFonts w:ascii="Times New Roman" w:cs="Times New Roman" w:eastAsia="Times New Roman" w:hAnsi="Times New Roman"/>
          <w:sz w:val="18"/>
          <w:szCs w:val="18"/>
          <w:color w:val="auto"/>
        </w:rPr>
        <w:t>Received by:</w:t>
      </w:r>
      <w:r>
        <w:rPr>
          <w:sz w:val="20"/>
          <w:szCs w:val="20"/>
          <w:color w:val="auto"/>
        </w:rPr>
        <w:tab/>
      </w:r>
      <w:r>
        <w:rPr>
          <w:rFonts w:ascii="Times New Roman" w:cs="Times New Roman" w:eastAsia="Times New Roman" w:hAnsi="Times New Roman"/>
          <w:sz w:val="17"/>
          <w:szCs w:val="17"/>
          <w:color w:val="auto"/>
        </w:rPr>
        <w:t>Date:</w:t>
      </w:r>
    </w:p>
    <w:p>
      <w:pPr>
        <w:spacing w:after="0" w:line="225" w:lineRule="exact"/>
        <w:rPr>
          <w:sz w:val="20"/>
          <w:szCs w:val="20"/>
          <w:color w:val="auto"/>
        </w:rPr>
      </w:pPr>
    </w:p>
    <w:p>
      <w:pPr>
        <w:ind w:left="3580"/>
        <w:spacing w:after="0"/>
        <w:tabs>
          <w:tab w:leader="none" w:pos="8240" w:val="left"/>
        </w:tabs>
        <w:rPr>
          <w:sz w:val="20"/>
          <w:szCs w:val="20"/>
          <w:color w:val="auto"/>
        </w:rPr>
      </w:pPr>
      <w:r>
        <w:rPr>
          <w:rFonts w:ascii="Times New Roman" w:cs="Times New Roman" w:eastAsia="Times New Roman" w:hAnsi="Times New Roman"/>
          <w:sz w:val="18"/>
          <w:szCs w:val="18"/>
          <w:color w:val="auto"/>
        </w:rPr>
        <w:t>Verified by:</w:t>
      </w:r>
      <w:r>
        <w:rPr>
          <w:sz w:val="20"/>
          <w:szCs w:val="20"/>
          <w:color w:val="auto"/>
        </w:rPr>
        <w:tab/>
      </w:r>
      <w:r>
        <w:rPr>
          <w:rFonts w:ascii="Times New Roman" w:cs="Times New Roman" w:eastAsia="Times New Roman" w:hAnsi="Times New Roman"/>
          <w:sz w:val="17"/>
          <w:szCs w:val="17"/>
          <w:color w:val="auto"/>
        </w:rPr>
        <w:t>Date:</w:t>
      </w:r>
    </w:p>
    <w:p>
      <w:pPr>
        <w:spacing w:after="0" w:line="225" w:lineRule="exact"/>
        <w:rPr>
          <w:sz w:val="20"/>
          <w:szCs w:val="20"/>
          <w:color w:val="auto"/>
        </w:rPr>
      </w:pPr>
    </w:p>
    <w:p>
      <w:pPr>
        <w:ind w:left="3580"/>
        <w:spacing w:after="0"/>
        <w:tabs>
          <w:tab w:leader="none" w:pos="5720" w:val="left"/>
        </w:tabs>
        <w:rPr>
          <w:sz w:val="20"/>
          <w:szCs w:val="20"/>
          <w:color w:val="auto"/>
        </w:rPr>
      </w:pPr>
      <w:r>
        <w:rPr>
          <w:rFonts w:ascii="Times New Roman" w:cs="Times New Roman" w:eastAsia="Times New Roman" w:hAnsi="Times New Roman"/>
          <w:sz w:val="18"/>
          <w:szCs w:val="18"/>
          <w:color w:val="auto"/>
        </w:rPr>
        <w:t>Compliance Status: Yes</w:t>
      </w:r>
      <w:r>
        <w:rPr>
          <w:sz w:val="20"/>
          <w:szCs w:val="20"/>
          <w:color w:val="auto"/>
        </w:rPr>
        <w:tab/>
      </w:r>
      <w:r>
        <w:rPr>
          <w:rFonts w:ascii="Times New Roman" w:cs="Times New Roman" w:eastAsia="Times New Roman" w:hAnsi="Times New Roman"/>
          <w:sz w:val="18"/>
          <w:szCs w:val="18"/>
          <w:color w:val="auto"/>
        </w:rPr>
        <w:t>No</w:t>
      </w:r>
    </w:p>
    <w:p>
      <w:pPr>
        <w:spacing w:after="0" w:line="351" w:lineRule="exact"/>
        <w:rPr>
          <w:sz w:val="20"/>
          <w:szCs w:val="20"/>
          <w:color w:val="auto"/>
        </w:rPr>
      </w:pPr>
    </w:p>
    <w:p>
      <w:pPr>
        <w:ind w:right="1620" w:firstLine="8"/>
        <w:spacing w:after="0" w:line="280" w:lineRule="auto"/>
        <w:tabs>
          <w:tab w:leader="none" w:pos="391"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confidential information contained in this document, marked by brackets, has been omitted because it is both (i)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type w:val="continuous"/>
        </w:sectPr>
      </w:pPr>
    </w:p>
    <w:bookmarkStart w:id="181" w:name="page182"/>
    <w:bookmarkEnd w:id="181"/>
    <w:p>
      <w:pPr>
        <w:jc w:val="center"/>
        <w:ind w:right="-71"/>
        <w:spacing w:after="0"/>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HAS BEEN OMITTED BECAUSE IT IS BOTH (I) NOT</w:t>
      </w:r>
    </w:p>
    <w:p>
      <w:pPr>
        <w:spacing w:after="0" w:line="31" w:lineRule="exact"/>
        <w:rPr>
          <w:sz w:val="20"/>
          <w:szCs w:val="20"/>
          <w:color w:val="auto"/>
        </w:rPr>
      </w:pPr>
    </w:p>
    <w:p>
      <w:pPr>
        <w:jc w:val="center"/>
        <w:ind w:left="400" w:right="280"/>
        <w:spacing w:after="0" w:line="258" w:lineRule="auto"/>
        <w:rPr>
          <w:sz w:val="20"/>
          <w:szCs w:val="20"/>
          <w:color w:val="auto"/>
        </w:rPr>
      </w:pPr>
      <w:r>
        <w:rPr>
          <w:rFonts w:ascii="Times New Roman" w:cs="Times New Roman" w:eastAsia="Times New Roman" w:hAnsi="Times New Roman"/>
          <w:sz w:val="18"/>
          <w:szCs w:val="18"/>
          <w:b w:val="1"/>
          <w:bCs w:val="1"/>
          <w:color w:val="auto"/>
        </w:rPr>
        <w:t>MATERIAL AND (II) WOULD BE COMPETITIVELY HARMFUL IF PUBLICLY DISCLOSED. INFORMATION THAT HAS BEEN OMITTED HAS BEEN NOTED IN THIS DOCUMENT WITH A PLACEHOLDER IDENTIFIED BY THE MARK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11"/>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252" w:lineRule="exact"/>
        <w:rPr>
          <w:sz w:val="20"/>
          <w:szCs w:val="20"/>
          <w:color w:val="auto"/>
        </w:rPr>
      </w:pPr>
    </w:p>
    <w:p>
      <w:pPr>
        <w:jc w:val="center"/>
        <w:ind w:right="-111"/>
        <w:spacing w:after="0"/>
        <w:rPr>
          <w:sz w:val="20"/>
          <w:szCs w:val="20"/>
          <w:color w:val="auto"/>
        </w:rPr>
      </w:pPr>
      <w:r>
        <w:rPr>
          <w:rFonts w:ascii="Times New Roman" w:cs="Times New Roman" w:eastAsia="Times New Roman" w:hAnsi="Times New Roman"/>
          <w:sz w:val="18"/>
          <w:szCs w:val="18"/>
          <w:b w:val="1"/>
          <w:bCs w:val="1"/>
          <w:u w:val="single" w:color="auto"/>
          <w:color w:val="auto"/>
        </w:rPr>
        <w:t>Conformed, marked copy of the Loan Agreement</w:t>
      </w:r>
    </w:p>
    <w:p>
      <w:pPr>
        <w:spacing w:after="0" w:line="256" w:lineRule="exact"/>
        <w:rPr>
          <w:sz w:val="20"/>
          <w:szCs w:val="20"/>
          <w:color w:val="auto"/>
        </w:rPr>
      </w:pPr>
    </w:p>
    <w:p>
      <w:pPr>
        <w:jc w:val="center"/>
        <w:ind w:right="-111"/>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8" w:right="1620" w:firstLine="8"/>
        <w:spacing w:after="0" w:line="280" w:lineRule="auto"/>
        <w:tabs>
          <w:tab w:leader="none" w:pos="383" w:val="left"/>
        </w:tabs>
        <w:numPr>
          <w:ilvl w:val="0"/>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confidential information contained in this document, marked by brackets, has been omitted because it is both (i)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40640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12"/>
          </w:cols>
          <w:pgMar w:left="328" w:top="117" w:right="45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Ron Kurtz, M.D., certify that:</w:t>
      </w:r>
    </w:p>
    <w:p>
      <w:pPr>
        <w:spacing w:after="0" w:line="198" w:lineRule="exact"/>
        <w:rPr>
          <w:sz w:val="20"/>
          <w:szCs w:val="20"/>
          <w:color w:val="auto"/>
        </w:rPr>
      </w:pPr>
    </w:p>
    <w:p>
      <w:pPr>
        <w:ind w:left="500" w:hanging="479"/>
        <w:spacing w:after="0"/>
        <w:tabs>
          <w:tab w:leader="none" w:pos="50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RxSight, Inc.;</w:t>
      </w:r>
    </w:p>
    <w:p>
      <w:pPr>
        <w:spacing w:after="0" w:line="198" w:lineRule="exact"/>
        <w:rPr>
          <w:rFonts w:ascii="Times New Roman" w:cs="Times New Roman" w:eastAsia="Times New Roman" w:hAnsi="Times New Roman"/>
          <w:sz w:val="18"/>
          <w:szCs w:val="18"/>
          <w:color w:val="auto"/>
        </w:rPr>
      </w:pPr>
    </w:p>
    <w:p>
      <w:pPr>
        <w:jc w:val="both"/>
        <w:ind w:left="500" w:right="280" w:hanging="479"/>
        <w:spacing w:after="0" w:line="236" w:lineRule="auto"/>
        <w:tabs>
          <w:tab w:leader="none" w:pos="50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2" w:lineRule="exact"/>
        <w:rPr>
          <w:rFonts w:ascii="Times New Roman" w:cs="Times New Roman" w:eastAsia="Times New Roman" w:hAnsi="Times New Roman"/>
          <w:sz w:val="18"/>
          <w:szCs w:val="18"/>
          <w:color w:val="auto"/>
        </w:rPr>
      </w:pPr>
    </w:p>
    <w:p>
      <w:pPr>
        <w:ind w:left="500" w:right="240" w:hanging="479"/>
        <w:spacing w:after="0" w:line="250" w:lineRule="auto"/>
        <w:tabs>
          <w:tab w:leader="none" w:pos="50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Times New Roman" w:cs="Times New Roman" w:eastAsia="Times New Roman" w:hAnsi="Times New Roman"/>
          <w:sz w:val="18"/>
          <w:szCs w:val="18"/>
          <w:color w:val="auto"/>
        </w:rPr>
      </w:pPr>
    </w:p>
    <w:p>
      <w:pPr>
        <w:ind w:left="500" w:right="480" w:hanging="479"/>
        <w:spacing w:after="0" w:line="250" w:lineRule="auto"/>
        <w:tabs>
          <w:tab w:leader="none" w:pos="50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2" w:lineRule="exact"/>
        <w:rPr>
          <w:rFonts w:ascii="Times New Roman" w:cs="Times New Roman" w:eastAsia="Times New Roman" w:hAnsi="Times New Roman"/>
          <w:sz w:val="18"/>
          <w:szCs w:val="18"/>
          <w:color w:val="auto"/>
        </w:rPr>
      </w:pPr>
    </w:p>
    <w:p>
      <w:pPr>
        <w:ind w:left="1080" w:right="160" w:hanging="586"/>
        <w:spacing w:after="0" w:line="236" w:lineRule="auto"/>
        <w:tabs>
          <w:tab w:leader="none" w:pos="108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72" w:lineRule="exact"/>
        <w:rPr>
          <w:rFonts w:ascii="Times New Roman" w:cs="Times New Roman" w:eastAsia="Times New Roman" w:hAnsi="Times New Roman"/>
          <w:sz w:val="18"/>
          <w:szCs w:val="18"/>
          <w:color w:val="auto"/>
        </w:rPr>
      </w:pPr>
    </w:p>
    <w:p>
      <w:pPr>
        <w:ind w:left="1080" w:hanging="586"/>
        <w:spacing w:after="0"/>
        <w:tabs>
          <w:tab w:leader="none" w:pos="108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11" w:lineRule="exact"/>
        <w:rPr>
          <w:rFonts w:ascii="Times New Roman" w:cs="Times New Roman" w:eastAsia="Times New Roman" w:hAnsi="Times New Roman"/>
          <w:sz w:val="18"/>
          <w:szCs w:val="18"/>
          <w:color w:val="auto"/>
        </w:rPr>
      </w:pPr>
    </w:p>
    <w:p>
      <w:pPr>
        <w:jc w:val="both"/>
        <w:ind w:left="1080" w:right="440" w:hanging="586"/>
        <w:spacing w:after="0" w:line="279" w:lineRule="auto"/>
        <w:tabs>
          <w:tab w:leader="none" w:pos="1080" w:val="left"/>
        </w:tabs>
        <w:numPr>
          <w:ilvl w:val="1"/>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080" w:right="140" w:hanging="586"/>
        <w:spacing w:after="0" w:line="236" w:lineRule="auto"/>
        <w:tabs>
          <w:tab w:leader="none" w:pos="108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rFonts w:ascii="Times New Roman" w:cs="Times New Roman" w:eastAsia="Times New Roman" w:hAnsi="Times New Roman"/>
          <w:sz w:val="18"/>
          <w:szCs w:val="18"/>
          <w:color w:val="auto"/>
        </w:rPr>
      </w:pPr>
    </w:p>
    <w:p>
      <w:pPr>
        <w:ind w:left="500" w:right="160" w:hanging="479"/>
        <w:spacing w:after="0" w:line="250" w:lineRule="auto"/>
        <w:tabs>
          <w:tab w:leader="none" w:pos="50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Times New Roman" w:cs="Times New Roman" w:eastAsia="Times New Roman" w:hAnsi="Times New Roman"/>
          <w:sz w:val="18"/>
          <w:szCs w:val="18"/>
          <w:color w:val="auto"/>
        </w:rPr>
      </w:pPr>
    </w:p>
    <w:p>
      <w:pPr>
        <w:ind w:left="1080" w:right="680" w:hanging="586"/>
        <w:spacing w:after="0" w:line="250" w:lineRule="auto"/>
        <w:tabs>
          <w:tab w:leader="none" w:pos="108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80" w:right="380" w:hanging="586"/>
        <w:spacing w:after="0" w:line="250" w:lineRule="auto"/>
        <w:tabs>
          <w:tab w:leader="none" w:pos="108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5, 2022</w:t>
      </w:r>
    </w:p>
    <w:p>
      <w:pPr>
        <w:spacing w:after="0" w:line="16" w:lineRule="exact"/>
        <w:rPr>
          <w:sz w:val="20"/>
          <w:szCs w:val="20"/>
          <w:color w:val="auto"/>
        </w:rPr>
      </w:pPr>
    </w:p>
    <w:p>
      <w:pPr>
        <w:ind w:left="5740"/>
        <w:spacing w:after="0"/>
        <w:tabs>
          <w:tab w:leader="none" w:pos="79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Ron Kurtz,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4445</wp:posOffset>
            </wp:positionV>
            <wp:extent cx="329184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Ron Kurtz, M.D.</w:t>
      </w:r>
    </w:p>
    <w:p>
      <w:pPr>
        <w:jc w:val="center"/>
        <w:ind w:left="6040"/>
        <w:spacing w:after="0" w:line="234" w:lineRule="auto"/>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1"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Shelley Thunen, certify that:</w:t>
      </w:r>
    </w:p>
    <w:p>
      <w:pPr>
        <w:spacing w:after="0" w:line="198" w:lineRule="exact"/>
        <w:rPr>
          <w:sz w:val="20"/>
          <w:szCs w:val="20"/>
          <w:color w:val="auto"/>
        </w:rPr>
      </w:pPr>
    </w:p>
    <w:p>
      <w:pPr>
        <w:ind w:left="500" w:hanging="479"/>
        <w:spacing w:after="0"/>
        <w:tabs>
          <w:tab w:leader="none" w:pos="5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RxSight, Inc.;</w:t>
      </w:r>
    </w:p>
    <w:p>
      <w:pPr>
        <w:spacing w:after="0" w:line="198" w:lineRule="exact"/>
        <w:rPr>
          <w:rFonts w:ascii="Times New Roman" w:cs="Times New Roman" w:eastAsia="Times New Roman" w:hAnsi="Times New Roman"/>
          <w:sz w:val="18"/>
          <w:szCs w:val="18"/>
          <w:color w:val="auto"/>
        </w:rPr>
      </w:pPr>
    </w:p>
    <w:p>
      <w:pPr>
        <w:jc w:val="both"/>
        <w:ind w:left="500" w:right="280" w:hanging="479"/>
        <w:spacing w:after="0" w:line="236" w:lineRule="auto"/>
        <w:tabs>
          <w:tab w:leader="none" w:pos="5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2" w:lineRule="exact"/>
        <w:rPr>
          <w:rFonts w:ascii="Times New Roman" w:cs="Times New Roman" w:eastAsia="Times New Roman" w:hAnsi="Times New Roman"/>
          <w:sz w:val="18"/>
          <w:szCs w:val="18"/>
          <w:color w:val="auto"/>
        </w:rPr>
      </w:pPr>
    </w:p>
    <w:p>
      <w:pPr>
        <w:ind w:left="500" w:right="240" w:hanging="479"/>
        <w:spacing w:after="0" w:line="250" w:lineRule="auto"/>
        <w:tabs>
          <w:tab w:leader="none" w:pos="5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00" w:right="480" w:hanging="479"/>
        <w:spacing w:after="0" w:line="250" w:lineRule="auto"/>
        <w:tabs>
          <w:tab w:leader="none" w:pos="5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6" w:lineRule="exact"/>
        <w:rPr>
          <w:rFonts w:ascii="Times New Roman" w:cs="Times New Roman" w:eastAsia="Times New Roman" w:hAnsi="Times New Roman"/>
          <w:sz w:val="18"/>
          <w:szCs w:val="18"/>
          <w:color w:val="auto"/>
        </w:rPr>
      </w:pPr>
    </w:p>
    <w:p>
      <w:pPr>
        <w:ind w:left="1080" w:right="160" w:hanging="586"/>
        <w:spacing w:after="0" w:line="236" w:lineRule="auto"/>
        <w:tabs>
          <w:tab w:leader="none" w:pos="1080"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72" w:lineRule="exact"/>
        <w:rPr>
          <w:rFonts w:ascii="Times New Roman" w:cs="Times New Roman" w:eastAsia="Times New Roman" w:hAnsi="Times New Roman"/>
          <w:sz w:val="18"/>
          <w:szCs w:val="18"/>
          <w:color w:val="auto"/>
        </w:rPr>
      </w:pPr>
    </w:p>
    <w:p>
      <w:pPr>
        <w:ind w:left="1080" w:hanging="586"/>
        <w:spacing w:after="0"/>
        <w:tabs>
          <w:tab w:leader="none" w:pos="1080"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198" w:lineRule="exact"/>
        <w:rPr>
          <w:rFonts w:ascii="Times New Roman" w:cs="Times New Roman" w:eastAsia="Times New Roman" w:hAnsi="Times New Roman"/>
          <w:sz w:val="18"/>
          <w:szCs w:val="18"/>
          <w:color w:val="auto"/>
        </w:rPr>
      </w:pPr>
    </w:p>
    <w:p>
      <w:pPr>
        <w:jc w:val="both"/>
        <w:ind w:left="1080" w:right="440" w:hanging="586"/>
        <w:spacing w:after="0" w:line="279" w:lineRule="auto"/>
        <w:tabs>
          <w:tab w:leader="none" w:pos="1080" w:val="left"/>
        </w:tabs>
        <w:numPr>
          <w:ilvl w:val="1"/>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53" w:lineRule="exact"/>
        <w:rPr>
          <w:rFonts w:ascii="Times New Roman" w:cs="Times New Roman" w:eastAsia="Times New Roman" w:hAnsi="Times New Roman"/>
          <w:sz w:val="17"/>
          <w:szCs w:val="17"/>
          <w:color w:val="auto"/>
        </w:rPr>
      </w:pPr>
    </w:p>
    <w:p>
      <w:pPr>
        <w:ind w:left="1080" w:right="140" w:hanging="586"/>
        <w:spacing w:after="0" w:line="236" w:lineRule="auto"/>
        <w:tabs>
          <w:tab w:leader="none" w:pos="1080"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rFonts w:ascii="Times New Roman" w:cs="Times New Roman" w:eastAsia="Times New Roman" w:hAnsi="Times New Roman"/>
          <w:sz w:val="18"/>
          <w:szCs w:val="18"/>
          <w:color w:val="auto"/>
        </w:rPr>
      </w:pPr>
    </w:p>
    <w:p>
      <w:pPr>
        <w:ind w:left="500" w:right="160" w:hanging="479"/>
        <w:spacing w:after="0" w:line="250" w:lineRule="auto"/>
        <w:tabs>
          <w:tab w:leader="none" w:pos="5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80" w:right="680" w:hanging="586"/>
        <w:spacing w:after="0" w:line="250" w:lineRule="auto"/>
        <w:tabs>
          <w:tab w:leader="none" w:pos="1080"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Times New Roman" w:cs="Times New Roman" w:eastAsia="Times New Roman" w:hAnsi="Times New Roman"/>
          <w:sz w:val="18"/>
          <w:szCs w:val="18"/>
          <w:color w:val="auto"/>
        </w:rPr>
      </w:pPr>
    </w:p>
    <w:p>
      <w:pPr>
        <w:ind w:left="1080" w:right="380" w:hanging="586"/>
        <w:spacing w:after="0" w:line="250" w:lineRule="auto"/>
        <w:tabs>
          <w:tab w:leader="none" w:pos="1080"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5, 2022</w:t>
      </w:r>
    </w:p>
    <w:p>
      <w:pPr>
        <w:spacing w:after="0" w:line="16" w:lineRule="exact"/>
        <w:rPr>
          <w:sz w:val="20"/>
          <w:szCs w:val="20"/>
          <w:color w:val="auto"/>
        </w:rPr>
      </w:pPr>
    </w:p>
    <w:p>
      <w:pPr>
        <w:ind w:left="5740"/>
        <w:spacing w:after="0"/>
        <w:tabs>
          <w:tab w:leader="none" w:pos="7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Shelley Thunen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4445</wp:posOffset>
            </wp:positionV>
            <wp:extent cx="329184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Shelley Thunen</w:t>
      </w:r>
    </w:p>
    <w:p>
      <w:pPr>
        <w:jc w:val="center"/>
        <w:ind w:left="6040"/>
        <w:spacing w:after="0" w:line="234" w:lineRule="auto"/>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1"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RxSight, Inc. (the “Company”) on Form 10-Q for the quarterly period ended March 31, 2022, as filed with the Securities and Exchange Commission (the “Report”), I, Ron Kurtz, M.D., Chief Executive Officer of the Company, certify, pursuant to 18 U.S.C. §1350, as adopted pursuant to §906 of the Sarbanes-Oxley Act of 2002, that, to my knowledge:</w:t>
      </w:r>
    </w:p>
    <w:p>
      <w:pPr>
        <w:spacing w:after="0" w:line="345" w:lineRule="exact"/>
        <w:rPr>
          <w:sz w:val="20"/>
          <w:szCs w:val="20"/>
          <w:color w:val="auto"/>
        </w:rPr>
      </w:pPr>
    </w:p>
    <w:p>
      <w:pPr>
        <w:ind w:left="1080" w:hanging="586"/>
        <w:spacing w:after="0"/>
        <w:tabs>
          <w:tab w:leader="none" w:pos="108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1040" w:right="540" w:hanging="560"/>
        <w:spacing w:after="0" w:line="250" w:lineRule="auto"/>
        <w:tabs>
          <w:tab w:leader="none" w:pos="104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and for the period covered by the Report.</w:t>
      </w:r>
    </w:p>
    <w:p>
      <w:pPr>
        <w:spacing w:after="0" w:line="365" w:lineRule="exact"/>
        <w:rPr>
          <w:sz w:val="20"/>
          <w:szCs w:val="20"/>
          <w:color w:val="auto"/>
        </w:rPr>
      </w:pPr>
    </w:p>
    <w:p>
      <w:pPr>
        <w:ind w:left="20"/>
        <w:spacing w:after="0"/>
        <w:tabs>
          <w:tab w:leader="none" w:pos="5680" w:val="left"/>
          <w:tab w:leader="none" w:pos="7900" w:val="left"/>
        </w:tabs>
        <w:rPr>
          <w:sz w:val="20"/>
          <w:szCs w:val="20"/>
          <w:color w:val="auto"/>
        </w:rPr>
      </w:pPr>
      <w:r>
        <w:rPr>
          <w:rFonts w:ascii="Times New Roman" w:cs="Times New Roman" w:eastAsia="Times New Roman" w:hAnsi="Times New Roman"/>
          <w:sz w:val="18"/>
          <w:szCs w:val="18"/>
          <w:color w:val="auto"/>
        </w:rPr>
        <w:t>Date: May 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Ron Kurtz,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Ron Kurtz, M.D.</w:t>
      </w:r>
    </w:p>
    <w:p>
      <w:pPr>
        <w:jc w:val="center"/>
        <w:ind w:left="6000"/>
        <w:spacing w:after="0" w:line="234" w:lineRule="auto"/>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2"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RxSight, Inc. (the “Company”) on Form 10-Q for the quarterly period ended March 31, 2022, as filed with the Securities and Exchange Commission (the “Report”), I, Shelley Thunen, Chief Financial Officer of the Company, certify, pursuant to 18 U.S.C. §1350, as adopted pursuant to §906 of the Sarbanes-Oxley Act of 2002, that, to my knowledge:</w:t>
      </w:r>
    </w:p>
    <w:p>
      <w:pPr>
        <w:spacing w:after="0" w:line="142" w:lineRule="exact"/>
        <w:rPr>
          <w:sz w:val="20"/>
          <w:szCs w:val="20"/>
          <w:color w:val="auto"/>
        </w:rPr>
      </w:pPr>
    </w:p>
    <w:p>
      <w:pPr>
        <w:ind w:left="1080" w:hanging="586"/>
        <w:spacing w:after="0"/>
        <w:tabs>
          <w:tab w:leader="none" w:pos="10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1080" w:right="500" w:hanging="586"/>
        <w:spacing w:after="0" w:line="250" w:lineRule="auto"/>
        <w:tabs>
          <w:tab w:leader="none" w:pos="10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and for the period covered by the Report.</w:t>
      </w:r>
    </w:p>
    <w:p>
      <w:pPr>
        <w:spacing w:after="0" w:line="176" w:lineRule="exact"/>
        <w:rPr>
          <w:sz w:val="20"/>
          <w:szCs w:val="20"/>
          <w:color w:val="auto"/>
        </w:rPr>
      </w:pPr>
    </w:p>
    <w:p>
      <w:pPr>
        <w:ind w:left="20"/>
        <w:spacing w:after="0"/>
        <w:tabs>
          <w:tab w:leader="none" w:pos="5680" w:val="left"/>
          <w:tab w:leader="none" w:pos="7940" w:val="left"/>
        </w:tabs>
        <w:rPr>
          <w:sz w:val="20"/>
          <w:szCs w:val="20"/>
          <w:color w:val="auto"/>
        </w:rPr>
      </w:pPr>
      <w:r>
        <w:rPr>
          <w:rFonts w:ascii="Times New Roman" w:cs="Times New Roman" w:eastAsia="Times New Roman" w:hAnsi="Times New Roman"/>
          <w:sz w:val="18"/>
          <w:szCs w:val="18"/>
          <w:color w:val="auto"/>
        </w:rPr>
        <w:t>Date: May 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Shelley Thunen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Shelley Thunen</w:t>
      </w:r>
    </w:p>
    <w:p>
      <w:pPr>
        <w:jc w:val="center"/>
        <w:ind w:left="6000"/>
        <w:spacing w:after="0" w:line="234" w:lineRule="auto"/>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720725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86" w:name="page187"/>
    <w:bookmarkEnd w:id="18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FB8011C"/>
    <w:multiLevelType w:val="hybridMultilevel"/>
    <w:lvl w:ilvl="0">
      <w:lvlJc w:val="left"/>
      <w:lvlText w:val="☒"/>
      <w:numFmt w:val="bullet"/>
      <w:start w:val="1"/>
    </w:lvl>
  </w:abstractNum>
  <w:abstractNum w:abstractNumId="1">
    <w:nsid w:val="6AA78F7F"/>
    <w:multiLevelType w:val="hybridMultilevel"/>
    <w:lvl w:ilvl="0">
      <w:lvlJc w:val="left"/>
      <w:lvlText w:val="☐"/>
      <w:numFmt w:val="bullet"/>
      <w:start w:val="1"/>
    </w:lvl>
  </w:abstractNum>
  <w:abstractNum w:abstractNumId="2">
    <w:nsid w:val="7672BD23"/>
    <w:multiLevelType w:val="hybridMultilevel"/>
    <w:lvl w:ilvl="0">
      <w:lvlJc w:val="left"/>
      <w:lvlText w:val="•"/>
      <w:numFmt w:val="bullet"/>
      <w:start w:val="1"/>
    </w:lvl>
  </w:abstractNum>
  <w:abstractNum w:abstractNumId="3">
    <w:nsid w:val="6FC75AF8"/>
    <w:multiLevelType w:val="hybridMultilevel"/>
    <w:lvl w:ilvl="0">
      <w:lvlJc w:val="left"/>
      <w:lvlText w:val="•"/>
      <w:numFmt w:val="bullet"/>
      <w:start w:val="1"/>
    </w:lvl>
  </w:abstractNum>
  <w:abstractNum w:abstractNumId="4">
    <w:nsid w:val="6A5F7029"/>
    <w:multiLevelType w:val="hybridMultilevel"/>
    <w:lvl w:ilvl="0">
      <w:lvlJc w:val="left"/>
      <w:lvlText w:val="•"/>
      <w:numFmt w:val="bullet"/>
      <w:start w:val="1"/>
    </w:lvl>
  </w:abstractNum>
  <w:abstractNum w:abstractNumId="5">
    <w:nsid w:val="7D5E18F8"/>
    <w:multiLevelType w:val="hybridMultilevel"/>
    <w:lvl w:ilvl="0">
      <w:lvlJc w:val="left"/>
      <w:lvlText w:val="(%1)"/>
      <w:numFmt w:val="lowerRoman"/>
      <w:start w:val="4"/>
    </w:lvl>
  </w:abstractNum>
  <w:abstractNum w:abstractNumId="6">
    <w:nsid w:val="5F3534A4"/>
    <w:multiLevelType w:val="hybridMultilevel"/>
    <w:lvl w:ilvl="0">
      <w:lvlJc w:val="left"/>
      <w:lvlText w:val="(%1)"/>
      <w:numFmt w:val="decimal"/>
      <w:start w:val="3"/>
    </w:lvl>
  </w:abstractNum>
  <w:abstractNum w:abstractNumId="7">
    <w:nsid w:val="73A1821B"/>
    <w:multiLevelType w:val="hybridMultilevel"/>
    <w:lvl w:ilvl="0">
      <w:lvlJc w:val="left"/>
      <w:lvlText w:val="(%1)"/>
      <w:numFmt w:val="lowerRoman"/>
      <w:start w:val="2"/>
    </w:lvl>
  </w:abstractNum>
  <w:abstractNum w:abstractNumId="8">
    <w:nsid w:val="7DE67713"/>
    <w:multiLevelType w:val="hybridMultilevel"/>
    <w:lvl w:ilvl="0">
      <w:lvlJc w:val="left"/>
      <w:lvlText w:val="•"/>
      <w:numFmt w:val="bullet"/>
      <w:start w:val="1"/>
    </w:lvl>
  </w:abstractNum>
  <w:abstractNum w:abstractNumId="9">
    <w:nsid w:val="555C55B5"/>
    <w:multiLevelType w:val="hybridMultilevel"/>
    <w:lvl w:ilvl="0">
      <w:lvlJc w:val="left"/>
      <w:lvlText w:val="•"/>
      <w:numFmt w:val="bullet"/>
      <w:start w:val="1"/>
    </w:lvl>
  </w:abstractNum>
  <w:abstractNum w:abstractNumId="10">
    <w:nsid w:val="3FA62ACA"/>
    <w:multiLevelType w:val="hybridMultilevel"/>
    <w:lvl w:ilvl="0">
      <w:lvlJc w:val="left"/>
      <w:lvlText w:val="•"/>
      <w:numFmt w:val="bullet"/>
      <w:start w:val="1"/>
    </w:lvl>
  </w:abstractNum>
  <w:abstractNum w:abstractNumId="11">
    <w:nsid w:val="14FCE74E"/>
    <w:multiLevelType w:val="hybridMultilevel"/>
    <w:lvl w:ilvl="0">
      <w:lvlJc w:val="left"/>
      <w:lvlText w:val="•"/>
      <w:numFmt w:val="bullet"/>
      <w:start w:val="1"/>
    </w:lvl>
  </w:abstractNum>
  <w:abstractNum w:abstractNumId="12">
    <w:nsid w:val="6A3DD3E8"/>
    <w:multiLevelType w:val="hybridMultilevel"/>
    <w:lvl w:ilvl="0">
      <w:lvlJc w:val="left"/>
      <w:lvlText w:val="•"/>
      <w:numFmt w:val="bullet"/>
      <w:start w:val="1"/>
    </w:lvl>
  </w:abstractNum>
  <w:abstractNum w:abstractNumId="13">
    <w:nsid w:val="71C91298"/>
    <w:multiLevelType w:val="hybridMultilevel"/>
    <w:lvl w:ilvl="0">
      <w:lvlJc w:val="left"/>
      <w:lvlText w:val="•"/>
      <w:numFmt w:val="bullet"/>
      <w:start w:val="1"/>
    </w:lvl>
  </w:abstractNum>
  <w:abstractNum w:abstractNumId="14">
    <w:nsid w:val="9DAF632"/>
    <w:multiLevelType w:val="hybridMultilevel"/>
    <w:lvl w:ilvl="0">
      <w:lvlJc w:val="left"/>
      <w:lvlText w:val="•"/>
      <w:numFmt w:val="bullet"/>
      <w:start w:val="1"/>
    </w:lvl>
  </w:abstractNum>
  <w:abstractNum w:abstractNumId="15">
    <w:nsid w:val="53299938"/>
    <w:multiLevelType w:val="hybridMultilevel"/>
    <w:lvl w:ilvl="0">
      <w:lvlJc w:val="left"/>
      <w:lvlText w:val="•"/>
      <w:numFmt w:val="bullet"/>
      <w:start w:val="1"/>
    </w:lvl>
  </w:abstractNum>
  <w:abstractNum w:abstractNumId="16">
    <w:nsid w:val="1FBFE8E0"/>
    <w:multiLevelType w:val="hybridMultilevel"/>
    <w:lvl w:ilvl="0">
      <w:lvlJc w:val="left"/>
      <w:lvlText w:val="•"/>
      <w:numFmt w:val="bullet"/>
      <w:start w:val="1"/>
    </w:lvl>
  </w:abstractNum>
  <w:abstractNum w:abstractNumId="17">
    <w:nsid w:val="5092CA79"/>
    <w:multiLevelType w:val="hybridMultilevel"/>
    <w:lvl w:ilvl="0">
      <w:lvlJc w:val="left"/>
      <w:lvlText w:val="•"/>
      <w:numFmt w:val="bullet"/>
      <w:start w:val="1"/>
    </w:lvl>
  </w:abstractNum>
  <w:abstractNum w:abstractNumId="18">
    <w:nsid w:val="1D545C4D"/>
    <w:multiLevelType w:val="hybridMultilevel"/>
    <w:lvl w:ilvl="0">
      <w:lvlJc w:val="left"/>
      <w:lvlText w:val="•"/>
      <w:numFmt w:val="bullet"/>
      <w:start w:val="1"/>
    </w:lvl>
  </w:abstractNum>
  <w:abstractNum w:abstractNumId="19">
    <w:nsid w:val="59ADEA3D"/>
    <w:multiLevelType w:val="hybridMultilevel"/>
    <w:lvl w:ilvl="0">
      <w:lvlJc w:val="left"/>
      <w:lvlText w:val="•"/>
      <w:numFmt w:val="bullet"/>
      <w:start w:val="1"/>
    </w:lvl>
  </w:abstractNum>
  <w:abstractNum w:abstractNumId="20">
    <w:nsid w:val="288F1A34"/>
    <w:multiLevelType w:val="hybridMultilevel"/>
    <w:lvl w:ilvl="0">
      <w:lvlJc w:val="left"/>
      <w:lvlText w:val="•"/>
      <w:numFmt w:val="bullet"/>
      <w:start w:val="1"/>
    </w:lvl>
  </w:abstractNum>
  <w:abstractNum w:abstractNumId="21">
    <w:nsid w:val="2A155DBC"/>
    <w:multiLevelType w:val="hybridMultilevel"/>
    <w:lvl w:ilvl="0">
      <w:lvlJc w:val="left"/>
      <w:lvlText w:val="•"/>
      <w:numFmt w:val="bullet"/>
      <w:start w:val="1"/>
    </w:lvl>
  </w:abstractNum>
  <w:abstractNum w:abstractNumId="22">
    <w:nsid w:val="1D9F6E5F"/>
    <w:multiLevelType w:val="hybridMultilevel"/>
    <w:lvl w:ilvl="0">
      <w:lvlJc w:val="left"/>
      <w:lvlText w:val="•"/>
      <w:numFmt w:val="bullet"/>
      <w:start w:val="1"/>
    </w:lvl>
  </w:abstractNum>
  <w:abstractNum w:abstractNumId="23">
    <w:nsid w:val="97E1B4E"/>
    <w:multiLevelType w:val="hybridMultilevel"/>
    <w:lvl w:ilvl="0">
      <w:lvlJc w:val="left"/>
      <w:lvlText w:val="•"/>
      <w:numFmt w:val="bullet"/>
      <w:start w:val="1"/>
    </w:lvl>
  </w:abstractNum>
  <w:abstractNum w:abstractNumId="24">
    <w:nsid w:val="51088277"/>
    <w:multiLevelType w:val="hybridMultilevel"/>
    <w:lvl w:ilvl="0">
      <w:lvlJc w:val="left"/>
      <w:lvlText w:val="•"/>
      <w:numFmt w:val="bullet"/>
      <w:start w:val="1"/>
    </w:lvl>
  </w:abstractNum>
  <w:abstractNum w:abstractNumId="25">
    <w:nsid w:val="1CA0C5FA"/>
    <w:multiLevelType w:val="hybridMultilevel"/>
    <w:lvl w:ilvl="0">
      <w:lvlJc w:val="left"/>
      <w:lvlText w:val="•"/>
      <w:numFmt w:val="bullet"/>
      <w:start w:val="1"/>
    </w:lvl>
  </w:abstractNum>
  <w:abstractNum w:abstractNumId="26">
    <w:nsid w:val="53584BCB"/>
    <w:multiLevelType w:val="hybridMultilevel"/>
    <w:lvl w:ilvl="0">
      <w:lvlJc w:val="left"/>
      <w:lvlText w:val="•"/>
      <w:numFmt w:val="bullet"/>
      <w:start w:val="1"/>
    </w:lvl>
  </w:abstractNum>
  <w:abstractNum w:abstractNumId="27">
    <w:nsid w:val="415E286C"/>
    <w:multiLevelType w:val="hybridMultilevel"/>
    <w:lvl w:ilvl="0">
      <w:lvlJc w:val="left"/>
      <w:lvlText w:val="•"/>
      <w:numFmt w:val="bullet"/>
      <w:start w:val="1"/>
    </w:lvl>
  </w:abstractNum>
  <w:abstractNum w:abstractNumId="28">
    <w:nsid w:val="7C58FD05"/>
    <w:multiLevelType w:val="hybridMultilevel"/>
    <w:lvl w:ilvl="0">
      <w:lvlJc w:val="left"/>
      <w:lvlText w:val="•"/>
      <w:numFmt w:val="bullet"/>
      <w:start w:val="1"/>
    </w:lvl>
  </w:abstractNum>
  <w:abstractNum w:abstractNumId="29">
    <w:nsid w:val="23D86AAC"/>
    <w:multiLevelType w:val="hybridMultilevel"/>
    <w:lvl w:ilvl="0">
      <w:lvlJc w:val="left"/>
      <w:lvlText w:val="•"/>
      <w:numFmt w:val="bullet"/>
      <w:start w:val="1"/>
    </w:lvl>
  </w:abstractNum>
  <w:abstractNum w:abstractNumId="30">
    <w:nsid w:val="45E6D486"/>
    <w:multiLevelType w:val="hybridMultilevel"/>
    <w:lvl w:ilvl="0">
      <w:lvlJc w:val="left"/>
      <w:lvlText w:val="•"/>
      <w:numFmt w:val="bullet"/>
      <w:start w:val="1"/>
    </w:lvl>
  </w:abstractNum>
  <w:abstractNum w:abstractNumId="31">
    <w:nsid w:val="5C10FE21"/>
    <w:multiLevelType w:val="hybridMultilevel"/>
    <w:lvl w:ilvl="0">
      <w:lvlJc w:val="left"/>
      <w:lvlText w:val="•"/>
      <w:numFmt w:val="bullet"/>
      <w:start w:val="1"/>
    </w:lvl>
  </w:abstractNum>
  <w:abstractNum w:abstractNumId="32">
    <w:nsid w:val="E7FFA2B"/>
    <w:multiLevelType w:val="hybridMultilevel"/>
    <w:lvl w:ilvl="0">
      <w:lvlJc w:val="left"/>
      <w:lvlText w:val="•"/>
      <w:numFmt w:val="bullet"/>
      <w:start w:val="1"/>
    </w:lvl>
  </w:abstractNum>
  <w:abstractNum w:abstractNumId="33">
    <w:nsid w:val="3C5991AA"/>
    <w:multiLevelType w:val="hybridMultilevel"/>
    <w:lvl w:ilvl="0">
      <w:lvlJc w:val="left"/>
      <w:lvlText w:val="•"/>
      <w:numFmt w:val="bullet"/>
      <w:start w:val="1"/>
    </w:lvl>
  </w:abstractNum>
  <w:abstractNum w:abstractNumId="34">
    <w:nsid w:val="4BD8591A"/>
    <w:multiLevelType w:val="hybridMultilevel"/>
    <w:lvl w:ilvl="0">
      <w:lvlJc w:val="left"/>
      <w:lvlText w:val="•"/>
      <w:numFmt w:val="bullet"/>
      <w:start w:val="1"/>
    </w:lvl>
  </w:abstractNum>
  <w:abstractNum w:abstractNumId="35">
    <w:nsid w:val="78DF6A55"/>
    <w:multiLevelType w:val="hybridMultilevel"/>
    <w:lvl w:ilvl="0">
      <w:lvlJc w:val="left"/>
      <w:lvlText w:val="•"/>
      <w:numFmt w:val="bullet"/>
      <w:start w:val="1"/>
    </w:lvl>
  </w:abstractNum>
  <w:abstractNum w:abstractNumId="36">
    <w:nsid w:val="39B7AAA2"/>
    <w:multiLevelType w:val="hybridMultilevel"/>
    <w:lvl w:ilvl="0">
      <w:lvlJc w:val="left"/>
      <w:lvlText w:val="•"/>
      <w:numFmt w:val="bullet"/>
      <w:start w:val="1"/>
    </w:lvl>
  </w:abstractNum>
  <w:abstractNum w:abstractNumId="37">
    <w:nsid w:val="2B0D8DBE"/>
    <w:multiLevelType w:val="hybridMultilevel"/>
    <w:lvl w:ilvl="0">
      <w:lvlJc w:val="left"/>
      <w:lvlText w:val="•"/>
      <w:numFmt w:val="bullet"/>
      <w:start w:val="1"/>
    </w:lvl>
  </w:abstractNum>
  <w:abstractNum w:abstractNumId="38">
    <w:nsid w:val="6C80EC70"/>
    <w:multiLevelType w:val="hybridMultilevel"/>
    <w:lvl w:ilvl="0">
      <w:lvlJc w:val="left"/>
      <w:lvlText w:val="•"/>
      <w:numFmt w:val="bullet"/>
      <w:start w:val="1"/>
    </w:lvl>
  </w:abstractNum>
  <w:abstractNum w:abstractNumId="39">
    <w:nsid w:val="379E21B5"/>
    <w:multiLevelType w:val="hybridMultilevel"/>
    <w:lvl w:ilvl="0">
      <w:lvlJc w:val="left"/>
      <w:lvlText w:val="•"/>
      <w:numFmt w:val="bullet"/>
      <w:start w:val="1"/>
    </w:lvl>
  </w:abstractNum>
  <w:abstractNum w:abstractNumId="40">
    <w:nsid w:val="69E373"/>
    <w:multiLevelType w:val="hybridMultilevel"/>
    <w:lvl w:ilvl="0">
      <w:lvlJc w:val="left"/>
      <w:lvlText w:val="•"/>
      <w:numFmt w:val="bullet"/>
      <w:start w:val="1"/>
    </w:lvl>
  </w:abstractNum>
  <w:abstractNum w:abstractNumId="41">
    <w:nsid w:val="2C27173B"/>
    <w:multiLevelType w:val="hybridMultilevel"/>
    <w:lvl w:ilvl="0">
      <w:lvlJc w:val="left"/>
      <w:lvlText w:val="(%1)"/>
      <w:numFmt w:val="decimal"/>
      <w:start w:val="2"/>
    </w:lvl>
  </w:abstractNum>
  <w:abstractNum w:abstractNumId="42">
    <w:nsid w:val="4C9B0904"/>
    <w:multiLevelType w:val="hybridMultilevel"/>
    <w:lvl w:ilvl="0">
      <w:lvlJc w:val="left"/>
      <w:lvlText w:val="•"/>
      <w:numFmt w:val="bullet"/>
      <w:start w:val="1"/>
    </w:lvl>
  </w:abstractNum>
  <w:abstractNum w:abstractNumId="43">
    <w:nsid w:val="6AA7B75C"/>
    <w:multiLevelType w:val="hybridMultilevel"/>
    <w:lvl w:ilvl="0">
      <w:lvlJc w:val="left"/>
      <w:lvlText w:val="•"/>
      <w:numFmt w:val="bullet"/>
      <w:start w:val="1"/>
    </w:lvl>
  </w:abstractNum>
  <w:abstractNum w:abstractNumId="44">
    <w:nsid w:val="1DF029D3"/>
    <w:multiLevelType w:val="hybridMultilevel"/>
    <w:lvl w:ilvl="0">
      <w:lvlJc w:val="left"/>
      <w:lvlText w:val="•"/>
      <w:numFmt w:val="bullet"/>
      <w:start w:val="1"/>
    </w:lvl>
  </w:abstractNum>
  <w:abstractNum w:abstractNumId="45">
    <w:nsid w:val="5675FF36"/>
    <w:multiLevelType w:val="hybridMultilevel"/>
    <w:lvl w:ilvl="0">
      <w:lvlJc w:val="left"/>
      <w:lvlText w:val="•"/>
      <w:numFmt w:val="bullet"/>
      <w:start w:val="1"/>
    </w:lvl>
  </w:abstractNum>
  <w:abstractNum w:abstractNumId="46">
    <w:nsid w:val="3DD15094"/>
    <w:multiLevelType w:val="hybridMultilevel"/>
    <w:lvl w:ilvl="0">
      <w:lvlJc w:val="left"/>
      <w:lvlText w:val="•"/>
      <w:numFmt w:val="bullet"/>
      <w:start w:val="1"/>
    </w:lvl>
  </w:abstractNum>
  <w:abstractNum w:abstractNumId="47">
    <w:nsid w:val="3DB012B3"/>
    <w:multiLevelType w:val="hybridMultilevel"/>
    <w:lvl w:ilvl="0">
      <w:lvlJc w:val="left"/>
      <w:lvlText w:val="•"/>
      <w:numFmt w:val="bullet"/>
      <w:start w:val="1"/>
    </w:lvl>
  </w:abstractNum>
  <w:abstractNum w:abstractNumId="48">
    <w:nsid w:val="2708C9AF"/>
    <w:multiLevelType w:val="hybridMultilevel"/>
    <w:lvl w:ilvl="0">
      <w:lvlJc w:val="left"/>
      <w:lvlText w:val="•"/>
      <w:numFmt w:val="bullet"/>
      <w:start w:val="1"/>
    </w:lvl>
  </w:abstractNum>
  <w:abstractNum w:abstractNumId="49">
    <w:nsid w:val="5B25ACE2"/>
    <w:multiLevelType w:val="hybridMultilevel"/>
    <w:lvl w:ilvl="0">
      <w:lvlJc w:val="left"/>
      <w:lvlText w:val="•"/>
      <w:numFmt w:val="bullet"/>
      <w:start w:val="1"/>
    </w:lvl>
  </w:abstractNum>
  <w:abstractNum w:abstractNumId="50">
    <w:nsid w:val="175DFCF0"/>
    <w:multiLevelType w:val="hybridMultilevel"/>
    <w:lvl w:ilvl="0">
      <w:lvlJc w:val="left"/>
      <w:lvlText w:val="(%1)"/>
      <w:numFmt w:val="lowerLetter"/>
      <w:start w:val="1"/>
    </w:lvl>
  </w:abstractNum>
  <w:abstractNum w:abstractNumId="51">
    <w:nsid w:val="4F97E3E4"/>
    <w:multiLevelType w:val="hybridMultilevel"/>
    <w:lvl w:ilvl="0">
      <w:lvlJc w:val="left"/>
      <w:lvlText w:val="(%1)"/>
      <w:numFmt w:val="lowerLetter"/>
      <w:start w:val="3"/>
    </w:lvl>
  </w:abstractNum>
  <w:abstractNum w:abstractNumId="52">
    <w:nsid w:val="53B0A9E"/>
    <w:multiLevelType w:val="hybridMultilevel"/>
    <w:lvl w:ilvl="0">
      <w:lvlJc w:val="left"/>
      <w:lvlText w:val="*"/>
      <w:numFmt w:val="bullet"/>
      <w:start w:val="1"/>
    </w:lvl>
    <w:lvl w:ilvl="1">
      <w:lvlJc w:val="left"/>
      <w:lvlText w:val="%2"/>
      <w:numFmt w:val="decimal"/>
      <w:start w:val="104"/>
    </w:lvl>
  </w:abstractNum>
  <w:abstractNum w:abstractNumId="53">
    <w:nsid w:val="34FD6B4F"/>
    <w:multiLevelType w:val="hybridMultilevel"/>
    <w:lvl w:ilvl="0">
      <w:lvlJc w:val="left"/>
      <w:lvlText w:val="+"/>
      <w:numFmt w:val="bullet"/>
      <w:start w:val="1"/>
    </w:lvl>
  </w:abstractNum>
  <w:abstractNum w:abstractNumId="54">
    <w:nsid w:val="5915FF32"/>
    <w:multiLevelType w:val="hybridMultilevel"/>
    <w:lvl w:ilvl="0">
      <w:lvlJc w:val="left"/>
      <w:lvlText w:val="†"/>
      <w:numFmt w:val="bullet"/>
      <w:start w:val="1"/>
    </w:lvl>
  </w:abstractNum>
  <w:abstractNum w:abstractNumId="55">
    <w:nsid w:val="56438D15"/>
    <w:multiLevelType w:val="hybridMultilevel"/>
    <w:lvl w:ilvl="0">
      <w:lvlJc w:val="left"/>
      <w:lvlText w:val="%1."/>
      <w:numFmt w:val="decimal"/>
      <w:start w:val="1"/>
    </w:lvl>
  </w:abstractNum>
  <w:abstractNum w:abstractNumId="56">
    <w:nsid w:val="519E3149"/>
    <w:multiLevelType w:val="hybridMultilevel"/>
    <w:lvl w:ilvl="0">
      <w:lvlJc w:val="left"/>
      <w:lvlText w:val="☑"/>
      <w:numFmt w:val="bullet"/>
      <w:start w:val="1"/>
    </w:lvl>
  </w:abstractNum>
  <w:abstractNum w:abstractNumId="57">
    <w:nsid w:val="2C6E4AFD"/>
    <w:multiLevelType w:val="hybridMultilevel"/>
    <w:lvl w:ilvl="0">
      <w:lvlJc w:val="left"/>
      <w:lvlText w:val="(%1)"/>
      <w:numFmt w:val="lowerLetter"/>
      <w:start w:val="1"/>
    </w:lvl>
  </w:abstractNum>
  <w:abstractNum w:abstractNumId="58">
    <w:nsid w:val="17A1B582"/>
    <w:multiLevelType w:val="hybridMultilevel"/>
    <w:lvl w:ilvl="0">
      <w:lvlJc w:val="left"/>
      <w:lvlText w:val="☑"/>
      <w:numFmt w:val="bullet"/>
      <w:start w:val="1"/>
    </w:lvl>
  </w:abstractNum>
  <w:abstractNum w:abstractNumId="59">
    <w:nsid w:val="4DF72E4E"/>
    <w:multiLevelType w:val="hybridMultilevel"/>
    <w:lvl w:ilvl="0">
      <w:lvlJc w:val="left"/>
      <w:lvlText w:val=" "/>
      <w:numFmt w:val="bullet"/>
      <w:start w:val="1"/>
    </w:lvl>
  </w:abstractNum>
  <w:abstractNum w:abstractNumId="60">
    <w:nsid w:val="5046B5A9"/>
    <w:multiLevelType w:val="hybridMultilevel"/>
    <w:lvl w:ilvl="0">
      <w:lvlJc w:val="left"/>
      <w:lvlText w:val="☑"/>
      <w:numFmt w:val="bullet"/>
      <w:start w:val="1"/>
    </w:lvl>
  </w:abstractNum>
  <w:abstractNum w:abstractNumId="61">
    <w:nsid w:val="5D888A08"/>
    <w:multiLevelType w:val="hybridMultilevel"/>
    <w:lvl w:ilvl="0">
      <w:lvlJc w:val="left"/>
      <w:lvlText w:val="%1."/>
      <w:numFmt w:val="decimal"/>
      <w:start w:val="2"/>
    </w:lvl>
  </w:abstractNum>
  <w:abstractNum w:abstractNumId="62">
    <w:nsid w:val="2A082C70"/>
    <w:multiLevelType w:val="hybridMultilevel"/>
    <w:lvl w:ilvl="0">
      <w:lvlJc w:val="left"/>
      <w:lvlText w:val="(%1)"/>
      <w:numFmt w:val="lowerRoman"/>
      <w:start w:val="2"/>
    </w:lvl>
  </w:abstractNum>
  <w:abstractNum w:abstractNumId="63">
    <w:nsid w:val="5EC6AFD4"/>
    <w:multiLevelType w:val="hybridMultilevel"/>
    <w:lvl w:ilvl="0">
      <w:lvlJc w:val="left"/>
      <w:lvlText w:val="(%1)"/>
      <w:numFmt w:val="lowerLetter"/>
      <w:start w:val="1"/>
    </w:lvl>
  </w:abstractNum>
  <w:abstractNum w:abstractNumId="64">
    <w:nsid w:val="19E21BB2"/>
    <w:multiLevelType w:val="hybridMultilevel"/>
    <w:lvl w:ilvl="0">
      <w:lvlJc w:val="left"/>
      <w:lvlText w:val="%1"/>
      <w:numFmt w:val="decimal"/>
      <w:start w:val="1"/>
    </w:lvl>
    <w:lvl w:ilvl="1">
      <w:lvlJc w:val="left"/>
      <w:lvlText w:val="(%2)"/>
      <w:numFmt w:val="lowerLetter"/>
      <w:start w:val="1"/>
    </w:lvl>
  </w:abstractNum>
  <w:abstractNum w:abstractNumId="65">
    <w:nsid w:val="75E0858A"/>
    <w:multiLevelType w:val="hybridMultilevel"/>
    <w:lvl w:ilvl="0">
      <w:lvlJc w:val="left"/>
      <w:lvlText w:val="%1."/>
      <w:numFmt w:val="decimal"/>
      <w:start w:val="3"/>
    </w:lvl>
    <w:lvl w:ilvl="1">
      <w:lvlJc w:val="left"/>
      <w:lvlText w:val="%2"/>
      <w:numFmt w:val="lowerLetter"/>
      <w:start w:val="1"/>
    </w:lvl>
  </w:abstractNum>
  <w:abstractNum w:abstractNumId="66">
    <w:nsid w:val="57A61A29"/>
    <w:multiLevelType w:val="hybridMultilevel"/>
    <w:lvl w:ilvl="0">
      <w:lvlJc w:val="left"/>
      <w:lvlText w:val="%1."/>
      <w:numFmt w:val="decimal"/>
      <w:start w:val="4"/>
    </w:lvl>
  </w:abstractNum>
  <w:abstractNum w:abstractNumId="67">
    <w:nsid w:val="5399C654"/>
    <w:multiLevelType w:val="hybridMultilevel"/>
    <w:lvl w:ilvl="0">
      <w:lvlJc w:val="left"/>
      <w:lvlText w:val="%1."/>
      <w:numFmt w:val="decimal"/>
      <w:start w:val="5"/>
    </w:lvl>
  </w:abstractNum>
  <w:abstractNum w:abstractNumId="68">
    <w:nsid w:val="20EE1348"/>
    <w:multiLevelType w:val="hybridMultilevel"/>
    <w:lvl w:ilvl="0">
      <w:lvlJc w:val="left"/>
      <w:lvlText w:val="%1."/>
      <w:numFmt w:val="decimal"/>
      <w:start w:val="7"/>
    </w:lvl>
  </w:abstractNum>
  <w:abstractNum w:abstractNumId="69">
    <w:nsid w:val="4427069A"/>
    <w:multiLevelType w:val="hybridMultilevel"/>
    <w:lvl w:ilvl="0">
      <w:lvlJc w:val="left"/>
      <w:lvlText w:val="%1."/>
      <w:numFmt w:val="decimal"/>
      <w:start w:val="8"/>
    </w:lvl>
  </w:abstractNum>
  <w:abstractNum w:abstractNumId="70">
    <w:nsid w:val="B37E80A"/>
    <w:multiLevelType w:val="hybridMultilevel"/>
    <w:lvl w:ilvl="0">
      <w:lvlJc w:val="left"/>
      <w:lvlText w:val="(%1)"/>
      <w:numFmt w:val="lowerLetter"/>
      <w:start w:val="1"/>
    </w:lvl>
  </w:abstractNum>
  <w:abstractNum w:abstractNumId="71">
    <w:nsid w:val="2157F6BC"/>
    <w:multiLevelType w:val="hybridMultilevel"/>
    <w:lvl w:ilvl="0">
      <w:lvlJc w:val="left"/>
      <w:lvlText w:val="%1"/>
      <w:numFmt w:val="decimal"/>
      <w:start w:val="1"/>
    </w:lvl>
    <w:lvl w:ilvl="1">
      <w:lvlJc w:val="left"/>
      <w:lvlText w:val="(%2)"/>
      <w:numFmt w:val="lowerLetter"/>
      <w:start w:val="5"/>
    </w:lvl>
  </w:abstractNum>
  <w:abstractNum w:abstractNumId="72">
    <w:nsid w:val="704E1DD5"/>
    <w:multiLevelType w:val="hybridMultilevel"/>
    <w:lvl w:ilvl="0">
      <w:lvlJc w:val="left"/>
      <w:lvlText w:val="%1."/>
      <w:numFmt w:val="decimal"/>
      <w:start w:val="10"/>
    </w:lvl>
    <w:lvl w:ilvl="1">
      <w:lvlJc w:val="left"/>
      <w:lvlText w:val="%2"/>
      <w:numFmt w:val="lowerLetter"/>
      <w:start w:val="1"/>
    </w:lvl>
  </w:abstractNum>
  <w:abstractNum w:abstractNumId="73">
    <w:nsid w:val="57D2F10E"/>
    <w:multiLevelType w:val="hybridMultilevel"/>
    <w:lvl w:ilvl="0">
      <w:lvlJc w:val="left"/>
      <w:lvlText w:val="☑"/>
      <w:numFmt w:val="bullet"/>
      <w:start w:val="1"/>
    </w:lvl>
    <w:lvl w:ilvl="1">
      <w:lvlJc w:val="left"/>
      <w:lvlText w:val="(%2)"/>
      <w:numFmt w:val="lowerLetter"/>
      <w:start w:val="1"/>
    </w:lvl>
  </w:abstractNum>
  <w:abstractNum w:abstractNumId="74">
    <w:nsid w:val="BFFAE18"/>
    <w:multiLevelType w:val="hybridMultilevel"/>
    <w:lvl w:ilvl="0">
      <w:lvlJc w:val="left"/>
      <w:lvlText w:val=" "/>
      <w:numFmt w:val="bullet"/>
      <w:start w:val="1"/>
    </w:lvl>
  </w:abstractNum>
  <w:abstractNum w:abstractNumId="75">
    <w:nsid w:val="E3E47A8"/>
    <w:multiLevelType w:val="hybridMultilevel"/>
    <w:lvl w:ilvl="0">
      <w:lvlJc w:val="left"/>
      <w:lvlText w:val="(%1)"/>
      <w:numFmt w:val="lowerLetter"/>
      <w:start w:val="2"/>
    </w:lvl>
  </w:abstractNum>
  <w:abstractNum w:abstractNumId="76">
    <w:nsid w:val="2E48F044"/>
    <w:multiLevelType w:val="hybridMultilevel"/>
    <w:lvl w:ilvl="0">
      <w:lvlJc w:val="left"/>
      <w:lvlText w:val="%1."/>
      <w:numFmt w:val="decimal"/>
      <w:start w:val="1"/>
    </w:lvl>
  </w:abstractNum>
  <w:abstractNum w:abstractNumId="77">
    <w:nsid w:val="49D0FEAC"/>
    <w:multiLevelType w:val="hybridMultilevel"/>
    <w:lvl w:ilvl="0">
      <w:lvlJc w:val="left"/>
      <w:lvlText w:val="%1."/>
      <w:numFmt w:val="upperLetter"/>
      <w:start w:val="1"/>
    </w:lvl>
  </w:abstractNum>
  <w:abstractNum w:abstractNumId="78">
    <w:nsid w:val="4BEE5A5B"/>
    <w:multiLevelType w:val="hybridMultilevel"/>
    <w:lvl w:ilvl="0">
      <w:lvlJc w:val="left"/>
      <w:lvlText w:val=" "/>
      <w:numFmt w:val="bullet"/>
      <w:start w:val="1"/>
    </w:lvl>
  </w:abstractNum>
  <w:abstractNum w:abstractNumId="79">
    <w:nsid w:val="5551B9F3"/>
    <w:multiLevelType w:val="hybridMultilevel"/>
    <w:lvl w:ilvl="0">
      <w:lvlJc w:val="left"/>
      <w:lvlText w:val="%1."/>
      <w:numFmt w:val="lowerLetter"/>
      <w:start w:val="1"/>
    </w:lvl>
  </w:abstractNum>
  <w:abstractNum w:abstractNumId="80">
    <w:nsid w:val="24F6AB8E"/>
    <w:multiLevelType w:val="hybridMultilevel"/>
    <w:lvl w:ilvl="0">
      <w:lvlJc w:val="left"/>
      <w:lvlText w:val="%1."/>
      <w:numFmt w:val="lowerLetter"/>
      <w:start w:val="2"/>
    </w:lvl>
  </w:abstractNum>
  <w:abstractNum w:abstractNumId="81">
    <w:nsid w:val="634C574C"/>
    <w:multiLevelType w:val="hybridMultilevel"/>
    <w:lvl w:ilvl="0">
      <w:lvlJc w:val="left"/>
      <w:lvlText w:val=" "/>
      <w:numFmt w:val="bullet"/>
      <w:start w:val="1"/>
    </w:lvl>
    <w:lvl w:ilvl="1">
      <w:lvlJc w:val="left"/>
      <w:lvlText w:val="."/>
      <w:numFmt w:val="bullet"/>
      <w:start w:val="1"/>
    </w:lvl>
    <w:lvl w:ilvl="2">
      <w:lvlJc w:val="left"/>
      <w:lvlText w:val="%3."/>
      <w:numFmt w:val="lowerLetter"/>
      <w:start w:val="3"/>
    </w:lvl>
    <w:lvl w:ilvl="3">
      <w:lvlJc w:val="left"/>
      <w:lvlText w:val="%4"/>
      <w:numFmt w:val="decimal"/>
      <w:start w:val="1"/>
    </w:lvl>
    <w:lvl w:ilvl="4">
      <w:lvlJc w:val="left"/>
      <w:lvlText w:val="%5"/>
      <w:numFmt w:val="lowerLetter"/>
      <w:start w:val="1"/>
    </w:lvl>
  </w:abstractNum>
  <w:abstractNum w:abstractNumId="82">
    <w:nsid w:val="24E99DD7"/>
    <w:multiLevelType w:val="hybridMultilevel"/>
    <w:lvl w:ilvl="0">
      <w:lvlJc w:val="left"/>
      <w:lvlText w:val=" "/>
      <w:numFmt w:val="bullet"/>
      <w:start w:val="1"/>
    </w:lvl>
    <w:lvl w:ilvl="1">
      <w:lvlJc w:val="left"/>
      <w:lvlText w:val="."/>
      <w:numFmt w:val="bullet"/>
      <w:start w:val="1"/>
    </w:lvl>
    <w:lvl w:ilvl="2">
      <w:lvlJc w:val="left"/>
      <w:lvlText w:val="%3."/>
      <w:numFmt w:val="lowerLetter"/>
      <w:start w:val="1"/>
    </w:lvl>
    <w:lvl w:ilvl="3">
      <w:lvlJc w:val="left"/>
      <w:lvlText w:val="%4)"/>
      <w:numFmt w:val="decimal"/>
      <w:start w:val="1"/>
    </w:lvl>
    <w:lvl w:ilvl="4">
      <w:lvlJc w:val="left"/>
      <w:lvlText w:val="(%5)"/>
      <w:numFmt w:val="lowerLetter"/>
      <w:start w:val="1"/>
    </w:lvl>
  </w:abstractNum>
  <w:abstractNum w:abstractNumId="83">
    <w:nsid w:val="2A31B62D"/>
    <w:multiLevelType w:val="hybridMultilevel"/>
    <w:lvl w:ilvl="0">
      <w:lvlJc w:val="left"/>
      <w:lvlText w:val="(%1)"/>
      <w:numFmt w:val="lowerRoman"/>
      <w:start w:val="1"/>
    </w:lvl>
    <w:lvl w:ilvl="1">
      <w:lvlJc w:val="left"/>
      <w:lvlText w:val="(%2)"/>
      <w:numFmt w:val="lowerRoman"/>
      <w:start w:val="3"/>
    </w:lvl>
    <w:lvl w:ilvl="2">
      <w:lvlJc w:val="left"/>
      <w:lvlText w:val="(%3)"/>
      <w:numFmt w:val="lowerRoman"/>
      <w:start w:val="2"/>
    </w:lvl>
  </w:abstractNum>
  <w:abstractNum w:abstractNumId="84">
    <w:nsid w:val="1849C29B"/>
    <w:multiLevelType w:val="hybridMultilevel"/>
    <w:lvl w:ilvl="0">
      <w:lvlJc w:val="left"/>
      <w:lvlText w:val="%1)"/>
      <w:numFmt w:val="decimal"/>
      <w:start w:val="2"/>
    </w:lvl>
  </w:abstractNum>
  <w:abstractNum w:abstractNumId="85">
    <w:nsid w:val="7DFF9D09"/>
    <w:multiLevelType w:val="hybridMultilevel"/>
    <w:lvl w:ilvl="0">
      <w:lvlJc w:val="left"/>
      <w:lvlText w:val="☑"/>
      <w:numFmt w:val="bullet"/>
      <w:start w:val="1"/>
    </w:lvl>
    <w:lvl w:ilvl="1">
      <w:lvlJc w:val="left"/>
      <w:lvlText w:val="%2."/>
      <w:numFmt w:val="lowerLetter"/>
      <w:start w:val="2"/>
    </w:lvl>
    <w:lvl w:ilvl="2">
      <w:lvlJc w:val="left"/>
      <w:lvlText w:val="%3)"/>
      <w:numFmt w:val="decimal"/>
      <w:start w:val="1"/>
    </w:lvl>
  </w:abstractNum>
  <w:abstractNum w:abstractNumId="86">
    <w:nsid w:val="754342"/>
    <w:multiLevelType w:val="hybridMultilevel"/>
    <w:lvl w:ilvl="0">
      <w:lvlJc w:val="left"/>
      <w:lvlText w:val="%1."/>
      <w:numFmt w:val="decimal"/>
      <w:start w:val="1"/>
    </w:lvl>
  </w:abstractNum>
  <w:abstractNum w:abstractNumId="87">
    <w:nsid w:val="69E7F3E5"/>
    <w:multiLevelType w:val="hybridMultilevel"/>
    <w:lvl w:ilvl="0">
      <w:lvlJc w:val="left"/>
      <w:lvlText w:val="%1."/>
      <w:numFmt w:val="decimal"/>
      <w:start w:val="1"/>
    </w:lvl>
  </w:abstractNum>
  <w:abstractNum w:abstractNumId="88">
    <w:nsid w:val="2A6DE806"/>
    <w:multiLevelType w:val="hybridMultilevel"/>
    <w:lvl w:ilvl="0">
      <w:lvlJc w:val="left"/>
      <w:lvlText w:val="☒"/>
      <w:numFmt w:val="bullet"/>
      <w:start w:val="1"/>
    </w:lvl>
    <w:lvl w:ilvl="1">
      <w:lvlJc w:val="left"/>
      <w:lvlText w:val="(%2)"/>
      <w:numFmt w:val="lowerLetter"/>
      <w:start w:val="1"/>
    </w:lvl>
  </w:abstractNum>
  <w:abstractNum w:abstractNumId="89">
    <w:nsid w:val="1816F8C4"/>
    <w:multiLevelType w:val="hybridMultilevel"/>
    <w:lvl w:ilvl="0">
      <w:lvlJc w:val="left"/>
      <w:lvlText w:val="☒"/>
      <w:numFmt w:val="bullet"/>
      <w:start w:val="1"/>
    </w:lvl>
    <w:lvl w:ilvl="1">
      <w:lvlJc w:val="left"/>
      <w:lvlText w:val="(%2)"/>
      <w:numFmt w:val="lowerLetter"/>
      <w:start w:val="1"/>
    </w:lvl>
  </w:abstractNum>
  <w:abstractNum w:abstractNumId="90">
    <w:nsid w:val="37DF2233"/>
    <w:multiLevelType w:val="hybridMultilevel"/>
    <w:lvl w:ilvl="0">
      <w:lvlJc w:val="left"/>
      <w:lvlText w:val="☒"/>
      <w:numFmt w:val="bullet"/>
      <w:start w:val="1"/>
    </w:lvl>
  </w:abstractNum>
  <w:abstractNum w:abstractNumId="91">
    <w:nsid w:val="7AB49DAF"/>
    <w:multiLevelType w:val="hybridMultilevel"/>
    <w:lvl w:ilvl="0">
      <w:lvlJc w:val="left"/>
      <w:lvlText w:val="☐"/>
      <w:numFmt w:val="bullet"/>
      <w:start w:val="1"/>
    </w:lvl>
  </w:abstractNum>
  <w:abstractNum w:abstractNumId="92">
    <w:nsid w:val="759F82CD"/>
    <w:multiLevelType w:val="hybridMultilevel"/>
    <w:lvl w:ilvl="0">
      <w:lvlJc w:val="left"/>
      <w:lvlText w:val="☐"/>
      <w:numFmt w:val="bullet"/>
      <w:start w:val="1"/>
    </w:lvl>
  </w:abstractNum>
  <w:abstractNum w:abstractNumId="93">
    <w:nsid w:val="61E74EA3"/>
    <w:multiLevelType w:val="hybridMultilevel"/>
    <w:lvl w:ilvl="0">
      <w:lvlJc w:val="left"/>
      <w:lvlText w:val="%1."/>
      <w:numFmt w:val="decimal"/>
      <w:start w:val="1"/>
    </w:lvl>
    <w:lvl w:ilvl="1">
      <w:lvlJc w:val="left"/>
      <w:lvlText w:val="☒"/>
      <w:numFmt w:val="bullet"/>
      <w:start w:val="1"/>
    </w:lvl>
  </w:abstractNum>
  <w:abstractNum w:abstractNumId="94">
    <w:nsid w:val="597B4D84"/>
    <w:multiLevelType w:val="hybridMultilevel"/>
    <w:lvl w:ilvl="0">
      <w:lvlJc w:val="left"/>
      <w:lvlText w:val="(%1)"/>
      <w:numFmt w:val="lowerLetter"/>
      <w:start w:val="1"/>
    </w:lvl>
  </w:abstractNum>
  <w:abstractNum w:abstractNumId="95">
    <w:nsid w:val="F819E7F"/>
    <w:multiLevelType w:val="hybridMultilevel"/>
    <w:lvl w:ilvl="0">
      <w:lvlJc w:val="left"/>
      <w:lvlText w:val="(%1)"/>
      <w:numFmt w:val="lowerLetter"/>
      <w:start w:val="2"/>
    </w:lvl>
  </w:abstractNum>
  <w:abstractNum w:abstractNumId="96">
    <w:nsid w:val="57C7D42D"/>
    <w:multiLevelType w:val="hybridMultilevel"/>
    <w:lvl w:ilvl="0">
      <w:lvlJc w:val="left"/>
      <w:lvlText w:val="%1."/>
      <w:numFmt w:val="decimal"/>
      <w:start w:val="3"/>
    </w:lvl>
  </w:abstractNum>
  <w:abstractNum w:abstractNumId="97">
    <w:nsid w:val="312167AD"/>
    <w:multiLevelType w:val="hybridMultilevel"/>
    <w:lvl w:ilvl="0">
      <w:lvlJc w:val="left"/>
      <w:lvlText w:val="%1."/>
      <w:numFmt w:val="decimal"/>
      <w:start w:val="4"/>
    </w:lvl>
  </w:abstractNum>
  <w:abstractNum w:abstractNumId="98">
    <w:nsid w:val="631B64D4"/>
    <w:multiLevelType w:val="hybridMultilevel"/>
    <w:lvl w:ilvl="0">
      <w:lvlJc w:val="left"/>
      <w:lvlText w:val="%1."/>
      <w:numFmt w:val="decimal"/>
      <w:start w:val="5"/>
    </w:lvl>
  </w:abstractNum>
  <w:abstractNum w:abstractNumId="99">
    <w:nsid w:val="78B5E776"/>
    <w:multiLevelType w:val="hybridMultilevel"/>
    <w:lvl w:ilvl="0">
      <w:lvlJc w:val="left"/>
      <w:lvlText w:val="(%1)"/>
      <w:numFmt w:val="lowerLetter"/>
      <w:start w:val="1"/>
    </w:lvl>
  </w:abstractNum>
  <w:abstractNum w:abstractNumId="100">
    <w:nsid w:val="75486E47"/>
    <w:multiLevelType w:val="hybridMultilevel"/>
    <w:lvl w:ilvl="0">
      <w:lvlJc w:val="left"/>
      <w:lvlText w:val="(%1)"/>
      <w:numFmt w:val="lowerLetter"/>
      <w:start w:val="2"/>
    </w:lvl>
  </w:abstractNum>
  <w:abstractNum w:abstractNumId="101">
    <w:nsid w:val="6E534CDE"/>
    <w:multiLevelType w:val="hybridMultilevel"/>
    <w:lvl w:ilvl="0">
      <w:lvlJc w:val="left"/>
      <w:lvlText w:val="%1."/>
      <w:numFmt w:val="decimal"/>
      <w:start w:val="7"/>
    </w:lvl>
    <w:lvl w:ilvl="1">
      <w:lvlJc w:val="left"/>
      <w:lvlText w:val="(%2)"/>
      <w:numFmt w:val="lowerLetter"/>
      <w:start w:val="1"/>
    </w:lvl>
  </w:abstractNum>
  <w:abstractNum w:abstractNumId="102">
    <w:nsid w:val="1A0DDE32"/>
    <w:multiLevelType w:val="hybridMultilevel"/>
    <w:lvl w:ilvl="0">
      <w:lvlJc w:val="left"/>
      <w:lvlText w:val="(%1)"/>
      <w:numFmt w:val="lowerLetter"/>
      <w:start w:val="2"/>
    </w:lvl>
  </w:abstractNum>
  <w:abstractNum w:abstractNumId="103">
    <w:nsid w:val="65968C1C"/>
    <w:multiLevelType w:val="hybridMultilevel"/>
    <w:lvl w:ilvl="0">
      <w:lvlJc w:val="left"/>
      <w:lvlText w:val="(%1)"/>
      <w:numFmt w:val="lowerLetter"/>
      <w:start w:val="1"/>
    </w:lvl>
  </w:abstractNum>
  <w:abstractNum w:abstractNumId="104">
    <w:nsid w:val="46263DEC"/>
    <w:multiLevelType w:val="hybridMultilevel"/>
    <w:lvl w:ilvl="0">
      <w:lvlJc w:val="left"/>
      <w:lvlText w:val="(%1)"/>
      <w:numFmt w:val="lowerLetter"/>
      <w:start w:val="3"/>
    </w:lvl>
  </w:abstractNum>
  <w:abstractNum w:abstractNumId="105">
    <w:nsid w:val="260D8C4A"/>
    <w:multiLevelType w:val="hybridMultilevel"/>
    <w:lvl w:ilvl="0">
      <w:lvlJc w:val="left"/>
      <w:lvlText w:val="(%1)"/>
      <w:numFmt w:val="lowerLetter"/>
      <w:start w:val="1"/>
    </w:lvl>
  </w:abstractNum>
  <w:abstractNum w:abstractNumId="106">
    <w:nsid w:val="73D4D3C4"/>
    <w:multiLevelType w:val="hybridMultilevel"/>
    <w:lvl w:ilvl="0">
      <w:lvlJc w:val="left"/>
      <w:lvlText w:val="%1."/>
      <w:numFmt w:val="decimal"/>
      <w:start w:val="8"/>
    </w:lvl>
  </w:abstractNum>
  <w:abstractNum w:abstractNumId="107">
    <w:nsid w:val="746F2E30"/>
    <w:multiLevelType w:val="hybridMultilevel"/>
    <w:lvl w:ilvl="0">
      <w:lvlJc w:val="left"/>
      <w:lvlText w:val="(%1)"/>
      <w:numFmt w:val="lowerLetter"/>
      <w:start w:val="1"/>
    </w:lvl>
  </w:abstractNum>
  <w:abstractNum w:abstractNumId="108">
    <w:nsid w:val="6FDE8AF6"/>
    <w:multiLevelType w:val="hybridMultilevel"/>
    <w:lvl w:ilvl="0">
      <w:lvlJc w:val="left"/>
      <w:lvlText w:val="(%1)"/>
      <w:numFmt w:val="lowerLetter"/>
      <w:start w:val="1"/>
    </w:lvl>
  </w:abstractNum>
  <w:abstractNum w:abstractNumId="109">
    <w:nsid w:val="3FC32E20"/>
    <w:multiLevelType w:val="hybridMultilevel"/>
    <w:lvl w:ilvl="0">
      <w:lvlJc w:val="left"/>
      <w:lvlText w:val="(%1)"/>
      <w:numFmt w:val="lowerLetter"/>
      <w:start w:val="1"/>
    </w:lvl>
  </w:abstractNum>
  <w:abstractNum w:abstractNumId="110">
    <w:nsid w:val="49C0E823"/>
    <w:multiLevelType w:val="hybridMultilevel"/>
    <w:lvl w:ilvl="0">
      <w:lvlJc w:val="left"/>
      <w:lvlText w:val="(%1)"/>
      <w:numFmt w:val="lowerLetter"/>
      <w:start w:val="2"/>
    </w:lvl>
  </w:abstractNum>
  <w:abstractNum w:abstractNumId="111">
    <w:nsid w:val="14D53685"/>
    <w:multiLevelType w:val="hybridMultilevel"/>
    <w:lvl w:ilvl="0">
      <w:lvlJc w:val="left"/>
      <w:lvlText w:val="%1."/>
      <w:numFmt w:val="decimal"/>
      <w:start w:val="9"/>
    </w:lvl>
    <w:lvl w:ilvl="1">
      <w:lvlJc w:val="left"/>
      <w:lvlText w:val="(%2)"/>
      <w:numFmt w:val="lowerLetter"/>
      <w:start w:val="1"/>
    </w:lvl>
  </w:abstractNum>
  <w:abstractNum w:abstractNumId="112">
    <w:nsid w:val="230F856C"/>
    <w:multiLevelType w:val="hybridMultilevel"/>
    <w:lvl w:ilvl="0">
      <w:lvlJc w:val="left"/>
      <w:lvlText w:val="(%1)"/>
      <w:numFmt w:val="lowerLetter"/>
      <w:start w:val="1"/>
    </w:lvl>
  </w:abstractNum>
  <w:abstractNum w:abstractNumId="113">
    <w:nsid w:val="6EAA85FB"/>
    <w:multiLevelType w:val="hybridMultilevel"/>
    <w:lvl w:ilvl="0">
      <w:lvlJc w:val="left"/>
      <w:lvlText w:val="(%1)"/>
      <w:numFmt w:val="lowerLetter"/>
      <w:start w:val="2"/>
    </w:lvl>
  </w:abstractNum>
  <w:abstractNum w:abstractNumId="114">
    <w:nsid w:val="3F06ECB2"/>
    <w:multiLevelType w:val="hybridMultilevel"/>
    <w:lvl w:ilvl="0">
      <w:lvlJc w:val="left"/>
      <w:lvlText w:val="%1."/>
      <w:numFmt w:val="decimal"/>
      <w:start w:val="10"/>
    </w:lvl>
  </w:abstractNum>
  <w:abstractNum w:abstractNumId="115">
    <w:nsid w:val="3B594807"/>
    <w:multiLevelType w:val="hybridMultilevel"/>
    <w:lvl w:ilvl="0">
      <w:lvlJc w:val="left"/>
      <w:lvlText w:val="%1."/>
      <w:numFmt w:val="decimal"/>
      <w:start w:val="11"/>
    </w:lvl>
  </w:abstractNum>
  <w:abstractNum w:abstractNumId="116">
    <w:nsid w:val="6CAA2304"/>
    <w:multiLevelType w:val="hybridMultilevel"/>
    <w:lvl w:ilvl="0">
      <w:lvlJc w:val="left"/>
      <w:lvlText w:val="%1."/>
      <w:numFmt w:val="decimal"/>
      <w:start w:val="12"/>
    </w:lvl>
  </w:abstractNum>
  <w:abstractNum w:abstractNumId="117">
    <w:nsid w:val="3F7C2FF4"/>
    <w:multiLevelType w:val="hybridMultilevel"/>
    <w:lvl w:ilvl="0">
      <w:lvlJc w:val="left"/>
      <w:lvlText w:val="(%1)"/>
      <w:numFmt w:val="lowerLetter"/>
      <w:start w:val="1"/>
    </w:lvl>
  </w:abstractNum>
  <w:abstractNum w:abstractNumId="118">
    <w:nsid w:val="25413BEC"/>
    <w:multiLevelType w:val="hybridMultilevel"/>
    <w:lvl w:ilvl="0">
      <w:lvlJc w:val="left"/>
      <w:lvlText w:val="(%1)"/>
      <w:numFmt w:val="lowerLetter"/>
      <w:start w:val="4"/>
    </w:lvl>
  </w:abstractNum>
  <w:abstractNum w:abstractNumId="119">
    <w:nsid w:val="17180B0B"/>
    <w:multiLevelType w:val="hybridMultilevel"/>
    <w:lvl w:ilvl="0">
      <w:lvlJc w:val="left"/>
      <w:lvlText w:val="(%1)"/>
      <w:numFmt w:val="lowerLetter"/>
      <w:start w:val="1"/>
    </w:lvl>
  </w:abstractNum>
  <w:abstractNum w:abstractNumId="120">
    <w:nsid w:val="579328B9"/>
    <w:multiLevelType w:val="hybridMultilevel"/>
    <w:lvl w:ilvl="0">
      <w:lvlJc w:val="left"/>
      <w:lvlText w:val="(%1)"/>
      <w:numFmt w:val="lowerLetter"/>
      <w:start w:val="5"/>
    </w:lvl>
  </w:abstractNum>
  <w:abstractNum w:abstractNumId="121">
    <w:nsid w:val="5D205E20"/>
    <w:multiLevelType w:val="hybridMultilevel"/>
    <w:lvl w:ilvl="0">
      <w:lvlJc w:val="left"/>
      <w:lvlText w:val="(%1)"/>
      <w:numFmt w:val="lowerLetter"/>
      <w:start w:val="1"/>
    </w:lvl>
  </w:abstractNum>
  <w:abstractNum w:abstractNumId="122">
    <w:nsid w:val="11CCA8BA"/>
    <w:multiLevelType w:val="hybridMultilevel"/>
    <w:lvl w:ilvl="0">
      <w:lvlJc w:val="left"/>
      <w:lvlText w:val="%1."/>
      <w:numFmt w:val="decimal"/>
      <w:start w:val="13"/>
    </w:lvl>
  </w:abstractNum>
  <w:abstractNum w:abstractNumId="123">
    <w:nsid w:val="4D32AB86"/>
    <w:multiLevelType w:val="hybridMultilevel"/>
    <w:lvl w:ilvl="0">
      <w:lvlJc w:val="left"/>
      <w:lvlText w:val="%1"/>
      <w:numFmt w:val="lowerRoman"/>
      <w:start w:val="1"/>
    </w:lvl>
    <w:lvl w:ilvl="1">
      <w:lvlJc w:val="left"/>
      <w:lvlText w:val="(%2)"/>
      <w:numFmt w:val="lowerLetter"/>
      <w:start w:val="1"/>
    </w:lvl>
  </w:abstractNum>
  <w:abstractNum w:abstractNumId="124">
    <w:nsid w:val="3F07ACC3"/>
    <w:multiLevelType w:val="hybridMultilevel"/>
    <w:lvl w:ilvl="0">
      <w:lvlJc w:val="left"/>
      <w:lvlText w:val="(%1)"/>
      <w:numFmt w:val="lowerRoman"/>
      <w:start w:val="4"/>
    </w:lvl>
    <w:lvl w:ilvl="1">
      <w:lvlJc w:val="left"/>
      <w:lvlText w:val="(%2)"/>
      <w:numFmt w:val="lowerLetter"/>
      <w:start w:val="7"/>
    </w:lvl>
  </w:abstractNum>
  <w:abstractNum w:abstractNumId="125">
    <w:nsid w:val="6B47F63E"/>
    <w:multiLevelType w:val="hybridMultilevel"/>
    <w:lvl w:ilvl="0">
      <w:lvlJc w:val="left"/>
      <w:lvlText w:val="(%1)"/>
      <w:numFmt w:val="lowerLetter"/>
      <w:start w:val="1"/>
    </w:lvl>
  </w:abstractNum>
  <w:abstractNum w:abstractNumId="126">
    <w:nsid w:val="5CB44A05"/>
    <w:multiLevelType w:val="hybridMultilevel"/>
    <w:lvl w:ilvl="0">
      <w:lvlJc w:val="left"/>
      <w:lvlText w:val="%1"/>
      <w:numFmt w:val="decimal"/>
      <w:start w:val="1"/>
    </w:lvl>
    <w:lvl w:ilvl="1">
      <w:lvlJc w:val="left"/>
      <w:lvlText w:val="(%2)"/>
      <w:numFmt w:val="lowerLetter"/>
      <w:start w:val="1"/>
    </w:lvl>
  </w:abstractNum>
  <w:abstractNum w:abstractNumId="127">
    <w:nsid w:val="16CF80F1"/>
    <w:multiLevelType w:val="hybridMultilevel"/>
    <w:lvl w:ilvl="0">
      <w:lvlJc w:val="left"/>
      <w:lvlText w:val="%1"/>
      <w:numFmt w:val="decimal"/>
      <w:start w:val="30"/>
    </w:lvl>
    <w:lvl w:ilvl="1">
      <w:lvlJc w:val="left"/>
      <w:lvlText w:val="(%2)"/>
      <w:numFmt w:val="lowerLetter"/>
      <w:start w:val="2"/>
    </w:lvl>
  </w:abstractNum>
  <w:abstractNum w:abstractNumId="128">
    <w:nsid w:val="1C695DEC"/>
    <w:multiLevelType w:val="hybridMultilevel"/>
    <w:lvl w:ilvl="0">
      <w:lvlJc w:val="left"/>
      <w:lvlText w:val="%1."/>
      <w:numFmt w:val="decimal"/>
      <w:start w:val="14"/>
    </w:lvl>
    <w:lvl w:ilvl="1">
      <w:lvlJc w:val="left"/>
      <w:lvlText w:val="%2"/>
      <w:numFmt w:val="lowerLetter"/>
      <w:start w:val="1"/>
    </w:lvl>
  </w:abstractNum>
  <w:abstractNum w:abstractNumId="129">
    <w:nsid w:val="3FCFAED9"/>
    <w:multiLevelType w:val="hybridMultilevel"/>
    <w:lvl w:ilvl="0">
      <w:lvlJc w:val="left"/>
      <w:lvlText w:val="%1."/>
      <w:numFmt w:val="decimal"/>
      <w:start w:val="16"/>
    </w:lvl>
    <w:lvl w:ilvl="1">
      <w:lvlJc w:val="left"/>
      <w:lvlText w:val="(%2)"/>
      <w:numFmt w:val="lowerLetter"/>
      <w:start w:val="1"/>
    </w:lvl>
  </w:abstractNum>
  <w:abstractNum w:abstractNumId="130">
    <w:nsid w:val="F856867"/>
    <w:multiLevelType w:val="hybridMultilevel"/>
    <w:lvl w:ilvl="0">
      <w:lvlJc w:val="left"/>
      <w:lvlText w:val="%1."/>
      <w:numFmt w:val="decimal"/>
      <w:start w:val="19"/>
    </w:lvl>
  </w:abstractNum>
  <w:abstractNum w:abstractNumId="131">
    <w:nsid w:val="11B1CC33"/>
    <w:multiLevelType w:val="hybridMultilevel"/>
    <w:lvl w:ilvl="0">
      <w:lvlJc w:val="left"/>
      <w:lvlText w:val="%1."/>
      <w:numFmt w:val="decimal"/>
      <w:start w:val="24"/>
    </w:lvl>
    <w:lvl w:ilvl="1">
      <w:lvlJc w:val="left"/>
      <w:lvlText w:val="(%2)"/>
      <w:numFmt w:val="lowerLetter"/>
      <w:start w:val="1"/>
    </w:lvl>
    <w:lvl w:ilvl="2">
      <w:lvlJc w:val="left"/>
      <w:lvlText w:val="(%3)"/>
      <w:numFmt w:val="lowerRoman"/>
      <w:start w:val="1"/>
    </w:lvl>
  </w:abstractNum>
  <w:abstractNum w:abstractNumId="132">
    <w:nsid w:val="2E22FBB7"/>
    <w:multiLevelType w:val="hybridMultilevel"/>
    <w:lvl w:ilvl="0">
      <w:lvlJc w:val="left"/>
      <w:lvlText w:val="%1"/>
      <w:numFmt w:val="decimal"/>
      <w:start w:val="1"/>
    </w:lvl>
    <w:lvl w:ilvl="1">
      <w:lvlJc w:val="left"/>
      <w:lvlText w:val="(%2)"/>
      <w:numFmt w:val="lowerLetter"/>
      <w:start w:val="2"/>
    </w:lvl>
  </w:abstractNum>
  <w:abstractNum w:abstractNumId="133">
    <w:nsid w:val="29934699"/>
    <w:multiLevelType w:val="hybridMultilevel"/>
    <w:lvl w:ilvl="0">
      <w:lvlJc w:val="left"/>
      <w:lvlText w:val="%1."/>
      <w:numFmt w:val="decimal"/>
      <w:start w:val="26"/>
    </w:lvl>
    <w:lvl w:ilvl="1">
      <w:lvlJc w:val="left"/>
      <w:lvlText w:val="%2"/>
      <w:numFmt w:val="lowerLetter"/>
      <w:start w:val="1"/>
    </w:lvl>
  </w:abstractNum>
  <w:abstractNum w:abstractNumId="134">
    <w:nsid w:val="77485850"/>
    <w:multiLevelType w:val="hybridMultilevel"/>
    <w:lvl w:ilvl="0">
      <w:lvlJc w:val="left"/>
      <w:lvlText w:val="%1."/>
      <w:numFmt w:val="decimal"/>
      <w:start w:val="31"/>
    </w:lvl>
  </w:abstractNum>
  <w:abstractNum w:abstractNumId="135">
    <w:nsid w:val="744939A3"/>
    <w:multiLevelType w:val="hybridMultilevel"/>
    <w:lvl w:ilvl="0">
      <w:lvlJc w:val="left"/>
      <w:lvlText w:val="%1."/>
      <w:numFmt w:val="decimal"/>
      <w:start w:val="36"/>
    </w:lvl>
  </w:abstractNum>
  <w:abstractNum w:abstractNumId="136">
    <w:nsid w:val="4FA0D2E3"/>
    <w:multiLevelType w:val="hybridMultilevel"/>
    <w:lvl w:ilvl="0">
      <w:lvlJc w:val="left"/>
      <w:lvlText w:val="%1."/>
      <w:numFmt w:val="decimal"/>
      <w:start w:val="38"/>
    </w:lvl>
  </w:abstractNum>
  <w:abstractNum w:abstractNumId="137">
    <w:nsid w:val="6B1D2C14"/>
    <w:multiLevelType w:val="hybridMultilevel"/>
    <w:lvl w:ilvl="0">
      <w:lvlJc w:val="left"/>
      <w:lvlText w:val="%1"/>
      <w:numFmt w:val="decimal"/>
      <w:start w:val="1"/>
    </w:lvl>
    <w:lvl w:ilvl="1">
      <w:lvlJc w:val="left"/>
      <w:lvlText w:val="(%2)"/>
      <w:numFmt w:val="lowerLetter"/>
      <w:start w:val="1"/>
    </w:lvl>
  </w:abstractNum>
  <w:abstractNum w:abstractNumId="138">
    <w:nsid w:val="68B867D3"/>
    <w:multiLevelType w:val="hybridMultilevel"/>
    <w:lvl w:ilvl="0">
      <w:lvlJc w:val="left"/>
      <w:lvlText w:val="%1."/>
      <w:numFmt w:val="decimal"/>
      <w:start w:val="40"/>
    </w:lvl>
    <w:lvl w:ilvl="1">
      <w:lvlJc w:val="left"/>
      <w:lvlText w:val="(%2)"/>
      <w:numFmt w:val="lowerLetter"/>
      <w:start w:val="1"/>
    </w:lvl>
  </w:abstractNum>
  <w:abstractNum w:abstractNumId="139">
    <w:nsid w:val="3F7F5DD9"/>
    <w:multiLevelType w:val="hybridMultilevel"/>
    <w:lvl w:ilvl="0">
      <w:lvlJc w:val="left"/>
      <w:lvlText w:val="%1."/>
      <w:numFmt w:val="decimal"/>
      <w:start w:val="45"/>
    </w:lvl>
  </w:abstractNum>
  <w:abstractNum w:abstractNumId="140">
    <w:nsid w:val="2AE05A34"/>
    <w:multiLevelType w:val="hybridMultilevel"/>
    <w:lvl w:ilvl="0">
      <w:lvlJc w:val="left"/>
      <w:lvlText w:val="☒"/>
      <w:numFmt w:val="bullet"/>
      <w:start w:val="1"/>
    </w:lvl>
    <w:lvl w:ilvl="1">
      <w:lvlJc w:val="left"/>
      <w:lvlText w:val="(%2)"/>
      <w:numFmt w:val="lowerLetter"/>
      <w:start w:val="1"/>
    </w:lvl>
  </w:abstractNum>
  <w:abstractNum w:abstractNumId="141">
    <w:nsid w:val="32794FF7"/>
    <w:multiLevelType w:val="hybridMultilevel"/>
    <w:lvl w:ilvl="0">
      <w:lvlJc w:val="left"/>
      <w:lvlText w:val="☐"/>
      <w:numFmt w:val="bullet"/>
      <w:start w:val="1"/>
    </w:lvl>
  </w:abstractNum>
  <w:abstractNum w:abstractNumId="142">
    <w:nsid w:val="5454945E"/>
    <w:multiLevelType w:val="hybridMultilevel"/>
    <w:lvl w:ilvl="0">
      <w:lvlJc w:val="left"/>
      <w:lvlText w:val="(%1)"/>
      <w:numFmt w:val="lowerLetter"/>
      <w:start w:val="2"/>
    </w:lvl>
  </w:abstractNum>
  <w:abstractNum w:abstractNumId="143">
    <w:nsid w:val="4DEFDFA0"/>
    <w:multiLevelType w:val="hybridMultilevel"/>
    <w:lvl w:ilvl="0">
      <w:lvlJc w:val="left"/>
      <w:lvlText w:val="%1."/>
      <w:numFmt w:val="decimal"/>
      <w:start w:val="1"/>
    </w:lvl>
  </w:abstractNum>
  <w:abstractNum w:abstractNumId="144">
    <w:nsid w:val="2123D5F2"/>
    <w:multiLevelType w:val="hybridMultilevel"/>
    <w:lvl w:ilvl="0">
      <w:lvlJc w:val="left"/>
      <w:lvlText w:val="%1."/>
      <w:numFmt w:val="decimal"/>
      <w:start w:val="52"/>
    </w:lvl>
  </w:abstractNum>
  <w:abstractNum w:abstractNumId="145">
    <w:nsid w:val="135B8110"/>
    <w:multiLevelType w:val="hybridMultilevel"/>
    <w:lvl w:ilvl="0">
      <w:lvlJc w:val="left"/>
      <w:lvlText w:val="(%1)"/>
      <w:numFmt w:val="lowerRoman"/>
      <w:start w:val="1"/>
    </w:lvl>
  </w:abstractNum>
  <w:abstractNum w:abstractNumId="146">
    <w:nsid w:val="94927A8"/>
    <w:multiLevelType w:val="hybridMultilevel"/>
    <w:lvl w:ilvl="0">
      <w:lvlJc w:val="left"/>
      <w:lvlText w:val="☐"/>
      <w:numFmt w:val="bullet"/>
      <w:start w:val="1"/>
    </w:lvl>
  </w:abstractNum>
  <w:abstractNum w:abstractNumId="147">
    <w:nsid w:val="DCDF8F6"/>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lvl w:ilvl="3">
      <w:lvlJc w:val="left"/>
      <w:lvlText w:val="(%4)"/>
      <w:numFmt w:val="lowerLetter"/>
      <w:start w:val="1"/>
    </w:lvl>
    <w:lvl w:ilvl="4">
      <w:lvlJc w:val="left"/>
      <w:lvlText w:val="(%5)"/>
      <w:numFmt w:val="lowerRoman"/>
      <w:start w:val="1"/>
    </w:lvl>
  </w:abstractNum>
  <w:abstractNum w:abstractNumId="148">
    <w:nsid w:val="52D7B105"/>
    <w:multiLevelType w:val="hybridMultilevel"/>
    <w:lvl w:ilvl="0">
      <w:lvlJc w:val="left"/>
      <w:lvlText w:val="☐"/>
      <w:numFmt w:val="bullet"/>
      <w:start w:val="1"/>
    </w:lvl>
  </w:abstractNum>
  <w:abstractNum w:abstractNumId="149">
    <w:nsid w:val="2E8A6394"/>
    <w:multiLevelType w:val="hybridMultilevel"/>
    <w:lvl w:ilvl="0">
      <w:lvlJc w:val="left"/>
      <w:lvlText w:val="☐"/>
      <w:numFmt w:val="bullet"/>
      <w:start w:val="1"/>
    </w:lvl>
  </w:abstractNum>
  <w:abstractNum w:abstractNumId="150">
    <w:nsid w:val="24E60401"/>
    <w:multiLevelType w:val="hybridMultilevel"/>
    <w:lvl w:ilvl="0">
      <w:lvlJc w:val="left"/>
      <w:lvlText w:val="%1."/>
      <w:numFmt w:val="upperLetter"/>
      <w:start w:val="2"/>
    </w:lvl>
  </w:abstractNum>
  <w:abstractNum w:abstractNumId="151">
    <w:nsid w:val="2A6AD9BE"/>
    <w:multiLevelType w:val="hybridMultilevel"/>
    <w:lvl w:ilvl="0">
      <w:lvlJc w:val="left"/>
      <w:lvlText w:val="%1."/>
      <w:numFmt w:val="upperLetter"/>
      <w:start w:val="3"/>
    </w:lvl>
  </w:abstractNum>
  <w:abstractNum w:abstractNumId="152">
    <w:nsid w:val="BAAC1B4"/>
    <w:multiLevelType w:val="hybridMultilevel"/>
    <w:lvl w:ilvl="0">
      <w:lvlJc w:val="left"/>
      <w:lvlText w:val="%1."/>
      <w:numFmt w:val="upperLetter"/>
      <w:start w:val="1"/>
    </w:lvl>
  </w:abstractNum>
  <w:abstractNum w:abstractNumId="153">
    <w:nsid w:val="36B2ACBC"/>
    <w:multiLevelType w:val="hybridMultilevel"/>
    <w:lvl w:ilvl="0">
      <w:lvlJc w:val="left"/>
      <w:lvlText w:val="%1."/>
      <w:numFmt w:val="upperLetter"/>
      <w:start w:val="2"/>
    </w:lvl>
  </w:abstractNum>
  <w:abstractNum w:abstractNumId="154">
    <w:nsid w:val="779D8544"/>
    <w:multiLevelType w:val="hybridMultilevel"/>
    <w:lvl w:ilvl="0">
      <w:lvlJc w:val="left"/>
      <w:lvlText w:val="(%1)"/>
      <w:numFmt w:val="lowerLetter"/>
      <w:start w:val="1"/>
    </w:lvl>
  </w:abstractNum>
  <w:abstractNum w:abstractNumId="155">
    <w:nsid w:val="4AB26E78"/>
    <w:multiLevelType w:val="hybridMultilevel"/>
    <w:lvl w:ilvl="0">
      <w:lvlJc w:val="left"/>
      <w:lvlText w:val="%1."/>
      <w:numFmt w:val="upperLetter"/>
      <w:start w:val="3"/>
    </w:lvl>
  </w:abstractNum>
  <w:abstractNum w:abstractNumId="156">
    <w:nsid w:val="21FAA2FA"/>
    <w:multiLevelType w:val="hybridMultilevel"/>
    <w:lvl w:ilvl="0">
      <w:lvlJc w:val="left"/>
      <w:lvlText w:val="%1."/>
      <w:numFmt w:val="upperLetter"/>
      <w:start w:val="4"/>
    </w:lvl>
    <w:lvl w:ilvl="1">
      <w:lvlJc w:val="left"/>
      <w:lvlText w:val="%2."/>
      <w:numFmt w:val="decimal"/>
      <w:start w:val="1"/>
    </w:lvl>
  </w:abstractNum>
  <w:abstractNum w:abstractNumId="157">
    <w:nsid w:val="5451CF49"/>
    <w:multiLevelType w:val="hybridMultilevel"/>
    <w:lvl w:ilvl="0">
      <w:lvlJc w:val="left"/>
      <w:lvlText w:val="5"/>
      <w:numFmt w:val="bullet"/>
      <w:start w:val="1"/>
    </w:lvl>
  </w:abstractNum>
  <w:abstractNum w:abstractNumId="158">
    <w:nsid w:val="6181EF69"/>
    <w:multiLevelType w:val="hybridMultilevel"/>
    <w:lvl w:ilvl="0">
      <w:lvlJc w:val="left"/>
      <w:lvlText w:val="5"/>
      <w:numFmt w:val="bullet"/>
      <w:start w:val="1"/>
    </w:lvl>
  </w:abstractNum>
  <w:abstractNum w:abstractNumId="159">
    <w:nsid w:val="3E6400E6"/>
    <w:multiLevelType w:val="hybridMultilevel"/>
    <w:lvl w:ilvl="0">
      <w:lvlJc w:val="left"/>
      <w:lvlText w:val="(%1)"/>
      <w:numFmt w:val="lowerLetter"/>
      <w:start w:val="1"/>
    </w:lvl>
  </w:abstractNum>
  <w:abstractNum w:abstractNumId="160">
    <w:nsid w:val="14217E23"/>
    <w:multiLevelType w:val="hybridMultilevel"/>
    <w:lvl w:ilvl="0">
      <w:lvlJc w:val="left"/>
      <w:lvlText w:val="(%1)"/>
      <w:numFmt w:val="lowerLetter"/>
      <w:start w:val="1"/>
    </w:lvl>
  </w:abstractNum>
  <w:abstractNum w:abstractNumId="161">
    <w:nsid w:val="710757D0"/>
    <w:multiLevelType w:val="hybridMultilevel"/>
    <w:lvl w:ilvl="0">
      <w:lvlJc w:val="left"/>
      <w:lvlText w:val="(%1)"/>
      <w:numFmt w:val="lowerLetter"/>
      <w:start w:val="1"/>
    </w:lvl>
  </w:abstractNum>
  <w:abstractNum w:abstractNumId="162">
    <w:nsid w:val="5015CD1A"/>
    <w:multiLevelType w:val="hybridMultilevel"/>
    <w:lvl w:ilvl="0">
      <w:lvlJc w:val="left"/>
      <w:lvlText w:val="\emdash "/>
      <w:numFmt w:val="bullet"/>
      <w:start w:val="1"/>
    </w:lvl>
  </w:abstractNum>
  <w:abstractNum w:abstractNumId="163">
    <w:nsid w:val="424479DA"/>
    <w:multiLevelType w:val="hybridMultilevel"/>
    <w:lvl w:ilvl="0">
      <w:lvlJc w:val="left"/>
      <w:lvlText w:val="(%1)"/>
      <w:numFmt w:val="lowerLetter"/>
      <w:start w:val="1"/>
    </w:lvl>
  </w:abstractNum>
  <w:abstractNum w:abstractNumId="164">
    <w:nsid w:val="1A9A9E69"/>
    <w:multiLevelType w:val="hybridMultilevel"/>
    <w:lvl w:ilvl="0">
      <w:lvlJc w:val="left"/>
      <w:lvlText w:val="(%1)"/>
      <w:numFmt w:val="lowerLetter"/>
      <w:start w:val="4"/>
    </w:lvl>
  </w:abstractNum>
  <w:abstractNum w:abstractNumId="165">
    <w:nsid w:val="475E256A"/>
    <w:multiLevelType w:val="hybridMultilevel"/>
    <w:lvl w:ilvl="0">
      <w:lvlJc w:val="left"/>
      <w:lvlText w:val="%1."/>
      <w:numFmt w:val="decimal"/>
      <w:start w:val="1"/>
    </w:lvl>
  </w:abstractNum>
  <w:abstractNum w:abstractNumId="166">
    <w:nsid w:val="368DB37E"/>
    <w:multiLevelType w:val="hybridMultilevel"/>
    <w:lvl w:ilvl="0">
      <w:lvlJc w:val="left"/>
      <w:lvlText w:val="%1."/>
      <w:numFmt w:val="decimal"/>
      <w:start w:val="1"/>
    </w:lvl>
    <w:lvl w:ilvl="1">
      <w:lvlJc w:val="left"/>
      <w:lvlText w:val="-"/>
      <w:numFmt w:val="bullet"/>
      <w:start w:val="1"/>
    </w:lvl>
  </w:abstractNum>
  <w:abstractNum w:abstractNumId="167">
    <w:nsid w:val="6A3B714C"/>
    <w:multiLevelType w:val="hybridMultilevel"/>
    <w:lvl w:ilvl="0">
      <w:lvlJc w:val="left"/>
      <w:lvlText w:val="%1."/>
      <w:numFmt w:val="upperLetter"/>
      <w:start w:val="1"/>
    </w:lvl>
  </w:abstractNum>
  <w:abstractNum w:abstractNumId="168">
    <w:nsid w:val="327B517E"/>
    <w:multiLevelType w:val="hybridMultilevel"/>
    <w:lvl w:ilvl="0">
      <w:lvlJc w:val="left"/>
      <w:lvlText w:val="[***]"/>
      <w:numFmt w:val="bullet"/>
      <w:start w:val="1"/>
    </w:lvl>
    <w:lvl w:ilvl="1">
      <w:lvlJc w:val="left"/>
      <w:lvlText w:val="(%2)"/>
      <w:numFmt w:val="lowerRoman"/>
      <w:start w:val="5"/>
    </w:lvl>
  </w:abstractNum>
  <w:abstractNum w:abstractNumId="169">
    <w:nsid w:val="1F461B51"/>
    <w:multiLevelType w:val="hybridMultilevel"/>
    <w:lvl w:ilvl="0">
      <w:lvlJc w:val="left"/>
      <w:lvlText w:val="(%1)"/>
      <w:numFmt w:val="lowerLetter"/>
      <w:start w:val="25"/>
    </w:lvl>
  </w:abstractNum>
  <w:abstractNum w:abstractNumId="170">
    <w:nsid w:val="29BACF25"/>
    <w:multiLevelType w:val="hybridMultilevel"/>
    <w:lvl w:ilvl="0">
      <w:lvlJc w:val="left"/>
      <w:lvlText w:val="(%1)"/>
      <w:numFmt w:val="lowerRoman"/>
      <w:start w:val="3"/>
    </w:lvl>
  </w:abstractNum>
  <w:abstractNum w:abstractNumId="171">
    <w:nsid w:val="5D5BABB3"/>
    <w:multiLevelType w:val="hybridMultilevel"/>
    <w:lvl w:ilvl="0">
      <w:lvlJc w:val="left"/>
      <w:lvlText w:val="[***]"/>
      <w:numFmt w:val="bullet"/>
      <w:start w:val="1"/>
    </w:lvl>
  </w:abstractNum>
  <w:abstractNum w:abstractNumId="172">
    <w:nsid w:val="51BF6B48"/>
    <w:multiLevelType w:val="hybridMultilevel"/>
    <w:lvl w:ilvl="0">
      <w:lvlJc w:val="left"/>
      <w:lvlText w:val="(%1)"/>
      <w:numFmt w:val="lowerLetter"/>
      <w:start w:val="2"/>
    </w:lvl>
  </w:abstractNum>
  <w:abstractNum w:abstractNumId="173">
    <w:nsid w:val="7E0F6384"/>
    <w:multiLevelType w:val="hybridMultilevel"/>
    <w:lvl w:ilvl="0">
      <w:lvlJc w:val="left"/>
      <w:lvlText w:val="[***]"/>
      <w:numFmt w:val="bullet"/>
      <w:start w:val="1"/>
    </w:lvl>
  </w:abstractNum>
  <w:abstractNum w:abstractNumId="174">
    <w:nsid w:val="2B4B8B53"/>
    <w:multiLevelType w:val="hybridMultilevel"/>
    <w:lvl w:ilvl="0">
      <w:lvlJc w:val="left"/>
      <w:lvlText w:val="(%1)"/>
      <w:numFmt w:val="lowerLetter"/>
      <w:start w:val="1"/>
    </w:lvl>
  </w:abstractNum>
  <w:abstractNum w:abstractNumId="175">
    <w:nsid w:val="72E3413A"/>
    <w:multiLevelType w:val="hybridMultilevel"/>
    <w:lvl w:ilvl="0">
      <w:lvlJc w:val="left"/>
      <w:lvlText w:val="[***]"/>
      <w:numFmt w:val="bullet"/>
      <w:start w:val="1"/>
    </w:lvl>
  </w:abstractNum>
  <w:abstractNum w:abstractNumId="176">
    <w:nsid w:val="116AE494"/>
    <w:multiLevelType w:val="hybridMultilevel"/>
    <w:lvl w:ilvl="0">
      <w:lvlJc w:val="left"/>
      <w:lvlText w:val="[***]"/>
      <w:numFmt w:val="bullet"/>
      <w:start w:val="1"/>
    </w:lvl>
  </w:abstractNum>
  <w:abstractNum w:abstractNumId="177">
    <w:nsid w:val="3494B2FB"/>
    <w:multiLevelType w:val="hybridMultilevel"/>
    <w:lvl w:ilvl="0">
      <w:lvlJc w:val="left"/>
      <w:lvlText w:val="[***]"/>
      <w:numFmt w:val="bullet"/>
      <w:start w:val="1"/>
    </w:lvl>
  </w:abstractNum>
  <w:abstractNum w:abstractNumId="178">
    <w:nsid w:val="B13A31"/>
    <w:multiLevelType w:val="hybridMultilevel"/>
    <w:lvl w:ilvl="0">
      <w:lvlJc w:val="left"/>
      <w:lvlText w:val="[***]"/>
      <w:numFmt w:val="bullet"/>
      <w:start w:val="1"/>
    </w:lvl>
  </w:abstractNum>
  <w:abstractNum w:abstractNumId="179">
    <w:nsid w:val="64429599"/>
    <w:multiLevelType w:val="hybridMultilevel"/>
    <w:lvl w:ilvl="0">
      <w:lvlJc w:val="left"/>
      <w:lvlText w:val="[***]"/>
      <w:numFmt w:val="bullet"/>
      <w:start w:val="1"/>
    </w:lvl>
  </w:abstractNum>
  <w:abstractNum w:abstractNumId="180">
    <w:nsid w:val="631F1690"/>
    <w:multiLevelType w:val="hybridMultilevel"/>
    <w:lvl w:ilvl="0">
      <w:lvlJc w:val="left"/>
      <w:lvlText w:val="[***]"/>
      <w:numFmt w:val="bullet"/>
      <w:start w:val="1"/>
    </w:lvl>
  </w:abstractNum>
  <w:abstractNum w:abstractNumId="181">
    <w:nsid w:val="25973E32"/>
    <w:multiLevelType w:val="hybridMultilevel"/>
    <w:lvl w:ilvl="0">
      <w:lvlJc w:val="left"/>
      <w:lvlText w:val="[***]"/>
      <w:numFmt w:val="bullet"/>
      <w:start w:val="1"/>
    </w:lvl>
  </w:abstractNum>
  <w:abstractNum w:abstractNumId="182">
    <w:nsid w:val="EAD6F57"/>
    <w:multiLevelType w:val="hybridMultilevel"/>
    <w:lvl w:ilvl="0">
      <w:lvlJc w:val="left"/>
      <w:lvlText w:val="[***]"/>
      <w:numFmt w:val="bullet"/>
      <w:start w:val="1"/>
    </w:lvl>
  </w:abstractNum>
  <w:abstractNum w:abstractNumId="183">
    <w:nsid w:val="6EC9D844"/>
    <w:multiLevelType w:val="hybridMultilevel"/>
    <w:lvl w:ilvl="0">
      <w:lvlJc w:val="left"/>
      <w:lvlText w:val="[***]"/>
      <w:numFmt w:val="bullet"/>
      <w:start w:val="1"/>
    </w:lvl>
  </w:abstractNum>
  <w:abstractNum w:abstractNumId="184">
    <w:nsid w:val="5C49EAEE"/>
    <w:multiLevelType w:val="hybridMultilevel"/>
    <w:lvl w:ilvl="0">
      <w:lvlJc w:val="left"/>
      <w:lvlText w:val="(%1)"/>
      <w:numFmt w:val="lowerLetter"/>
      <w:start w:val="1"/>
    </w:lvl>
  </w:abstractNum>
  <w:abstractNum w:abstractNumId="185">
    <w:nsid w:val="64AF49B"/>
    <w:multiLevelType w:val="hybridMultilevel"/>
    <w:lvl w:ilvl="0">
      <w:lvlJc w:val="left"/>
      <w:lvlText w:val="[***]"/>
      <w:numFmt w:val="bullet"/>
      <w:start w:val="1"/>
    </w:lvl>
  </w:abstractNum>
  <w:abstractNum w:abstractNumId="186">
    <w:nsid w:val="397C46BC"/>
    <w:multiLevelType w:val="hybridMultilevel"/>
    <w:lvl w:ilvl="0">
      <w:lvlJc w:val="left"/>
      <w:lvlText w:val="[***]"/>
      <w:numFmt w:val="bullet"/>
      <w:start w:val="1"/>
    </w:lvl>
  </w:abstractNum>
  <w:abstractNum w:abstractNumId="187">
    <w:nsid w:val="7E448DE9"/>
    <w:multiLevelType w:val="hybridMultilevel"/>
    <w:lvl w:ilvl="0">
      <w:lvlJc w:val="left"/>
      <w:lvlText w:val="%1)"/>
      <w:numFmt w:val="decimal"/>
      <w:start w:val="1"/>
    </w:lvl>
  </w:abstractNum>
  <w:abstractNum w:abstractNumId="188">
    <w:nsid w:val="5A9CC3E5"/>
    <w:multiLevelType w:val="hybridMultilevel"/>
    <w:lvl w:ilvl="0">
      <w:lvlJc w:val="left"/>
      <w:lvlText w:val="[***]"/>
      <w:numFmt w:val="bullet"/>
      <w:start w:val="1"/>
    </w:lvl>
  </w:abstractNum>
  <w:abstractNum w:abstractNumId="189">
    <w:nsid w:val="1AFE3625"/>
    <w:multiLevelType w:val="hybridMultilevel"/>
    <w:lvl w:ilvl="0">
      <w:lvlJc w:val="left"/>
      <w:lvlText w:val="[***]"/>
      <w:numFmt w:val="bullet"/>
      <w:start w:val="1"/>
    </w:lvl>
  </w:abstractNum>
  <w:abstractNum w:abstractNumId="190">
    <w:nsid w:val="3CA88ECF"/>
    <w:multiLevelType w:val="hybridMultilevel"/>
    <w:lvl w:ilvl="0">
      <w:lvlJc w:val="left"/>
      <w:lvlText w:val="%1."/>
      <w:numFmt w:val="decimal"/>
      <w:start w:val="1"/>
    </w:lvl>
    <w:lvl w:ilvl="1">
      <w:lvlJc w:val="left"/>
      <w:lvlText w:val="(%2)"/>
      <w:numFmt w:val="lowerLetter"/>
      <w:start w:val="1"/>
    </w:lvl>
  </w:abstractNum>
  <w:abstractNum w:abstractNumId="191">
    <w:nsid w:val="6EBE4208"/>
    <w:multiLevelType w:val="hybridMultilevel"/>
    <w:lvl w:ilvl="0">
      <w:lvlJc w:val="left"/>
      <w:lvlText w:val="%1."/>
      <w:numFmt w:val="decimal"/>
      <w:start w:val="1"/>
    </w:lvl>
    <w:lvl w:ilvl="1">
      <w:lvlJc w:val="left"/>
      <w:lvlText w:val="(%2)"/>
      <w:numFmt w:val="lowerLetter"/>
      <w:start w:val="1"/>
    </w:lvl>
  </w:abstractNum>
  <w:abstractNum w:abstractNumId="192">
    <w:nsid w:val="C058DF5"/>
    <w:multiLevelType w:val="hybridMultilevel"/>
    <w:lvl w:ilvl="0">
      <w:lvlJc w:val="left"/>
      <w:lvlText w:val="%1"/>
      <w:numFmt w:val="decimal"/>
      <w:start w:val="1"/>
    </w:lvl>
    <w:lvl w:ilvl="1">
      <w:lvlJc w:val="left"/>
      <w:lvlText w:val="%2."/>
      <w:numFmt w:val="decimal"/>
      <w:start w:val="1"/>
    </w:lvl>
  </w:abstractNum>
  <w:abstractNum w:abstractNumId="193">
    <w:nsid w:val="CBE5BE9"/>
    <w:multiLevelType w:val="hybridMultilevel"/>
    <w:lvl w:ilvl="0">
      <w:lvlJc w:val="left"/>
      <w:lvlText w:val="%1."/>
      <w:numFmt w:val="decimal"/>
      <w:start w:val="2"/>
    </w:lvl>
    <w:lvl w:ilvl="1">
      <w:lvlJc w:val="left"/>
      <w:lvlText w:val="%2"/>
      <w:numFmt w:val="decimal"/>
      <w:start w:val="1"/>
    </w:lvl>
  </w:abstractNum>
  <w:abstractNum w:abstractNumId="194">
    <w:nsid w:val="3102BBE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jpe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2022-05-06T13:01:08Z</dcterms:created>
  <dcterms:modified xsi:type="dcterms:W3CDTF">2022-05-06T13:01:08Z</dcterms:modified>
</cp:coreProperties>
</file>